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360" w:line="240" w:lineRule="auto"/>
        <w:jc w:val="center"/>
      </w:pPr>
      <w:r>
        <w:rPr>
          <w:rFonts w:ascii="Arial" w:hAnsi="Arial"/>
          <w:b/>
          <w:i w:val="0"/>
          <w:color w:val="17365D"/>
          <w:sz w:val="30"/>
        </w:rPr>
        <w:t>LIST OF CURRENT AND FORMER DIRECTORS AND OFFICERS – AURELIA DEVELOPMENTS LLC</w:t>
      </w:r>
    </w:p>
    <w:p>
      <w:pPr>
        <w:spacing w:after="80" w:before="0" w:line="240" w:lineRule="auto"/>
        <w:jc w:val="center"/>
      </w:pPr>
      <w:r>
        <w:rPr>
          <w:rFonts w:ascii="Arial" w:hAnsi="Arial"/>
          <w:b/>
          <w:i w:val="0"/>
          <w:sz w:val="24"/>
        </w:rPr>
        <w:t>Corporate Governance Diligence Memorandum</w:t>
      </w:r>
    </w:p>
    <w:p>
      <w:pPr>
        <w:spacing w:after="120" w:before="0" w:line="240" w:lineRule="auto"/>
        <w:jc w:val="center"/>
      </w:pPr>
      <w:r>
        <w:rPr>
          <w:rFonts w:ascii="Arial" w:hAnsi="Arial"/>
          <w:b w:val="0"/>
          <w:i/>
          <w:color w:val="555555"/>
          <w:sz w:val="20"/>
        </w:rPr>
        <w:t>Prepared for Private Equity Legal, Governance, and Regulatory Review</w:t>
      </w:r>
    </w:p>
    <w:tbl>
      <w:tblPr>
        <w:tblStyle w:val="TableGrid"/>
        <w:tblW w:type="auto" w:w="0"/>
        <w:tblLook w:firstColumn="1" w:firstRow="1" w:lastColumn="0" w:lastRow="0" w:noHBand="0" w:noVBand="1" w:val="04A0"/>
      </w:tblPr>
      <w:tblGrid>
        <w:gridCol w:w="4939"/>
        <w:gridCol w:w="4939"/>
      </w:tblGrid>
      <w:tr>
        <w:tc>
          <w:tcPr>
            <w:tcW w:type="dxa" w:w="4939"/>
            <w:shd w:fill="D9EAF7"/>
          </w:tcPr>
          <w:p>
            <w:pPr>
              <w:spacing w:after="20" w:before="0" w:line="247" w:lineRule="auto"/>
            </w:pPr>
            <w:r>
              <w:rPr>
                <w:rFonts w:ascii="Arial" w:hAnsi="Arial"/>
                <w:b/>
                <w:i w:val="0"/>
                <w:sz w:val="20"/>
              </w:rPr>
              <w:t>Company</w:t>
            </w:r>
          </w:p>
        </w:tc>
        <w:tc>
          <w:tcPr>
            <w:tcW w:type="dxa" w:w="4939"/>
          </w:tcPr>
          <w:p>
            <w:pPr>
              <w:spacing w:after="20" w:before="0" w:line="247" w:lineRule="auto"/>
            </w:pPr>
            <w:r>
              <w:rPr>
                <w:rFonts w:ascii="Arial" w:hAnsi="Arial"/>
                <w:b w:val="0"/>
                <w:i w:val="0"/>
                <w:sz w:val="20"/>
              </w:rPr>
              <w:t>Aurelia Developments LLC</w:t>
            </w:r>
          </w:p>
        </w:tc>
      </w:tr>
      <w:tr>
        <w:tc>
          <w:tcPr>
            <w:tcW w:type="dxa" w:w="4939"/>
            <w:shd w:fill="D9EAF7"/>
          </w:tcPr>
          <w:p>
            <w:pPr>
              <w:spacing w:after="20" w:before="0" w:line="247" w:lineRule="auto"/>
            </w:pPr>
            <w:r>
              <w:rPr>
                <w:rFonts w:ascii="Arial" w:hAnsi="Arial"/>
                <w:b/>
                <w:i w:val="0"/>
                <w:sz w:val="20"/>
              </w:rPr>
              <w:t>Jurisdiction</w:t>
            </w:r>
          </w:p>
        </w:tc>
        <w:tc>
          <w:tcPr>
            <w:tcW w:type="dxa" w:w="4939"/>
          </w:tcPr>
          <w:p>
            <w:pPr>
              <w:spacing w:after="20" w:before="0" w:line="247" w:lineRule="auto"/>
            </w:pPr>
            <w:r>
              <w:rPr>
                <w:rFonts w:ascii="Arial" w:hAnsi="Arial"/>
                <w:b w:val="0"/>
                <w:i w:val="0"/>
                <w:sz w:val="20"/>
              </w:rPr>
              <w:t>Dubai, United Arab Emirates</w:t>
            </w:r>
          </w:p>
        </w:tc>
      </w:tr>
      <w:tr>
        <w:tc>
          <w:tcPr>
            <w:tcW w:type="dxa" w:w="4939"/>
            <w:shd w:fill="D9EAF7"/>
          </w:tcPr>
          <w:p>
            <w:pPr>
              <w:spacing w:after="20" w:before="0" w:line="247" w:lineRule="auto"/>
            </w:pPr>
            <w:r>
              <w:rPr>
                <w:rFonts w:ascii="Arial" w:hAnsi="Arial"/>
                <w:b/>
                <w:i w:val="0"/>
                <w:sz w:val="20"/>
              </w:rPr>
              <w:t>Document Purpose</w:t>
            </w:r>
          </w:p>
        </w:tc>
        <w:tc>
          <w:tcPr>
            <w:tcW w:type="dxa" w:w="4939"/>
          </w:tcPr>
          <w:p>
            <w:pPr>
              <w:spacing w:after="20" w:before="0" w:line="247" w:lineRule="auto"/>
            </w:pPr>
            <w:r>
              <w:rPr>
                <w:rFonts w:ascii="Arial" w:hAnsi="Arial"/>
                <w:b w:val="0"/>
                <w:i w:val="0"/>
                <w:sz w:val="20"/>
              </w:rPr>
              <w:t>To summarize the current and historical composition of the board of directors and senior officers of the Company since incorporation, together with related committee participation and governance observations.</w:t>
            </w:r>
          </w:p>
        </w:tc>
      </w:tr>
      <w:tr>
        <w:tc>
          <w:tcPr>
            <w:tcW w:type="dxa" w:w="4939"/>
            <w:shd w:fill="D9EAF7"/>
          </w:tcPr>
          <w:p>
            <w:pPr>
              <w:spacing w:after="20" w:before="0" w:line="247" w:lineRule="auto"/>
            </w:pPr>
            <w:r>
              <w:rPr>
                <w:rFonts w:ascii="Arial" w:hAnsi="Arial"/>
                <w:b/>
                <w:i w:val="0"/>
                <w:sz w:val="20"/>
              </w:rPr>
              <w:t>Review Relevance</w:t>
            </w:r>
          </w:p>
        </w:tc>
        <w:tc>
          <w:tcPr>
            <w:tcW w:type="dxa" w:w="4939"/>
          </w:tcPr>
          <w:p>
            <w:pPr>
              <w:spacing w:after="20" w:before="0" w:line="247" w:lineRule="auto"/>
            </w:pPr>
            <w:r>
              <w:rPr>
                <w:rFonts w:ascii="Arial" w:hAnsi="Arial"/>
                <w:b w:val="0"/>
                <w:i w:val="0"/>
                <w:sz w:val="20"/>
              </w:rPr>
              <w:t>Private equity diligence, governance review, management continuity assessment, regulatory readiness, and IPO / capital markets preparation.</w:t>
            </w:r>
          </w:p>
        </w:tc>
      </w:tr>
      <w:tr>
        <w:tc>
          <w:tcPr>
            <w:tcW w:type="dxa" w:w="4939"/>
            <w:shd w:fill="D9EAF7"/>
          </w:tcPr>
          <w:p>
            <w:pPr>
              <w:spacing w:after="20" w:before="0" w:line="247" w:lineRule="auto"/>
            </w:pPr>
            <w:r>
              <w:rPr>
                <w:rFonts w:ascii="Arial" w:hAnsi="Arial"/>
                <w:b/>
                <w:i w:val="0"/>
                <w:sz w:val="20"/>
              </w:rPr>
              <w:t>Status Summary</w:t>
            </w:r>
          </w:p>
        </w:tc>
        <w:tc>
          <w:tcPr>
            <w:tcW w:type="dxa" w:w="4939"/>
          </w:tcPr>
          <w:p>
            <w:pPr>
              <w:spacing w:after="20" w:before="0" w:line="247" w:lineRule="auto"/>
            </w:pPr>
            <w:r>
              <w:rPr>
                <w:rFonts w:ascii="Arial" w:hAnsi="Arial"/>
                <w:b w:val="0"/>
                <w:i w:val="0"/>
                <w:sz w:val="20"/>
              </w:rPr>
              <w:t>Board has evolved from founder-led structure to hybrid founder / investor / independent oversight model with formal committee architecture implemented during 2024.</w:t>
            </w:r>
          </w:p>
        </w:tc>
      </w:tr>
    </w:tbl>
    <w:p>
      <w:pPr>
        <w:spacing w:after="80" w:before="200" w:line="240" w:lineRule="auto"/>
      </w:pPr>
      <w:r>
        <w:rPr>
          <w:rFonts w:ascii="Arial" w:hAnsi="Arial"/>
          <w:b/>
          <w:i w:val="0"/>
          <w:color w:val="1F4E79"/>
          <w:sz w:val="24"/>
        </w:rPr>
        <w:t>1. EXECUTIVE GOVERNANCE OVERVIEW</w:t>
      </w:r>
    </w:p>
    <w:p>
      <w:pPr>
        <w:spacing w:after="100" w:before="0" w:line="269" w:lineRule="auto"/>
      </w:pPr>
      <w:r>
        <w:rPr>
          <w:rFonts w:ascii="Arial" w:hAnsi="Arial"/>
          <w:b w:val="0"/>
          <w:i w:val="0"/>
          <w:sz w:val="20"/>
        </w:rPr>
        <w:t>The review of directors and officers is a core workstream in private equity legal diligence because it provides insight into how authority has been allocated historically, whether governance rights negotiated by institutional investors have been implemented in practice, whether the executive team has shown continuity in key operating functions, and whether any material governance weaknesses or instability could affect post-closing integration, refinancing, or an eventual liquidity event.</w:t>
      </w:r>
    </w:p>
    <w:p>
      <w:pPr>
        <w:spacing w:after="100" w:before="0" w:line="269" w:lineRule="auto"/>
      </w:pPr>
      <w:r>
        <w:rPr>
          <w:rFonts w:ascii="Arial" w:hAnsi="Arial"/>
          <w:b w:val="0"/>
          <w:i w:val="0"/>
          <w:sz w:val="20"/>
        </w:rPr>
        <w:t>Aurelia Developments LLC was initially managed through a founder-led governance model typical of closely held development businesses in the early project formation phase. As the Company expanded its project pipeline, brought in institutional and family office capital, and increased its exposure to branded residence and mixed-use developments, the board composition evolved to include investor representatives and, ultimately, an independent director with formal committee-based oversight. This progression is broadly consistent with governance maturation typically expected of a premium real estate developer preparing for institutional investment and heightened reporting obligations.</w:t>
      </w:r>
    </w:p>
    <w:p>
      <w:pPr>
        <w:spacing w:after="100" w:before="0" w:line="269" w:lineRule="auto"/>
      </w:pPr>
      <w:r>
        <w:rPr>
          <w:rFonts w:ascii="Arial" w:hAnsi="Arial"/>
          <w:b w:val="0"/>
          <w:i w:val="0"/>
          <w:sz w:val="20"/>
        </w:rPr>
        <w:t>The current governance architecture reflects a balance between founder influence, investor monitoring, and emerging independent oversight. The founder shareholder retains strategic influence through the chairmanship and board nomination rights; institutional investors maintain representation through designated non-executive directors; and the independent director now chairs the Audit Committee. Senior officers report into the Chief Executive Officer, with governance, legal, finance, development, and investor relations functions more clearly delineated than in the Company’s earlier operating years.</w:t>
      </w:r>
    </w:p>
    <w:p>
      <w:pPr>
        <w:pStyle w:val="ListBullet"/>
        <w:spacing w:after="40" w:before="0" w:line="259" w:lineRule="auto"/>
      </w:pPr>
      <w:r>
        <w:rPr>
          <w:rFonts w:ascii="Arial" w:hAnsi="Arial"/>
          <w:b w:val="0"/>
          <w:i w:val="0"/>
          <w:sz w:val="20"/>
        </w:rPr>
        <w:t>Board evolution has generally tracked the Company’s financing and operational complexity, rather than reflecting abrupt or unexplained turnover.</w:t>
      </w:r>
    </w:p>
    <w:p>
      <w:pPr>
        <w:pStyle w:val="ListBullet"/>
        <w:spacing w:after="40" w:before="0" w:line="259" w:lineRule="auto"/>
      </w:pPr>
      <w:r>
        <w:rPr>
          <w:rFonts w:ascii="Arial" w:hAnsi="Arial"/>
          <w:b w:val="0"/>
          <w:i w:val="0"/>
          <w:sz w:val="20"/>
        </w:rPr>
        <w:t>Institutional investor involvement has influenced the move toward formal committee structures and clearer delineation of reserved matters.</w:t>
      </w:r>
    </w:p>
    <w:p>
      <w:pPr>
        <w:pStyle w:val="ListBullet"/>
        <w:spacing w:after="40" w:before="0" w:line="259" w:lineRule="auto"/>
      </w:pPr>
      <w:r>
        <w:rPr>
          <w:rFonts w:ascii="Arial" w:hAnsi="Arial"/>
          <w:b w:val="0"/>
          <w:i w:val="0"/>
          <w:sz w:val="20"/>
        </w:rPr>
        <w:t>Management continuity appears strongest in finance and development execution, with leadership changes concentrated around the CEO transition and commercialization / investment functions.</w:t>
      </w:r>
    </w:p>
    <w:p>
      <w:pPr>
        <w:spacing w:after="80" w:before="200" w:line="240" w:lineRule="auto"/>
      </w:pPr>
      <w:r>
        <w:rPr>
          <w:rFonts w:ascii="Arial" w:hAnsi="Arial"/>
          <w:b/>
          <w:i w:val="0"/>
          <w:color w:val="1F4E79"/>
          <w:sz w:val="24"/>
        </w:rPr>
        <w:t>2. CURRENT BOARD OF DIRECTORS</w:t>
      </w:r>
    </w:p>
    <w:p>
      <w:pPr>
        <w:spacing w:after="100" w:before="0" w:line="269" w:lineRule="auto"/>
      </w:pPr>
      <w:r>
        <w:rPr>
          <w:rFonts w:ascii="Arial" w:hAnsi="Arial"/>
          <w:b w:val="0"/>
          <w:i w:val="0"/>
          <w:sz w:val="20"/>
        </w:rPr>
        <w:t>As of the date of this memorandum, the Company’s board consists of five directors. The composition is typical of a founder-backed, investor-supported private developer: two founder / management-aligned seats, two investor-aligned non-executive seats, and one independent director. Committees have been organized to support financial oversight, project investment review, and risk management.</w:t>
      </w:r>
    </w:p>
    <w:tbl>
      <w:tblPr>
        <w:tblStyle w:val="TableGrid"/>
        <w:tblW w:type="auto" w:w="0"/>
        <w:tblLook w:firstColumn="1" w:firstRow="1" w:lastColumn="0" w:lastRow="0" w:noHBand="0" w:noVBand="1" w:val="04A0"/>
      </w:tblPr>
      <w:tblGrid>
        <w:gridCol w:w="1646"/>
        <w:gridCol w:w="1646"/>
        <w:gridCol w:w="1646"/>
        <w:gridCol w:w="1646"/>
        <w:gridCol w:w="1646"/>
        <w:gridCol w:w="1646"/>
      </w:tblGrid>
      <w:tr>
        <w:tc>
          <w:tcPr>
            <w:tcW w:type="dxa" w:w="1646"/>
            <w:shd w:fill="1F4E79"/>
          </w:tcPr>
          <w:p>
            <w:pPr>
              <w:spacing w:after="0" w:before="0" w:line="240" w:lineRule="auto"/>
            </w:pPr>
            <w:r>
              <w:rPr>
                <w:rFonts w:ascii="Arial" w:hAnsi="Arial"/>
                <w:b/>
                <w:i w:val="0"/>
                <w:color w:val="FFFFFF"/>
                <w:sz w:val="19"/>
              </w:rPr>
              <w:t>Director Name</w:t>
            </w:r>
          </w:p>
        </w:tc>
        <w:tc>
          <w:tcPr>
            <w:tcW w:type="dxa" w:w="1646"/>
            <w:shd w:fill="1F4E79"/>
          </w:tcPr>
          <w:p>
            <w:pPr>
              <w:spacing w:after="0" w:before="0" w:line="240" w:lineRule="auto"/>
            </w:pPr>
            <w:r>
              <w:rPr>
                <w:rFonts w:ascii="Arial" w:hAnsi="Arial"/>
                <w:b/>
                <w:i w:val="0"/>
                <w:color w:val="FFFFFF"/>
                <w:sz w:val="19"/>
              </w:rPr>
              <w:t>Board Role</w:t>
            </w:r>
          </w:p>
        </w:tc>
        <w:tc>
          <w:tcPr>
            <w:tcW w:type="dxa" w:w="1646"/>
            <w:shd w:fill="1F4E79"/>
          </w:tcPr>
          <w:p>
            <w:pPr>
              <w:spacing w:after="0" w:before="0" w:line="240" w:lineRule="auto"/>
            </w:pPr>
            <w:r>
              <w:rPr>
                <w:rFonts w:ascii="Arial" w:hAnsi="Arial"/>
                <w:b/>
                <w:i w:val="0"/>
                <w:color w:val="FFFFFF"/>
                <w:sz w:val="19"/>
              </w:rPr>
              <w:t>Appointment Date</w:t>
            </w:r>
          </w:p>
        </w:tc>
        <w:tc>
          <w:tcPr>
            <w:tcW w:type="dxa" w:w="1646"/>
            <w:shd w:fill="1F4E79"/>
          </w:tcPr>
          <w:p>
            <w:pPr>
              <w:spacing w:after="0" w:before="0" w:line="240" w:lineRule="auto"/>
            </w:pPr>
            <w:r>
              <w:rPr>
                <w:rFonts w:ascii="Arial" w:hAnsi="Arial"/>
                <w:b/>
                <w:i w:val="0"/>
                <w:color w:val="FFFFFF"/>
                <w:sz w:val="19"/>
              </w:rPr>
              <w:t>Nominating Shareholder</w:t>
            </w:r>
          </w:p>
        </w:tc>
        <w:tc>
          <w:tcPr>
            <w:tcW w:type="dxa" w:w="1646"/>
            <w:shd w:fill="1F4E79"/>
          </w:tcPr>
          <w:p>
            <w:pPr>
              <w:spacing w:after="0" w:before="0" w:line="240" w:lineRule="auto"/>
            </w:pPr>
            <w:r>
              <w:rPr>
                <w:rFonts w:ascii="Arial" w:hAnsi="Arial"/>
                <w:b/>
                <w:i w:val="0"/>
                <w:color w:val="FFFFFF"/>
                <w:sz w:val="19"/>
              </w:rPr>
              <w:t>Committee Memberships</w:t>
            </w:r>
          </w:p>
        </w:tc>
        <w:tc>
          <w:tcPr>
            <w:tcW w:type="dxa" w:w="1646"/>
            <w:shd w:fill="1F4E79"/>
          </w:tcPr>
          <w:p>
            <w:pPr>
              <w:spacing w:after="0" w:before="0" w:line="240" w:lineRule="auto"/>
            </w:pPr>
            <w:r>
              <w:rPr>
                <w:rFonts w:ascii="Arial" w:hAnsi="Arial"/>
                <w:b/>
                <w:i w:val="0"/>
                <w:color w:val="FFFFFF"/>
                <w:sz w:val="19"/>
              </w:rPr>
              <w:t>Independence</w:t>
            </w:r>
          </w:p>
        </w:tc>
      </w:tr>
      <w:tr>
        <w:tc>
          <w:tcPr>
            <w:tcW w:type="dxa" w:w="1646"/>
          </w:tcPr>
          <w:p>
            <w:pPr>
              <w:spacing w:after="20" w:before="0" w:line="247" w:lineRule="auto"/>
            </w:pPr>
            <w:r>
              <w:rPr>
                <w:rFonts w:ascii="Arial" w:hAnsi="Arial"/>
                <w:b w:val="0"/>
                <w:i w:val="0"/>
                <w:sz w:val="19"/>
              </w:rPr>
              <w:t>Hassan Al Rashid</w:t>
            </w:r>
          </w:p>
        </w:tc>
        <w:tc>
          <w:tcPr>
            <w:tcW w:type="dxa" w:w="1646"/>
          </w:tcPr>
          <w:p>
            <w:pPr>
              <w:spacing w:after="20" w:before="0" w:line="247" w:lineRule="auto"/>
            </w:pPr>
            <w:r>
              <w:rPr>
                <w:rFonts w:ascii="Arial" w:hAnsi="Arial"/>
                <w:b w:val="0"/>
                <w:i w:val="0"/>
                <w:sz w:val="19"/>
              </w:rPr>
              <w:t>Chairman</w:t>
            </w:r>
          </w:p>
        </w:tc>
        <w:tc>
          <w:tcPr>
            <w:tcW w:type="dxa" w:w="1646"/>
          </w:tcPr>
          <w:p>
            <w:pPr>
              <w:spacing w:after="20" w:before="0" w:line="247" w:lineRule="auto"/>
            </w:pPr>
            <w:r>
              <w:rPr>
                <w:rFonts w:ascii="Arial" w:hAnsi="Arial"/>
                <w:b w:val="0"/>
                <w:i w:val="0"/>
                <w:sz w:val="19"/>
              </w:rPr>
              <w:t>15-Mar-2016</w:t>
            </w:r>
          </w:p>
        </w:tc>
        <w:tc>
          <w:tcPr>
            <w:tcW w:type="dxa" w:w="1646"/>
          </w:tcPr>
          <w:p>
            <w:pPr>
              <w:spacing w:after="20" w:before="0" w:line="247" w:lineRule="auto"/>
            </w:pPr>
            <w:r>
              <w:rPr>
                <w:rFonts w:ascii="Arial" w:hAnsi="Arial"/>
                <w:b w:val="0"/>
                <w:i w:val="0"/>
                <w:sz w:val="19"/>
              </w:rPr>
              <w:t>Aurelia Holdings FZ-LLC</w:t>
            </w:r>
          </w:p>
        </w:tc>
        <w:tc>
          <w:tcPr>
            <w:tcW w:type="dxa" w:w="1646"/>
          </w:tcPr>
          <w:p>
            <w:pPr>
              <w:spacing w:after="20" w:before="0" w:line="247" w:lineRule="auto"/>
            </w:pPr>
            <w:r>
              <w:rPr>
                <w:rFonts w:ascii="Arial" w:hAnsi="Arial"/>
                <w:b w:val="0"/>
                <w:i w:val="0"/>
                <w:sz w:val="19"/>
              </w:rPr>
              <w:t>Executive Committee (Chair); Development Oversight Committee</w:t>
            </w:r>
          </w:p>
        </w:tc>
        <w:tc>
          <w:tcPr>
            <w:tcW w:type="dxa" w:w="1646"/>
          </w:tcPr>
          <w:p>
            <w:pPr>
              <w:spacing w:after="20" w:before="0" w:line="247" w:lineRule="auto"/>
            </w:pPr>
            <w:r>
              <w:rPr>
                <w:rFonts w:ascii="Arial" w:hAnsi="Arial"/>
                <w:b w:val="0"/>
                <w:i w:val="0"/>
                <w:sz w:val="19"/>
              </w:rPr>
              <w:t>Non-Independent</w:t>
            </w:r>
          </w:p>
        </w:tc>
      </w:tr>
      <w:tr>
        <w:tc>
          <w:tcPr>
            <w:tcW w:type="dxa" w:w="1646"/>
          </w:tcPr>
          <w:p>
            <w:pPr>
              <w:spacing w:after="20" w:before="0" w:line="247" w:lineRule="auto"/>
            </w:pPr>
            <w:r>
              <w:rPr>
                <w:rFonts w:ascii="Arial" w:hAnsi="Arial"/>
                <w:b w:val="0"/>
                <w:i w:val="0"/>
                <w:sz w:val="19"/>
              </w:rPr>
              <w:t>Daniel Moretti</w:t>
            </w:r>
          </w:p>
        </w:tc>
        <w:tc>
          <w:tcPr>
            <w:tcW w:type="dxa" w:w="1646"/>
          </w:tcPr>
          <w:p>
            <w:pPr>
              <w:spacing w:after="20" w:before="0" w:line="247" w:lineRule="auto"/>
            </w:pPr>
            <w:r>
              <w:rPr>
                <w:rFonts w:ascii="Arial" w:hAnsi="Arial"/>
                <w:b w:val="0"/>
                <w:i w:val="0"/>
                <w:sz w:val="19"/>
              </w:rPr>
              <w:t>Executive Director and Chief Executive Officer</w:t>
            </w:r>
          </w:p>
        </w:tc>
        <w:tc>
          <w:tcPr>
            <w:tcW w:type="dxa" w:w="1646"/>
          </w:tcPr>
          <w:p>
            <w:pPr>
              <w:spacing w:after="20" w:before="0" w:line="247" w:lineRule="auto"/>
            </w:pPr>
            <w:r>
              <w:rPr>
                <w:rFonts w:ascii="Arial" w:hAnsi="Arial"/>
                <w:b w:val="0"/>
                <w:i w:val="0"/>
                <w:sz w:val="19"/>
              </w:rPr>
              <w:t>01-Jul-2019</w:t>
            </w:r>
          </w:p>
        </w:tc>
        <w:tc>
          <w:tcPr>
            <w:tcW w:type="dxa" w:w="1646"/>
          </w:tcPr>
          <w:p>
            <w:pPr>
              <w:spacing w:after="20" w:before="0" w:line="247" w:lineRule="auto"/>
            </w:pPr>
            <w:r>
              <w:rPr>
                <w:rFonts w:ascii="Arial" w:hAnsi="Arial"/>
                <w:b w:val="0"/>
                <w:i w:val="0"/>
                <w:sz w:val="19"/>
              </w:rPr>
              <w:t>Board-supported management appointment; founder-backed</w:t>
            </w:r>
          </w:p>
        </w:tc>
        <w:tc>
          <w:tcPr>
            <w:tcW w:type="dxa" w:w="1646"/>
          </w:tcPr>
          <w:p>
            <w:pPr>
              <w:spacing w:after="20" w:before="0" w:line="247" w:lineRule="auto"/>
            </w:pPr>
            <w:r>
              <w:rPr>
                <w:rFonts w:ascii="Arial" w:hAnsi="Arial"/>
                <w:b w:val="0"/>
                <w:i w:val="0"/>
                <w:sz w:val="19"/>
              </w:rPr>
              <w:t>Development Oversight Committee</w:t>
            </w:r>
          </w:p>
        </w:tc>
        <w:tc>
          <w:tcPr>
            <w:tcW w:type="dxa" w:w="1646"/>
          </w:tcPr>
          <w:p>
            <w:pPr>
              <w:spacing w:after="20" w:before="0" w:line="247" w:lineRule="auto"/>
            </w:pPr>
            <w:r>
              <w:rPr>
                <w:rFonts w:ascii="Arial" w:hAnsi="Arial"/>
                <w:b w:val="0"/>
                <w:i w:val="0"/>
                <w:sz w:val="19"/>
              </w:rPr>
              <w:t>Non-Independent</w:t>
            </w:r>
          </w:p>
        </w:tc>
      </w:tr>
      <w:tr>
        <w:tc>
          <w:tcPr>
            <w:tcW w:type="dxa" w:w="1646"/>
          </w:tcPr>
          <w:p>
            <w:pPr>
              <w:spacing w:after="20" w:before="0" w:line="247" w:lineRule="auto"/>
            </w:pPr>
            <w:r>
              <w:rPr>
                <w:rFonts w:ascii="Arial" w:hAnsi="Arial"/>
                <w:b w:val="0"/>
                <w:i w:val="0"/>
                <w:sz w:val="19"/>
              </w:rPr>
              <w:t>Victor Tan</w:t>
            </w:r>
          </w:p>
        </w:tc>
        <w:tc>
          <w:tcPr>
            <w:tcW w:type="dxa" w:w="1646"/>
          </w:tcPr>
          <w:p>
            <w:pPr>
              <w:spacing w:after="20" w:before="0" w:line="247" w:lineRule="auto"/>
            </w:pPr>
            <w:r>
              <w:rPr>
                <w:rFonts w:ascii="Arial" w:hAnsi="Arial"/>
                <w:b w:val="0"/>
                <w:i w:val="0"/>
                <w:sz w:val="19"/>
              </w:rPr>
              <w:t>Non-Executive Director</w:t>
            </w:r>
          </w:p>
        </w:tc>
        <w:tc>
          <w:tcPr>
            <w:tcW w:type="dxa" w:w="1646"/>
          </w:tcPr>
          <w:p>
            <w:pPr>
              <w:spacing w:after="20" w:before="0" w:line="247" w:lineRule="auto"/>
            </w:pPr>
            <w:r>
              <w:rPr>
                <w:rFonts w:ascii="Arial" w:hAnsi="Arial"/>
                <w:b w:val="0"/>
                <w:i w:val="0"/>
                <w:sz w:val="19"/>
              </w:rPr>
              <w:t>03-Sep-2020</w:t>
            </w:r>
          </w:p>
        </w:tc>
        <w:tc>
          <w:tcPr>
            <w:tcW w:type="dxa" w:w="1646"/>
          </w:tcPr>
          <w:p>
            <w:pPr>
              <w:spacing w:after="20" w:before="0" w:line="247" w:lineRule="auto"/>
            </w:pPr>
            <w:r>
              <w:rPr>
                <w:rFonts w:ascii="Arial" w:hAnsi="Arial"/>
                <w:b w:val="0"/>
                <w:i w:val="0"/>
                <w:sz w:val="19"/>
              </w:rPr>
              <w:t>Meridian Global Real Estate Ltd</w:t>
            </w:r>
          </w:p>
        </w:tc>
        <w:tc>
          <w:tcPr>
            <w:tcW w:type="dxa" w:w="1646"/>
          </w:tcPr>
          <w:p>
            <w:pPr>
              <w:spacing w:after="20" w:before="0" w:line="247" w:lineRule="auto"/>
            </w:pPr>
            <w:r>
              <w:rPr>
                <w:rFonts w:ascii="Arial" w:hAnsi="Arial"/>
                <w:b w:val="0"/>
                <w:i w:val="0"/>
                <w:sz w:val="19"/>
              </w:rPr>
              <w:t>Audit Committee; Investment Committee</w:t>
            </w:r>
          </w:p>
        </w:tc>
        <w:tc>
          <w:tcPr>
            <w:tcW w:type="dxa" w:w="1646"/>
          </w:tcPr>
          <w:p>
            <w:pPr>
              <w:spacing w:after="20" w:before="0" w:line="247" w:lineRule="auto"/>
            </w:pPr>
            <w:r>
              <w:rPr>
                <w:rFonts w:ascii="Arial" w:hAnsi="Arial"/>
                <w:b w:val="0"/>
                <w:i w:val="0"/>
                <w:sz w:val="19"/>
              </w:rPr>
              <w:t>Non-Independent (Investor Representative)</w:t>
            </w:r>
          </w:p>
        </w:tc>
      </w:tr>
      <w:tr>
        <w:tc>
          <w:tcPr>
            <w:tcW w:type="dxa" w:w="1646"/>
          </w:tcPr>
          <w:p>
            <w:pPr>
              <w:spacing w:after="20" w:before="0" w:line="247" w:lineRule="auto"/>
            </w:pPr>
            <w:r>
              <w:rPr>
                <w:rFonts w:ascii="Arial" w:hAnsi="Arial"/>
                <w:b w:val="0"/>
                <w:i w:val="0"/>
                <w:sz w:val="19"/>
              </w:rPr>
              <w:t>Farah Al Mansoori</w:t>
            </w:r>
          </w:p>
        </w:tc>
        <w:tc>
          <w:tcPr>
            <w:tcW w:type="dxa" w:w="1646"/>
          </w:tcPr>
          <w:p>
            <w:pPr>
              <w:spacing w:after="20" w:before="0" w:line="247" w:lineRule="auto"/>
            </w:pPr>
            <w:r>
              <w:rPr>
                <w:rFonts w:ascii="Arial" w:hAnsi="Arial"/>
                <w:b w:val="0"/>
                <w:i w:val="0"/>
                <w:sz w:val="19"/>
              </w:rPr>
              <w:t>Non-Executive Director</w:t>
            </w:r>
          </w:p>
        </w:tc>
        <w:tc>
          <w:tcPr>
            <w:tcW w:type="dxa" w:w="1646"/>
          </w:tcPr>
          <w:p>
            <w:pPr>
              <w:spacing w:after="20" w:before="0" w:line="247" w:lineRule="auto"/>
            </w:pPr>
            <w:r>
              <w:rPr>
                <w:rFonts w:ascii="Arial" w:hAnsi="Arial"/>
                <w:b w:val="0"/>
                <w:i w:val="0"/>
                <w:sz w:val="19"/>
              </w:rPr>
              <w:t>03-Sep-2020</w:t>
            </w:r>
          </w:p>
        </w:tc>
        <w:tc>
          <w:tcPr>
            <w:tcW w:type="dxa" w:w="1646"/>
          </w:tcPr>
          <w:p>
            <w:pPr>
              <w:spacing w:after="20" w:before="0" w:line="247" w:lineRule="auto"/>
            </w:pPr>
            <w:r>
              <w:rPr>
                <w:rFonts w:ascii="Arial" w:hAnsi="Arial"/>
                <w:b w:val="0"/>
                <w:i w:val="0"/>
                <w:sz w:val="19"/>
              </w:rPr>
              <w:t>Al Noor Capital Investments LLC</w:t>
            </w:r>
          </w:p>
        </w:tc>
        <w:tc>
          <w:tcPr>
            <w:tcW w:type="dxa" w:w="1646"/>
          </w:tcPr>
          <w:p>
            <w:pPr>
              <w:spacing w:after="20" w:before="0" w:line="247" w:lineRule="auto"/>
            </w:pPr>
            <w:r>
              <w:rPr>
                <w:rFonts w:ascii="Arial" w:hAnsi="Arial"/>
                <w:b w:val="0"/>
                <w:i w:val="0"/>
                <w:sz w:val="19"/>
              </w:rPr>
              <w:t>Risk and Compliance Committee (Chair); Audit Committee</w:t>
            </w:r>
          </w:p>
        </w:tc>
        <w:tc>
          <w:tcPr>
            <w:tcW w:type="dxa" w:w="1646"/>
          </w:tcPr>
          <w:p>
            <w:pPr>
              <w:spacing w:after="20" w:before="0" w:line="247" w:lineRule="auto"/>
            </w:pPr>
            <w:r>
              <w:rPr>
                <w:rFonts w:ascii="Arial" w:hAnsi="Arial"/>
                <w:b w:val="0"/>
                <w:i w:val="0"/>
                <w:sz w:val="19"/>
              </w:rPr>
              <w:t>Non-Independent (Investor Representative)</w:t>
            </w:r>
          </w:p>
        </w:tc>
      </w:tr>
      <w:tr>
        <w:tc>
          <w:tcPr>
            <w:tcW w:type="dxa" w:w="1646"/>
          </w:tcPr>
          <w:p>
            <w:pPr>
              <w:spacing w:after="20" w:before="0" w:line="247" w:lineRule="auto"/>
            </w:pPr>
            <w:r>
              <w:rPr>
                <w:rFonts w:ascii="Arial" w:hAnsi="Arial"/>
                <w:b w:val="0"/>
                <w:i w:val="0"/>
                <w:sz w:val="19"/>
              </w:rPr>
              <w:t>Michael Davenport</w:t>
            </w:r>
          </w:p>
        </w:tc>
        <w:tc>
          <w:tcPr>
            <w:tcW w:type="dxa" w:w="1646"/>
          </w:tcPr>
          <w:p>
            <w:pPr>
              <w:spacing w:after="20" w:before="0" w:line="247" w:lineRule="auto"/>
            </w:pPr>
            <w:r>
              <w:rPr>
                <w:rFonts w:ascii="Arial" w:hAnsi="Arial"/>
                <w:b w:val="0"/>
                <w:i w:val="0"/>
                <w:sz w:val="19"/>
              </w:rPr>
              <w:t>Independent Director</w:t>
            </w:r>
          </w:p>
        </w:tc>
        <w:tc>
          <w:tcPr>
            <w:tcW w:type="dxa" w:w="1646"/>
          </w:tcPr>
          <w:p>
            <w:pPr>
              <w:spacing w:after="20" w:before="0" w:line="247" w:lineRule="auto"/>
            </w:pPr>
            <w:r>
              <w:rPr>
                <w:rFonts w:ascii="Arial" w:hAnsi="Arial"/>
                <w:b w:val="0"/>
                <w:i w:val="0"/>
                <w:sz w:val="19"/>
              </w:rPr>
              <w:t>15-Jan-2024</w:t>
            </w:r>
          </w:p>
        </w:tc>
        <w:tc>
          <w:tcPr>
            <w:tcW w:type="dxa" w:w="1646"/>
          </w:tcPr>
          <w:p>
            <w:pPr>
              <w:spacing w:after="20" w:before="0" w:line="247" w:lineRule="auto"/>
            </w:pPr>
            <w:r>
              <w:rPr>
                <w:rFonts w:ascii="Arial" w:hAnsi="Arial"/>
                <w:b w:val="0"/>
                <w:i w:val="0"/>
                <w:sz w:val="19"/>
              </w:rPr>
              <w:t>Mutually approved by Founder and institutional investors</w:t>
            </w:r>
          </w:p>
        </w:tc>
        <w:tc>
          <w:tcPr>
            <w:tcW w:type="dxa" w:w="1646"/>
          </w:tcPr>
          <w:p>
            <w:pPr>
              <w:spacing w:after="20" w:before="0" w:line="247" w:lineRule="auto"/>
            </w:pPr>
            <w:r>
              <w:rPr>
                <w:rFonts w:ascii="Arial" w:hAnsi="Arial"/>
                <w:b w:val="0"/>
                <w:i w:val="0"/>
                <w:sz w:val="19"/>
              </w:rPr>
              <w:t>Audit Committee (Chair); Risk and Compliance Committee</w:t>
            </w:r>
          </w:p>
        </w:tc>
        <w:tc>
          <w:tcPr>
            <w:tcW w:type="dxa" w:w="1646"/>
          </w:tcPr>
          <w:p>
            <w:pPr>
              <w:spacing w:after="20" w:before="0" w:line="247" w:lineRule="auto"/>
            </w:pPr>
            <w:r>
              <w:rPr>
                <w:rFonts w:ascii="Arial" w:hAnsi="Arial"/>
                <w:b w:val="0"/>
                <w:i w:val="0"/>
                <w:sz w:val="19"/>
              </w:rPr>
              <w:t>Independent</w:t>
            </w:r>
          </w:p>
        </w:tc>
      </w:tr>
    </w:tbl>
    <w:p>
      <w:pPr>
        <w:spacing w:after="80" w:before="120" w:line="240" w:lineRule="auto"/>
      </w:pPr>
      <w:r>
        <w:rPr>
          <w:rFonts w:ascii="Arial" w:hAnsi="Arial"/>
          <w:b/>
          <w:i w:val="0"/>
          <w:color w:val="222222"/>
          <w:sz w:val="22"/>
        </w:rPr>
        <w:t>Hassan Al Rashid</w:t>
      </w:r>
    </w:p>
    <w:p>
      <w:pPr>
        <w:spacing w:after="100" w:before="0" w:line="269" w:lineRule="auto"/>
      </w:pPr>
      <w:r>
        <w:rPr>
          <w:rFonts w:ascii="Arial" w:hAnsi="Arial"/>
          <w:b w:val="0"/>
          <w:i w:val="0"/>
          <w:sz w:val="20"/>
        </w:rPr>
        <w:t>Founder of Aurelia Holdings; 25+ years in UAE real estate; oversees strategic direction, capital allocation, and shareholder relations.</w:t>
      </w:r>
    </w:p>
    <w:p>
      <w:pPr>
        <w:spacing w:after="80" w:before="120" w:line="240" w:lineRule="auto"/>
      </w:pPr>
      <w:r>
        <w:rPr>
          <w:rFonts w:ascii="Arial" w:hAnsi="Arial"/>
          <w:b/>
          <w:i w:val="0"/>
          <w:color w:val="222222"/>
          <w:sz w:val="22"/>
        </w:rPr>
        <w:t>Daniel Moretti</w:t>
      </w:r>
    </w:p>
    <w:p>
      <w:pPr>
        <w:spacing w:after="100" w:before="0" w:line="269" w:lineRule="auto"/>
      </w:pPr>
      <w:r>
        <w:rPr>
          <w:rFonts w:ascii="Arial" w:hAnsi="Arial"/>
          <w:b w:val="0"/>
          <w:i w:val="0"/>
          <w:sz w:val="20"/>
        </w:rPr>
        <w:t>Former regional managing director at an international luxury developer; responsible for operating strategy, branded residence partnerships, and execution of growth plan.</w:t>
      </w:r>
    </w:p>
    <w:p>
      <w:pPr>
        <w:spacing w:after="80" w:before="120" w:line="240" w:lineRule="auto"/>
      </w:pPr>
      <w:r>
        <w:rPr>
          <w:rFonts w:ascii="Arial" w:hAnsi="Arial"/>
          <w:b/>
          <w:i w:val="0"/>
          <w:color w:val="222222"/>
          <w:sz w:val="22"/>
        </w:rPr>
        <w:t>Victor Tan</w:t>
      </w:r>
    </w:p>
    <w:p>
      <w:pPr>
        <w:spacing w:after="100" w:before="0" w:line="269" w:lineRule="auto"/>
      </w:pPr>
      <w:r>
        <w:rPr>
          <w:rFonts w:ascii="Arial" w:hAnsi="Arial"/>
          <w:b w:val="0"/>
          <w:i w:val="0"/>
          <w:sz w:val="20"/>
        </w:rPr>
        <w:t>Partner at Meridian Global Real Estate Ltd with regional development and institutional capital markets experience.</w:t>
      </w:r>
    </w:p>
    <w:p>
      <w:pPr>
        <w:spacing w:after="80" w:before="120" w:line="240" w:lineRule="auto"/>
      </w:pPr>
      <w:r>
        <w:rPr>
          <w:rFonts w:ascii="Arial" w:hAnsi="Arial"/>
          <w:b/>
          <w:i w:val="0"/>
          <w:color w:val="222222"/>
          <w:sz w:val="22"/>
        </w:rPr>
        <w:t>Farah Al Mansoori</w:t>
      </w:r>
    </w:p>
    <w:p>
      <w:pPr>
        <w:spacing w:after="100" w:before="0" w:line="269" w:lineRule="auto"/>
      </w:pPr>
      <w:r>
        <w:rPr>
          <w:rFonts w:ascii="Arial" w:hAnsi="Arial"/>
          <w:b w:val="0"/>
          <w:i w:val="0"/>
          <w:sz w:val="20"/>
        </w:rPr>
        <w:t>Managing Partner at Al Noor Capital; background in private capital, governance oversight, and treasury discipline.</w:t>
      </w:r>
    </w:p>
    <w:p>
      <w:pPr>
        <w:spacing w:after="80" w:before="120" w:line="240" w:lineRule="auto"/>
      </w:pPr>
      <w:r>
        <w:rPr>
          <w:rFonts w:ascii="Arial" w:hAnsi="Arial"/>
          <w:b/>
          <w:i w:val="0"/>
          <w:color w:val="222222"/>
          <w:sz w:val="22"/>
        </w:rPr>
        <w:t>Michael Davenport</w:t>
      </w:r>
    </w:p>
    <w:p>
      <w:pPr>
        <w:spacing w:after="100" w:before="0" w:line="269" w:lineRule="auto"/>
      </w:pPr>
      <w:r>
        <w:rPr>
          <w:rFonts w:ascii="Arial" w:hAnsi="Arial"/>
          <w:b w:val="0"/>
          <w:i w:val="0"/>
          <w:sz w:val="20"/>
        </w:rPr>
        <w:t>Former head of Middle East real estate advisory at a Big 4 firm; extensive board and transaction experience across GCC development platforms.</w:t>
      </w:r>
    </w:p>
    <w:p>
      <w:pPr>
        <w:spacing w:after="100" w:before="0" w:line="269" w:lineRule="auto"/>
      </w:pPr>
      <w:r>
        <w:rPr>
          <w:rFonts w:ascii="Arial" w:hAnsi="Arial"/>
          <w:b w:val="0"/>
          <w:i w:val="0"/>
          <w:sz w:val="20"/>
        </w:rPr>
        <w:t>The present board structure compares favorably with governance norms for privately held developers seeking institutional capital. Founder influence remains clear, but investor board representation is contractually meaningful, and the introduction of an independent director strengthens both optics and substance for any future sponsor transaction, refinancing, or public market readiness exercise.</w:t>
      </w:r>
    </w:p>
    <w:p>
      <w:pPr>
        <w:spacing w:after="80" w:before="200" w:line="240" w:lineRule="auto"/>
      </w:pPr>
      <w:r>
        <w:rPr>
          <w:rFonts w:ascii="Arial" w:hAnsi="Arial"/>
          <w:b/>
          <w:i w:val="0"/>
          <w:color w:val="1F4E79"/>
          <w:sz w:val="24"/>
        </w:rPr>
        <w:t>3. CURRENT CORPORATE OFFICERS</w:t>
      </w:r>
    </w:p>
    <w:p>
      <w:pPr>
        <w:spacing w:after="100" w:before="0" w:line="269" w:lineRule="auto"/>
      </w:pPr>
      <w:r>
        <w:rPr>
          <w:rFonts w:ascii="Arial" w:hAnsi="Arial"/>
          <w:b w:val="0"/>
          <w:i w:val="0"/>
          <w:sz w:val="20"/>
        </w:rPr>
        <w:t>The Company’s current officer group is organized around a central CEO-led structure supported by dedicated finance, operations, development, investor relations, and legal / governance functions. This management architecture is more sophisticated than a typical founder-controlled development company of comparable age and is consistent with the Company’s scale of operations and multi-project execution profile.</w:t>
      </w:r>
    </w:p>
    <w:tbl>
      <w:tblPr>
        <w:tblStyle w:val="TableGrid"/>
        <w:tblW w:type="auto" w:w="0"/>
        <w:tblLook w:firstColumn="1" w:firstRow="1" w:lastColumn="0" w:lastRow="0" w:noHBand="0" w:noVBand="1" w:val="04A0"/>
      </w:tblPr>
      <w:tblGrid>
        <w:gridCol w:w="1976"/>
        <w:gridCol w:w="1976"/>
        <w:gridCol w:w="1976"/>
        <w:gridCol w:w="1976"/>
        <w:gridCol w:w="1976"/>
      </w:tblGrid>
      <w:tr>
        <w:tc>
          <w:tcPr>
            <w:tcW w:type="dxa" w:w="1976"/>
            <w:shd w:fill="1F4E79"/>
          </w:tcPr>
          <w:p>
            <w:pPr>
              <w:spacing w:after="0" w:before="0" w:line="240" w:lineRule="auto"/>
            </w:pPr>
            <w:r>
              <w:rPr>
                <w:rFonts w:ascii="Arial" w:hAnsi="Arial"/>
                <w:b/>
                <w:i w:val="0"/>
                <w:color w:val="FFFFFF"/>
                <w:sz w:val="19"/>
              </w:rPr>
              <w:t>Officer Name</w:t>
            </w:r>
          </w:p>
        </w:tc>
        <w:tc>
          <w:tcPr>
            <w:tcW w:type="dxa" w:w="1976"/>
            <w:shd w:fill="1F4E79"/>
          </w:tcPr>
          <w:p>
            <w:pPr>
              <w:spacing w:after="0" w:before="0" w:line="240" w:lineRule="auto"/>
            </w:pPr>
            <w:r>
              <w:rPr>
                <w:rFonts w:ascii="Arial" w:hAnsi="Arial"/>
                <w:b/>
                <w:i w:val="0"/>
                <w:color w:val="FFFFFF"/>
                <w:sz w:val="19"/>
              </w:rPr>
              <w:t>Title</w:t>
            </w:r>
          </w:p>
        </w:tc>
        <w:tc>
          <w:tcPr>
            <w:tcW w:type="dxa" w:w="1976"/>
            <w:shd w:fill="1F4E79"/>
          </w:tcPr>
          <w:p>
            <w:pPr>
              <w:spacing w:after="0" w:before="0" w:line="240" w:lineRule="auto"/>
            </w:pPr>
            <w:r>
              <w:rPr>
                <w:rFonts w:ascii="Arial" w:hAnsi="Arial"/>
                <w:b/>
                <w:i w:val="0"/>
                <w:color w:val="FFFFFF"/>
                <w:sz w:val="19"/>
              </w:rPr>
              <w:t>Appointment Date</w:t>
            </w:r>
          </w:p>
        </w:tc>
        <w:tc>
          <w:tcPr>
            <w:tcW w:type="dxa" w:w="1976"/>
            <w:shd w:fill="1F4E79"/>
          </w:tcPr>
          <w:p>
            <w:pPr>
              <w:spacing w:after="0" w:before="0" w:line="240" w:lineRule="auto"/>
            </w:pPr>
            <w:r>
              <w:rPr>
                <w:rFonts w:ascii="Arial" w:hAnsi="Arial"/>
                <w:b/>
                <w:i w:val="0"/>
                <w:color w:val="FFFFFF"/>
                <w:sz w:val="19"/>
              </w:rPr>
              <w:t>Reporting Line</w:t>
            </w:r>
          </w:p>
        </w:tc>
        <w:tc>
          <w:tcPr>
            <w:tcW w:type="dxa" w:w="1976"/>
            <w:shd w:fill="1F4E79"/>
          </w:tcPr>
          <w:p>
            <w:pPr>
              <w:spacing w:after="0" w:before="0" w:line="240" w:lineRule="auto"/>
            </w:pPr>
            <w:r>
              <w:rPr>
                <w:rFonts w:ascii="Arial" w:hAnsi="Arial"/>
                <w:b/>
                <w:i w:val="0"/>
                <w:color w:val="FFFFFF"/>
                <w:sz w:val="19"/>
              </w:rPr>
              <w:t>Employment Status</w:t>
            </w:r>
          </w:p>
        </w:tc>
      </w:tr>
      <w:tr>
        <w:tc>
          <w:tcPr>
            <w:tcW w:type="dxa" w:w="1976"/>
          </w:tcPr>
          <w:p>
            <w:pPr>
              <w:spacing w:after="20" w:before="0" w:line="247" w:lineRule="auto"/>
            </w:pPr>
            <w:r>
              <w:rPr>
                <w:rFonts w:ascii="Arial" w:hAnsi="Arial"/>
                <w:b w:val="0"/>
                <w:i w:val="0"/>
                <w:sz w:val="19"/>
              </w:rPr>
              <w:t>Daniel Moretti</w:t>
            </w:r>
          </w:p>
        </w:tc>
        <w:tc>
          <w:tcPr>
            <w:tcW w:type="dxa" w:w="1976"/>
          </w:tcPr>
          <w:p>
            <w:pPr>
              <w:spacing w:after="20" w:before="0" w:line="247" w:lineRule="auto"/>
            </w:pPr>
            <w:r>
              <w:rPr>
                <w:rFonts w:ascii="Arial" w:hAnsi="Arial"/>
                <w:b w:val="0"/>
                <w:i w:val="0"/>
                <w:sz w:val="19"/>
              </w:rPr>
              <w:t>Chief Executive Officer</w:t>
            </w:r>
          </w:p>
        </w:tc>
        <w:tc>
          <w:tcPr>
            <w:tcW w:type="dxa" w:w="1976"/>
          </w:tcPr>
          <w:p>
            <w:pPr>
              <w:spacing w:after="20" w:before="0" w:line="247" w:lineRule="auto"/>
            </w:pPr>
            <w:r>
              <w:rPr>
                <w:rFonts w:ascii="Arial" w:hAnsi="Arial"/>
                <w:b w:val="0"/>
                <w:i w:val="0"/>
                <w:sz w:val="19"/>
              </w:rPr>
              <w:t>01-Jul-2019</w:t>
            </w:r>
          </w:p>
        </w:tc>
        <w:tc>
          <w:tcPr>
            <w:tcW w:type="dxa" w:w="1976"/>
          </w:tcPr>
          <w:p>
            <w:pPr>
              <w:spacing w:after="20" w:before="0" w:line="247" w:lineRule="auto"/>
            </w:pPr>
            <w:r>
              <w:rPr>
                <w:rFonts w:ascii="Arial" w:hAnsi="Arial"/>
                <w:b w:val="0"/>
                <w:i w:val="0"/>
                <w:sz w:val="19"/>
              </w:rPr>
              <w:t>Board of Directors</w:t>
            </w:r>
          </w:p>
        </w:tc>
        <w:tc>
          <w:tcPr>
            <w:tcW w:type="dxa" w:w="1976"/>
          </w:tcPr>
          <w:p>
            <w:pPr>
              <w:spacing w:after="20" w:before="0" w:line="247" w:lineRule="auto"/>
            </w:pPr>
            <w:r>
              <w:rPr>
                <w:rFonts w:ascii="Arial" w:hAnsi="Arial"/>
                <w:b w:val="0"/>
                <w:i w:val="0"/>
                <w:sz w:val="19"/>
              </w:rPr>
              <w:t>Full-time executive officer</w:t>
            </w:r>
          </w:p>
        </w:tc>
      </w:tr>
      <w:tr>
        <w:tc>
          <w:tcPr>
            <w:tcW w:type="dxa" w:w="1976"/>
          </w:tcPr>
          <w:p>
            <w:pPr>
              <w:spacing w:after="20" w:before="0" w:line="247" w:lineRule="auto"/>
            </w:pPr>
            <w:r>
              <w:rPr>
                <w:rFonts w:ascii="Arial" w:hAnsi="Arial"/>
                <w:b w:val="0"/>
                <w:i w:val="0"/>
                <w:sz w:val="19"/>
              </w:rPr>
              <w:t>Omar Khalidi</w:t>
            </w:r>
          </w:p>
        </w:tc>
        <w:tc>
          <w:tcPr>
            <w:tcW w:type="dxa" w:w="1976"/>
          </w:tcPr>
          <w:p>
            <w:pPr>
              <w:spacing w:after="20" w:before="0" w:line="247" w:lineRule="auto"/>
            </w:pPr>
            <w:r>
              <w:rPr>
                <w:rFonts w:ascii="Arial" w:hAnsi="Arial"/>
                <w:b w:val="0"/>
                <w:i w:val="0"/>
                <w:sz w:val="19"/>
              </w:rPr>
              <w:t>Chief Financial Officer</w:t>
            </w:r>
          </w:p>
        </w:tc>
        <w:tc>
          <w:tcPr>
            <w:tcW w:type="dxa" w:w="1976"/>
          </w:tcPr>
          <w:p>
            <w:pPr>
              <w:spacing w:after="20" w:before="0" w:line="247" w:lineRule="auto"/>
            </w:pPr>
            <w:r>
              <w:rPr>
                <w:rFonts w:ascii="Arial" w:hAnsi="Arial"/>
                <w:b w:val="0"/>
                <w:i w:val="0"/>
                <w:sz w:val="19"/>
              </w:rPr>
              <w:t>15-Feb-2018</w:t>
            </w:r>
          </w:p>
        </w:tc>
        <w:tc>
          <w:tcPr>
            <w:tcW w:type="dxa" w:w="1976"/>
          </w:tcPr>
          <w:p>
            <w:pPr>
              <w:spacing w:after="20" w:before="0" w:line="247" w:lineRule="auto"/>
            </w:pPr>
            <w:r>
              <w:rPr>
                <w:rFonts w:ascii="Arial" w:hAnsi="Arial"/>
                <w:b w:val="0"/>
                <w:i w:val="0"/>
                <w:sz w:val="19"/>
              </w:rPr>
              <w:t>Chief Executive Officer</w:t>
            </w:r>
          </w:p>
        </w:tc>
        <w:tc>
          <w:tcPr>
            <w:tcW w:type="dxa" w:w="1976"/>
          </w:tcPr>
          <w:p>
            <w:pPr>
              <w:spacing w:after="20" w:before="0" w:line="247" w:lineRule="auto"/>
            </w:pPr>
            <w:r>
              <w:rPr>
                <w:rFonts w:ascii="Arial" w:hAnsi="Arial"/>
                <w:b w:val="0"/>
                <w:i w:val="0"/>
                <w:sz w:val="19"/>
              </w:rPr>
              <w:t>Full-time executive officer</w:t>
            </w:r>
          </w:p>
        </w:tc>
      </w:tr>
      <w:tr>
        <w:tc>
          <w:tcPr>
            <w:tcW w:type="dxa" w:w="1976"/>
          </w:tcPr>
          <w:p>
            <w:pPr>
              <w:spacing w:after="20" w:before="0" w:line="247" w:lineRule="auto"/>
            </w:pPr>
            <w:r>
              <w:rPr>
                <w:rFonts w:ascii="Arial" w:hAnsi="Arial"/>
                <w:b w:val="0"/>
                <w:i w:val="0"/>
                <w:sz w:val="19"/>
              </w:rPr>
              <w:t>Elena Petrova</w:t>
            </w:r>
          </w:p>
        </w:tc>
        <w:tc>
          <w:tcPr>
            <w:tcW w:type="dxa" w:w="1976"/>
          </w:tcPr>
          <w:p>
            <w:pPr>
              <w:spacing w:after="20" w:before="0" w:line="247" w:lineRule="auto"/>
            </w:pPr>
            <w:r>
              <w:rPr>
                <w:rFonts w:ascii="Arial" w:hAnsi="Arial"/>
                <w:b w:val="0"/>
                <w:i w:val="0"/>
                <w:sz w:val="19"/>
              </w:rPr>
              <w:t>Chief Development Officer</w:t>
            </w:r>
          </w:p>
        </w:tc>
        <w:tc>
          <w:tcPr>
            <w:tcW w:type="dxa" w:w="1976"/>
          </w:tcPr>
          <w:p>
            <w:pPr>
              <w:spacing w:after="20" w:before="0" w:line="247" w:lineRule="auto"/>
            </w:pPr>
            <w:r>
              <w:rPr>
                <w:rFonts w:ascii="Arial" w:hAnsi="Arial"/>
                <w:b w:val="0"/>
                <w:i w:val="0"/>
                <w:sz w:val="19"/>
              </w:rPr>
              <w:t>01-Apr-2018</w:t>
            </w:r>
          </w:p>
        </w:tc>
        <w:tc>
          <w:tcPr>
            <w:tcW w:type="dxa" w:w="1976"/>
          </w:tcPr>
          <w:p>
            <w:pPr>
              <w:spacing w:after="20" w:before="0" w:line="247" w:lineRule="auto"/>
            </w:pPr>
            <w:r>
              <w:rPr>
                <w:rFonts w:ascii="Arial" w:hAnsi="Arial"/>
                <w:b w:val="0"/>
                <w:i w:val="0"/>
                <w:sz w:val="19"/>
              </w:rPr>
              <w:t>Chief Executive Officer</w:t>
            </w:r>
          </w:p>
        </w:tc>
        <w:tc>
          <w:tcPr>
            <w:tcW w:type="dxa" w:w="1976"/>
          </w:tcPr>
          <w:p>
            <w:pPr>
              <w:spacing w:after="20" w:before="0" w:line="247" w:lineRule="auto"/>
            </w:pPr>
            <w:r>
              <w:rPr>
                <w:rFonts w:ascii="Arial" w:hAnsi="Arial"/>
                <w:b w:val="0"/>
                <w:i w:val="0"/>
                <w:sz w:val="19"/>
              </w:rPr>
              <w:t>Full-time executive officer</w:t>
            </w:r>
          </w:p>
        </w:tc>
      </w:tr>
      <w:tr>
        <w:tc>
          <w:tcPr>
            <w:tcW w:type="dxa" w:w="1976"/>
          </w:tcPr>
          <w:p>
            <w:pPr>
              <w:spacing w:after="20" w:before="0" w:line="247" w:lineRule="auto"/>
            </w:pPr>
            <w:r>
              <w:rPr>
                <w:rFonts w:ascii="Arial" w:hAnsi="Arial"/>
                <w:b w:val="0"/>
                <w:i w:val="0"/>
                <w:sz w:val="19"/>
              </w:rPr>
              <w:t>Rania Saeed</w:t>
            </w:r>
          </w:p>
        </w:tc>
        <w:tc>
          <w:tcPr>
            <w:tcW w:type="dxa" w:w="1976"/>
          </w:tcPr>
          <w:p>
            <w:pPr>
              <w:spacing w:after="20" w:before="0" w:line="247" w:lineRule="auto"/>
            </w:pPr>
            <w:r>
              <w:rPr>
                <w:rFonts w:ascii="Arial" w:hAnsi="Arial"/>
                <w:b w:val="0"/>
                <w:i w:val="0"/>
                <w:sz w:val="19"/>
              </w:rPr>
              <w:t>Chief Operating Officer</w:t>
            </w:r>
          </w:p>
        </w:tc>
        <w:tc>
          <w:tcPr>
            <w:tcW w:type="dxa" w:w="1976"/>
          </w:tcPr>
          <w:p>
            <w:pPr>
              <w:spacing w:after="20" w:before="0" w:line="247" w:lineRule="auto"/>
            </w:pPr>
            <w:r>
              <w:rPr>
                <w:rFonts w:ascii="Arial" w:hAnsi="Arial"/>
                <w:b w:val="0"/>
                <w:i w:val="0"/>
                <w:sz w:val="19"/>
              </w:rPr>
              <w:t>10-Oct-2022</w:t>
            </w:r>
          </w:p>
        </w:tc>
        <w:tc>
          <w:tcPr>
            <w:tcW w:type="dxa" w:w="1976"/>
          </w:tcPr>
          <w:p>
            <w:pPr>
              <w:spacing w:after="20" w:before="0" w:line="247" w:lineRule="auto"/>
            </w:pPr>
            <w:r>
              <w:rPr>
                <w:rFonts w:ascii="Arial" w:hAnsi="Arial"/>
                <w:b w:val="0"/>
                <w:i w:val="0"/>
                <w:sz w:val="19"/>
              </w:rPr>
              <w:t>Chief Executive Officer</w:t>
            </w:r>
          </w:p>
        </w:tc>
        <w:tc>
          <w:tcPr>
            <w:tcW w:type="dxa" w:w="1976"/>
          </w:tcPr>
          <w:p>
            <w:pPr>
              <w:spacing w:after="20" w:before="0" w:line="247" w:lineRule="auto"/>
            </w:pPr>
            <w:r>
              <w:rPr>
                <w:rFonts w:ascii="Arial" w:hAnsi="Arial"/>
                <w:b w:val="0"/>
                <w:i w:val="0"/>
                <w:sz w:val="19"/>
              </w:rPr>
              <w:t>Full-time executive officer</w:t>
            </w:r>
          </w:p>
        </w:tc>
      </w:tr>
      <w:tr>
        <w:tc>
          <w:tcPr>
            <w:tcW w:type="dxa" w:w="1976"/>
          </w:tcPr>
          <w:p>
            <w:pPr>
              <w:spacing w:after="20" w:before="0" w:line="247" w:lineRule="auto"/>
            </w:pPr>
            <w:r>
              <w:rPr>
                <w:rFonts w:ascii="Arial" w:hAnsi="Arial"/>
                <w:b w:val="0"/>
                <w:i w:val="0"/>
                <w:sz w:val="19"/>
              </w:rPr>
              <w:t>Yousef Al Mazrouei</w:t>
            </w:r>
          </w:p>
        </w:tc>
        <w:tc>
          <w:tcPr>
            <w:tcW w:type="dxa" w:w="1976"/>
          </w:tcPr>
          <w:p>
            <w:pPr>
              <w:spacing w:after="20" w:before="0" w:line="247" w:lineRule="auto"/>
            </w:pPr>
            <w:r>
              <w:rPr>
                <w:rFonts w:ascii="Arial" w:hAnsi="Arial"/>
                <w:b w:val="0"/>
                <w:i w:val="0"/>
                <w:sz w:val="19"/>
              </w:rPr>
              <w:t>Head of Investor Relations</w:t>
            </w:r>
          </w:p>
        </w:tc>
        <w:tc>
          <w:tcPr>
            <w:tcW w:type="dxa" w:w="1976"/>
          </w:tcPr>
          <w:p>
            <w:pPr>
              <w:spacing w:after="20" w:before="0" w:line="247" w:lineRule="auto"/>
            </w:pPr>
            <w:r>
              <w:rPr>
                <w:rFonts w:ascii="Arial" w:hAnsi="Arial"/>
                <w:b w:val="0"/>
                <w:i w:val="0"/>
                <w:sz w:val="19"/>
              </w:rPr>
              <w:t>01-Jun-2021</w:t>
            </w:r>
          </w:p>
        </w:tc>
        <w:tc>
          <w:tcPr>
            <w:tcW w:type="dxa" w:w="1976"/>
          </w:tcPr>
          <w:p>
            <w:pPr>
              <w:spacing w:after="20" w:before="0" w:line="247" w:lineRule="auto"/>
            </w:pPr>
            <w:r>
              <w:rPr>
                <w:rFonts w:ascii="Arial" w:hAnsi="Arial"/>
                <w:b w:val="0"/>
                <w:i w:val="0"/>
                <w:sz w:val="19"/>
              </w:rPr>
              <w:t>Chief Financial Officer / CEO (dotted line)</w:t>
            </w:r>
          </w:p>
        </w:tc>
        <w:tc>
          <w:tcPr>
            <w:tcW w:type="dxa" w:w="1976"/>
          </w:tcPr>
          <w:p>
            <w:pPr>
              <w:spacing w:after="20" w:before="0" w:line="247" w:lineRule="auto"/>
            </w:pPr>
            <w:r>
              <w:rPr>
                <w:rFonts w:ascii="Arial" w:hAnsi="Arial"/>
                <w:b w:val="0"/>
                <w:i w:val="0"/>
                <w:sz w:val="19"/>
              </w:rPr>
              <w:t>Full-time senior officer</w:t>
            </w:r>
          </w:p>
        </w:tc>
      </w:tr>
      <w:tr>
        <w:tc>
          <w:tcPr>
            <w:tcW w:type="dxa" w:w="1976"/>
          </w:tcPr>
          <w:p>
            <w:pPr>
              <w:spacing w:after="20" w:before="0" w:line="247" w:lineRule="auto"/>
            </w:pPr>
            <w:r>
              <w:rPr>
                <w:rFonts w:ascii="Arial" w:hAnsi="Arial"/>
                <w:b w:val="0"/>
                <w:i w:val="0"/>
                <w:sz w:val="19"/>
              </w:rPr>
              <w:t>Sophie Lambert</w:t>
            </w:r>
          </w:p>
        </w:tc>
        <w:tc>
          <w:tcPr>
            <w:tcW w:type="dxa" w:w="1976"/>
          </w:tcPr>
          <w:p>
            <w:pPr>
              <w:spacing w:after="20" w:before="0" w:line="247" w:lineRule="auto"/>
            </w:pPr>
            <w:r>
              <w:rPr>
                <w:rFonts w:ascii="Arial" w:hAnsi="Arial"/>
                <w:b w:val="0"/>
                <w:i w:val="0"/>
                <w:sz w:val="19"/>
              </w:rPr>
              <w:t>General Counsel and Corporate Secretary</w:t>
            </w:r>
          </w:p>
        </w:tc>
        <w:tc>
          <w:tcPr>
            <w:tcW w:type="dxa" w:w="1976"/>
          </w:tcPr>
          <w:p>
            <w:pPr>
              <w:spacing w:after="20" w:before="0" w:line="247" w:lineRule="auto"/>
            </w:pPr>
            <w:r>
              <w:rPr>
                <w:rFonts w:ascii="Arial" w:hAnsi="Arial"/>
                <w:b w:val="0"/>
                <w:i w:val="0"/>
                <w:sz w:val="19"/>
              </w:rPr>
              <w:t>01-Sep-2023</w:t>
            </w:r>
          </w:p>
        </w:tc>
        <w:tc>
          <w:tcPr>
            <w:tcW w:type="dxa" w:w="1976"/>
          </w:tcPr>
          <w:p>
            <w:pPr>
              <w:spacing w:after="20" w:before="0" w:line="247" w:lineRule="auto"/>
            </w:pPr>
            <w:r>
              <w:rPr>
                <w:rFonts w:ascii="Arial" w:hAnsi="Arial"/>
                <w:b w:val="0"/>
                <w:i w:val="0"/>
                <w:sz w:val="19"/>
              </w:rPr>
              <w:t>Chief Executive Officer; Board access for governance matters</w:t>
            </w:r>
          </w:p>
        </w:tc>
        <w:tc>
          <w:tcPr>
            <w:tcW w:type="dxa" w:w="1976"/>
          </w:tcPr>
          <w:p>
            <w:pPr>
              <w:spacing w:after="20" w:before="0" w:line="247" w:lineRule="auto"/>
            </w:pPr>
            <w:r>
              <w:rPr>
                <w:rFonts w:ascii="Arial" w:hAnsi="Arial"/>
                <w:b w:val="0"/>
                <w:i w:val="0"/>
                <w:sz w:val="19"/>
              </w:rPr>
              <w:t>Full-time senior officer</w:t>
            </w:r>
          </w:p>
        </w:tc>
      </w:tr>
    </w:tbl>
    <w:p>
      <w:pPr>
        <w:spacing w:after="80" w:before="120" w:line="240" w:lineRule="auto"/>
      </w:pPr>
      <w:r>
        <w:rPr>
          <w:rFonts w:ascii="Arial" w:hAnsi="Arial"/>
          <w:b/>
          <w:i w:val="0"/>
          <w:color w:val="222222"/>
          <w:sz w:val="22"/>
        </w:rPr>
        <w:t>Daniel Moretti – Chief Executive Officer</w:t>
      </w:r>
    </w:p>
    <w:p>
      <w:pPr>
        <w:spacing w:after="100" w:before="0" w:line="269" w:lineRule="auto"/>
      </w:pPr>
      <w:r>
        <w:rPr>
          <w:rFonts w:ascii="Arial" w:hAnsi="Arial"/>
          <w:b w:val="0"/>
          <w:i w:val="0"/>
          <w:sz w:val="20"/>
        </w:rPr>
        <w:t>Overall management of the Company; project portfolio strategy; hospitality and capital partner relationships; executive oversight of development pipeline.</w:t>
      </w:r>
    </w:p>
    <w:p>
      <w:pPr>
        <w:spacing w:after="80" w:before="120" w:line="240" w:lineRule="auto"/>
      </w:pPr>
      <w:r>
        <w:rPr>
          <w:rFonts w:ascii="Arial" w:hAnsi="Arial"/>
          <w:b/>
          <w:i w:val="0"/>
          <w:color w:val="222222"/>
          <w:sz w:val="22"/>
        </w:rPr>
        <w:t>Omar Khalidi – Chief Financial Officer</w:t>
      </w:r>
    </w:p>
    <w:p>
      <w:pPr>
        <w:spacing w:after="100" w:before="0" w:line="269" w:lineRule="auto"/>
      </w:pPr>
      <w:r>
        <w:rPr>
          <w:rFonts w:ascii="Arial" w:hAnsi="Arial"/>
          <w:b w:val="0"/>
          <w:i w:val="0"/>
          <w:sz w:val="20"/>
        </w:rPr>
        <w:t>Corporate finance, treasury, project financing, budgeting, lender relations, statutory reporting, and oversight of finance teams across project SPVs.</w:t>
      </w:r>
    </w:p>
    <w:p>
      <w:pPr>
        <w:spacing w:after="80" w:before="120" w:line="240" w:lineRule="auto"/>
      </w:pPr>
      <w:r>
        <w:rPr>
          <w:rFonts w:ascii="Arial" w:hAnsi="Arial"/>
          <w:b/>
          <w:i w:val="0"/>
          <w:color w:val="222222"/>
          <w:sz w:val="22"/>
        </w:rPr>
        <w:t>Elena Petrova – Chief Development Officer</w:t>
      </w:r>
    </w:p>
    <w:p>
      <w:pPr>
        <w:spacing w:after="100" w:before="0" w:line="269" w:lineRule="auto"/>
      </w:pPr>
      <w:r>
        <w:rPr>
          <w:rFonts w:ascii="Arial" w:hAnsi="Arial"/>
          <w:b w:val="0"/>
          <w:i w:val="0"/>
          <w:sz w:val="20"/>
        </w:rPr>
        <w:t>Development management, design coordination, procurement oversight, construction monitoring, and delivery across flagship tower and villa projects.</w:t>
      </w:r>
    </w:p>
    <w:p>
      <w:pPr>
        <w:spacing w:after="80" w:before="120" w:line="240" w:lineRule="auto"/>
      </w:pPr>
      <w:r>
        <w:rPr>
          <w:rFonts w:ascii="Arial" w:hAnsi="Arial"/>
          <w:b/>
          <w:i w:val="0"/>
          <w:color w:val="222222"/>
          <w:sz w:val="22"/>
        </w:rPr>
        <w:t>Rania Saeed – Chief Operating Officer</w:t>
      </w:r>
    </w:p>
    <w:p>
      <w:pPr>
        <w:spacing w:after="100" w:before="0" w:line="269" w:lineRule="auto"/>
      </w:pPr>
      <w:r>
        <w:rPr>
          <w:rFonts w:ascii="Arial" w:hAnsi="Arial"/>
          <w:b w:val="0"/>
          <w:i w:val="0"/>
          <w:sz w:val="20"/>
        </w:rPr>
        <w:t>Operational governance, PMO oversight, cross-functional reporting, internal controls implementation, and execution of board-approved operating plan.</w:t>
      </w:r>
    </w:p>
    <w:p>
      <w:pPr>
        <w:spacing w:after="80" w:before="120" w:line="240" w:lineRule="auto"/>
      </w:pPr>
      <w:r>
        <w:rPr>
          <w:rFonts w:ascii="Arial" w:hAnsi="Arial"/>
          <w:b/>
          <w:i w:val="0"/>
          <w:color w:val="222222"/>
          <w:sz w:val="22"/>
        </w:rPr>
        <w:t>Yousef Al Mazrouei – Head of Investor Relations</w:t>
      </w:r>
    </w:p>
    <w:p>
      <w:pPr>
        <w:spacing w:after="100" w:before="0" w:line="269" w:lineRule="auto"/>
      </w:pPr>
      <w:r>
        <w:rPr>
          <w:rFonts w:ascii="Arial" w:hAnsi="Arial"/>
          <w:b w:val="0"/>
          <w:i w:val="0"/>
          <w:sz w:val="20"/>
        </w:rPr>
        <w:t>Investor communications, fundraising support, reporting packs for institutional investors, and coordination of market messaging with legal and finance teams.</w:t>
      </w:r>
    </w:p>
    <w:p>
      <w:pPr>
        <w:spacing w:after="80" w:before="120" w:line="240" w:lineRule="auto"/>
      </w:pPr>
      <w:r>
        <w:rPr>
          <w:rFonts w:ascii="Arial" w:hAnsi="Arial"/>
          <w:b/>
          <w:i w:val="0"/>
          <w:color w:val="222222"/>
          <w:sz w:val="22"/>
        </w:rPr>
        <w:t>Sophie Lambert – General Counsel and Corporate Secretary</w:t>
      </w:r>
    </w:p>
    <w:p>
      <w:pPr>
        <w:spacing w:after="100" w:before="0" w:line="269" w:lineRule="auto"/>
      </w:pPr>
      <w:r>
        <w:rPr>
          <w:rFonts w:ascii="Arial" w:hAnsi="Arial"/>
          <w:b w:val="0"/>
          <w:i w:val="0"/>
          <w:sz w:val="20"/>
        </w:rPr>
        <w:t>Board support, governance documentation, contract risk management, shareholder matters, and external counsel coordination.</w:t>
      </w:r>
    </w:p>
    <w:p>
      <w:pPr>
        <w:spacing w:after="80" w:before="200" w:line="240" w:lineRule="auto"/>
      </w:pPr>
      <w:r>
        <w:rPr>
          <w:rFonts w:ascii="Arial" w:hAnsi="Arial"/>
          <w:b/>
          <w:i w:val="0"/>
          <w:color w:val="1F4E79"/>
          <w:sz w:val="24"/>
        </w:rPr>
        <w:t>4. FORMER DIRECTORS</w:t>
      </w:r>
    </w:p>
    <w:p>
      <w:pPr>
        <w:spacing w:after="100" w:before="0" w:line="269" w:lineRule="auto"/>
      </w:pPr>
      <w:r>
        <w:rPr>
          <w:rFonts w:ascii="Arial" w:hAnsi="Arial"/>
          <w:b w:val="0"/>
          <w:i w:val="0"/>
          <w:sz w:val="20"/>
        </w:rPr>
        <w:t>The historical board record indicates a measured evolution rather than repeated instability. Changes in board composition appear tied primarily to institutional investor onboarding, board refresh dynamics, and the Company’s transition from entrepreneurial oversight to more formal governance.</w:t>
      </w:r>
    </w:p>
    <w:tbl>
      <w:tblPr>
        <w:tblStyle w:val="TableGrid"/>
        <w:tblW w:type="auto" w:w="0"/>
        <w:tblLook w:firstColumn="1" w:firstRow="1" w:lastColumn="0" w:lastRow="0" w:noHBand="0" w:noVBand="1" w:val="04A0"/>
      </w:tblPr>
      <w:tblGrid>
        <w:gridCol w:w="1976"/>
        <w:gridCol w:w="1976"/>
        <w:gridCol w:w="1976"/>
        <w:gridCol w:w="1976"/>
        <w:gridCol w:w="1976"/>
      </w:tblGrid>
      <w:tr>
        <w:tc>
          <w:tcPr>
            <w:tcW w:type="dxa" w:w="1976"/>
            <w:shd w:fill="1F4E79"/>
          </w:tcPr>
          <w:p>
            <w:pPr>
              <w:spacing w:after="0" w:before="0" w:line="240" w:lineRule="auto"/>
            </w:pPr>
            <w:r>
              <w:rPr>
                <w:rFonts w:ascii="Arial" w:hAnsi="Arial"/>
                <w:b/>
                <w:i w:val="0"/>
                <w:color w:val="FFFFFF"/>
                <w:sz w:val="19"/>
              </w:rPr>
              <w:t>Director Name</w:t>
            </w:r>
          </w:p>
        </w:tc>
        <w:tc>
          <w:tcPr>
            <w:tcW w:type="dxa" w:w="1976"/>
            <w:shd w:fill="1F4E79"/>
          </w:tcPr>
          <w:p>
            <w:pPr>
              <w:spacing w:after="0" w:before="0" w:line="240" w:lineRule="auto"/>
            </w:pPr>
            <w:r>
              <w:rPr>
                <w:rFonts w:ascii="Arial" w:hAnsi="Arial"/>
                <w:b/>
                <w:i w:val="0"/>
                <w:color w:val="FFFFFF"/>
                <w:sz w:val="19"/>
              </w:rPr>
              <w:t>Position</w:t>
            </w:r>
          </w:p>
        </w:tc>
        <w:tc>
          <w:tcPr>
            <w:tcW w:type="dxa" w:w="1976"/>
            <w:shd w:fill="1F4E79"/>
          </w:tcPr>
          <w:p>
            <w:pPr>
              <w:spacing w:after="0" w:before="0" w:line="240" w:lineRule="auto"/>
            </w:pPr>
            <w:r>
              <w:rPr>
                <w:rFonts w:ascii="Arial" w:hAnsi="Arial"/>
                <w:b/>
                <w:i w:val="0"/>
                <w:color w:val="FFFFFF"/>
                <w:sz w:val="19"/>
              </w:rPr>
              <w:t>Appointment Date</w:t>
            </w:r>
          </w:p>
        </w:tc>
        <w:tc>
          <w:tcPr>
            <w:tcW w:type="dxa" w:w="1976"/>
            <w:shd w:fill="1F4E79"/>
          </w:tcPr>
          <w:p>
            <w:pPr>
              <w:spacing w:after="0" w:before="0" w:line="240" w:lineRule="auto"/>
            </w:pPr>
            <w:r>
              <w:rPr>
                <w:rFonts w:ascii="Arial" w:hAnsi="Arial"/>
                <w:b/>
                <w:i w:val="0"/>
                <w:color w:val="FFFFFF"/>
                <w:sz w:val="19"/>
              </w:rPr>
              <w:t>Resignation Date</w:t>
            </w:r>
          </w:p>
        </w:tc>
        <w:tc>
          <w:tcPr>
            <w:tcW w:type="dxa" w:w="1976"/>
            <w:shd w:fill="1F4E79"/>
          </w:tcPr>
          <w:p>
            <w:pPr>
              <w:spacing w:after="0" w:before="0" w:line="240" w:lineRule="auto"/>
            </w:pPr>
            <w:r>
              <w:rPr>
                <w:rFonts w:ascii="Arial" w:hAnsi="Arial"/>
                <w:b/>
                <w:i w:val="0"/>
                <w:color w:val="FFFFFF"/>
                <w:sz w:val="19"/>
              </w:rPr>
              <w:t>Reason for Departure</w:t>
            </w:r>
          </w:p>
        </w:tc>
      </w:tr>
      <w:tr>
        <w:tc>
          <w:tcPr>
            <w:tcW w:type="dxa" w:w="1976"/>
          </w:tcPr>
          <w:p>
            <w:pPr>
              <w:spacing w:after="20" w:before="0" w:line="247" w:lineRule="auto"/>
            </w:pPr>
            <w:r>
              <w:rPr>
                <w:rFonts w:ascii="Arial" w:hAnsi="Arial"/>
                <w:b w:val="0"/>
                <w:i w:val="0"/>
                <w:sz w:val="18"/>
              </w:rPr>
              <w:t>Khaled Al Nuaimi</w:t>
            </w:r>
          </w:p>
        </w:tc>
        <w:tc>
          <w:tcPr>
            <w:tcW w:type="dxa" w:w="1976"/>
          </w:tcPr>
          <w:p>
            <w:pPr>
              <w:spacing w:after="20" w:before="0" w:line="247" w:lineRule="auto"/>
            </w:pPr>
            <w:r>
              <w:rPr>
                <w:rFonts w:ascii="Arial" w:hAnsi="Arial"/>
                <w:b w:val="0"/>
                <w:i w:val="0"/>
                <w:sz w:val="18"/>
              </w:rPr>
              <w:t>Founding Director</w:t>
            </w:r>
          </w:p>
        </w:tc>
        <w:tc>
          <w:tcPr>
            <w:tcW w:type="dxa" w:w="1976"/>
          </w:tcPr>
          <w:p>
            <w:pPr>
              <w:spacing w:after="20" w:before="0" w:line="247" w:lineRule="auto"/>
            </w:pPr>
            <w:r>
              <w:rPr>
                <w:rFonts w:ascii="Arial" w:hAnsi="Arial"/>
                <w:b w:val="0"/>
                <w:i w:val="0"/>
                <w:sz w:val="18"/>
              </w:rPr>
              <w:t>15-Mar-2016</w:t>
            </w:r>
          </w:p>
        </w:tc>
        <w:tc>
          <w:tcPr>
            <w:tcW w:type="dxa" w:w="1976"/>
          </w:tcPr>
          <w:p>
            <w:pPr>
              <w:spacing w:after="20" w:before="0" w:line="247" w:lineRule="auto"/>
            </w:pPr>
            <w:r>
              <w:rPr>
                <w:rFonts w:ascii="Arial" w:hAnsi="Arial"/>
                <w:b w:val="0"/>
                <w:i w:val="0"/>
                <w:sz w:val="18"/>
              </w:rPr>
              <w:t>30-Jun-2019</w:t>
            </w:r>
          </w:p>
        </w:tc>
        <w:tc>
          <w:tcPr>
            <w:tcW w:type="dxa" w:w="1976"/>
          </w:tcPr>
          <w:p>
            <w:pPr>
              <w:spacing w:after="20" w:before="0" w:line="247" w:lineRule="auto"/>
            </w:pPr>
            <w:r>
              <w:rPr>
                <w:rFonts w:ascii="Arial" w:hAnsi="Arial"/>
                <w:b w:val="0"/>
                <w:i w:val="0"/>
                <w:sz w:val="18"/>
              </w:rPr>
              <w:t>Stepped down as board transitioned from founder-only oversight to institutionalized governance; remained advisory consultant on selected land sourcing matters for a transitional period.</w:t>
            </w:r>
          </w:p>
        </w:tc>
      </w:tr>
      <w:tr>
        <w:tc>
          <w:tcPr>
            <w:tcW w:type="dxa" w:w="1976"/>
          </w:tcPr>
          <w:p>
            <w:pPr>
              <w:spacing w:after="20" w:before="0" w:line="247" w:lineRule="auto"/>
            </w:pPr>
            <w:r>
              <w:rPr>
                <w:rFonts w:ascii="Arial" w:hAnsi="Arial"/>
                <w:b w:val="0"/>
                <w:i w:val="0"/>
                <w:sz w:val="18"/>
              </w:rPr>
              <w:t>Nadia Volkov</w:t>
            </w:r>
          </w:p>
        </w:tc>
        <w:tc>
          <w:tcPr>
            <w:tcW w:type="dxa" w:w="1976"/>
          </w:tcPr>
          <w:p>
            <w:pPr>
              <w:spacing w:after="20" w:before="0" w:line="247" w:lineRule="auto"/>
            </w:pPr>
            <w:r>
              <w:rPr>
                <w:rFonts w:ascii="Arial" w:hAnsi="Arial"/>
                <w:b w:val="0"/>
                <w:i w:val="0"/>
                <w:sz w:val="18"/>
              </w:rPr>
              <w:t>Non-Executive Director</w:t>
            </w:r>
          </w:p>
        </w:tc>
        <w:tc>
          <w:tcPr>
            <w:tcW w:type="dxa" w:w="1976"/>
          </w:tcPr>
          <w:p>
            <w:pPr>
              <w:spacing w:after="20" w:before="0" w:line="247" w:lineRule="auto"/>
            </w:pPr>
            <w:r>
              <w:rPr>
                <w:rFonts w:ascii="Arial" w:hAnsi="Arial"/>
                <w:b w:val="0"/>
                <w:i w:val="0"/>
                <w:sz w:val="18"/>
              </w:rPr>
              <w:t>12-Jun-2018</w:t>
            </w:r>
          </w:p>
        </w:tc>
        <w:tc>
          <w:tcPr>
            <w:tcW w:type="dxa" w:w="1976"/>
          </w:tcPr>
          <w:p>
            <w:pPr>
              <w:spacing w:after="20" w:before="0" w:line="247" w:lineRule="auto"/>
            </w:pPr>
            <w:r>
              <w:rPr>
                <w:rFonts w:ascii="Arial" w:hAnsi="Arial"/>
                <w:b w:val="0"/>
                <w:i w:val="0"/>
                <w:sz w:val="18"/>
              </w:rPr>
              <w:t>02-Sep-2020</w:t>
            </w:r>
          </w:p>
        </w:tc>
        <w:tc>
          <w:tcPr>
            <w:tcW w:type="dxa" w:w="1976"/>
          </w:tcPr>
          <w:p>
            <w:pPr>
              <w:spacing w:after="20" w:before="0" w:line="247" w:lineRule="auto"/>
            </w:pPr>
            <w:r>
              <w:rPr>
                <w:rFonts w:ascii="Arial" w:hAnsi="Arial"/>
                <w:b w:val="0"/>
                <w:i w:val="0"/>
                <w:sz w:val="18"/>
              </w:rPr>
              <w:t>Investor representative rotated off the board following Meridian board refresh and consolidation of governance rights at investor platform level.</w:t>
            </w:r>
          </w:p>
        </w:tc>
      </w:tr>
      <w:tr>
        <w:tc>
          <w:tcPr>
            <w:tcW w:type="dxa" w:w="1976"/>
          </w:tcPr>
          <w:p>
            <w:pPr>
              <w:spacing w:after="20" w:before="0" w:line="247" w:lineRule="auto"/>
            </w:pPr>
            <w:r>
              <w:rPr>
                <w:rFonts w:ascii="Arial" w:hAnsi="Arial"/>
                <w:b w:val="0"/>
                <w:i w:val="0"/>
                <w:sz w:val="18"/>
              </w:rPr>
              <w:t>Sanjay Mehra</w:t>
            </w:r>
          </w:p>
        </w:tc>
        <w:tc>
          <w:tcPr>
            <w:tcW w:type="dxa" w:w="1976"/>
          </w:tcPr>
          <w:p>
            <w:pPr>
              <w:spacing w:after="20" w:before="0" w:line="247" w:lineRule="auto"/>
            </w:pPr>
            <w:r>
              <w:rPr>
                <w:rFonts w:ascii="Arial" w:hAnsi="Arial"/>
                <w:b w:val="0"/>
                <w:i w:val="0"/>
                <w:sz w:val="18"/>
              </w:rPr>
              <w:t>Independent Director</w:t>
            </w:r>
          </w:p>
        </w:tc>
        <w:tc>
          <w:tcPr>
            <w:tcW w:type="dxa" w:w="1976"/>
          </w:tcPr>
          <w:p>
            <w:pPr>
              <w:spacing w:after="20" w:before="0" w:line="247" w:lineRule="auto"/>
            </w:pPr>
            <w:r>
              <w:rPr>
                <w:rFonts w:ascii="Arial" w:hAnsi="Arial"/>
                <w:b w:val="0"/>
                <w:i w:val="0"/>
                <w:sz w:val="18"/>
              </w:rPr>
              <w:t>22-Apr-2021</w:t>
            </w:r>
          </w:p>
        </w:tc>
        <w:tc>
          <w:tcPr>
            <w:tcW w:type="dxa" w:w="1976"/>
          </w:tcPr>
          <w:p>
            <w:pPr>
              <w:spacing w:after="20" w:before="0" w:line="247" w:lineRule="auto"/>
            </w:pPr>
            <w:r>
              <w:rPr>
                <w:rFonts w:ascii="Arial" w:hAnsi="Arial"/>
                <w:b w:val="0"/>
                <w:i w:val="0"/>
                <w:sz w:val="18"/>
              </w:rPr>
              <w:t>14-Jan-2024</w:t>
            </w:r>
          </w:p>
        </w:tc>
        <w:tc>
          <w:tcPr>
            <w:tcW w:type="dxa" w:w="1976"/>
          </w:tcPr>
          <w:p>
            <w:pPr>
              <w:spacing w:after="20" w:before="0" w:line="247" w:lineRule="auto"/>
            </w:pPr>
            <w:r>
              <w:rPr>
                <w:rFonts w:ascii="Arial" w:hAnsi="Arial"/>
                <w:b w:val="0"/>
                <w:i w:val="0"/>
                <w:sz w:val="18"/>
              </w:rPr>
              <w:t>Term concluded upon board reconstitution and appointment of a new independent chair of the Audit Committee aligned with anticipated institutional financing process.</w:t>
            </w:r>
          </w:p>
        </w:tc>
      </w:tr>
    </w:tbl>
    <w:p>
      <w:pPr>
        <w:spacing w:after="80" w:before="200" w:line="240" w:lineRule="auto"/>
      </w:pPr>
      <w:r>
        <w:rPr>
          <w:rFonts w:ascii="Arial" w:hAnsi="Arial"/>
          <w:b/>
          <w:i w:val="0"/>
          <w:color w:val="1F4E79"/>
          <w:sz w:val="24"/>
        </w:rPr>
        <w:t>5. FORMER CORPORATE OFFICERS</w:t>
      </w:r>
    </w:p>
    <w:p>
      <w:pPr>
        <w:spacing w:after="100" w:before="0" w:line="269" w:lineRule="auto"/>
      </w:pPr>
      <w:r>
        <w:rPr>
          <w:rFonts w:ascii="Arial" w:hAnsi="Arial"/>
          <w:b w:val="0"/>
          <w:i w:val="0"/>
          <w:sz w:val="20"/>
        </w:rPr>
        <w:t>Former officers principally reflect early-stage founder management, subsequent role specialization, and later rationalization of overlapping investment and commercial functions. None of the assumed departures in this schedule suggest pervasive governance distress; rather, they appear broadly consistent with organizational scaling and post-investor governance tightening.</w:t>
      </w:r>
    </w:p>
    <w:tbl>
      <w:tblPr>
        <w:tblStyle w:val="TableGrid"/>
        <w:tblW w:type="auto" w:w="0"/>
        <w:tblLook w:firstColumn="1" w:firstRow="1" w:lastColumn="0" w:lastRow="0" w:noHBand="0" w:noVBand="1" w:val="04A0"/>
      </w:tblPr>
      <w:tblGrid>
        <w:gridCol w:w="1976"/>
        <w:gridCol w:w="1976"/>
        <w:gridCol w:w="1976"/>
        <w:gridCol w:w="1976"/>
        <w:gridCol w:w="1976"/>
      </w:tblGrid>
      <w:tr>
        <w:tc>
          <w:tcPr>
            <w:tcW w:type="dxa" w:w="1976"/>
            <w:shd w:fill="1F4E79"/>
          </w:tcPr>
          <w:p>
            <w:pPr>
              <w:spacing w:after="0" w:before="0" w:line="240" w:lineRule="auto"/>
            </w:pPr>
            <w:r>
              <w:rPr>
                <w:rFonts w:ascii="Arial" w:hAnsi="Arial"/>
                <w:b/>
                <w:i w:val="0"/>
                <w:color w:val="FFFFFF"/>
                <w:sz w:val="19"/>
              </w:rPr>
              <w:t>Officer Name</w:t>
            </w:r>
          </w:p>
        </w:tc>
        <w:tc>
          <w:tcPr>
            <w:tcW w:type="dxa" w:w="1976"/>
            <w:shd w:fill="1F4E79"/>
          </w:tcPr>
          <w:p>
            <w:pPr>
              <w:spacing w:after="0" w:before="0" w:line="240" w:lineRule="auto"/>
            </w:pPr>
            <w:r>
              <w:rPr>
                <w:rFonts w:ascii="Arial" w:hAnsi="Arial"/>
                <w:b/>
                <w:i w:val="0"/>
                <w:color w:val="FFFFFF"/>
                <w:sz w:val="19"/>
              </w:rPr>
              <w:t>Title</w:t>
            </w:r>
          </w:p>
        </w:tc>
        <w:tc>
          <w:tcPr>
            <w:tcW w:type="dxa" w:w="1976"/>
            <w:shd w:fill="1F4E79"/>
          </w:tcPr>
          <w:p>
            <w:pPr>
              <w:spacing w:after="0" w:before="0" w:line="240" w:lineRule="auto"/>
            </w:pPr>
            <w:r>
              <w:rPr>
                <w:rFonts w:ascii="Arial" w:hAnsi="Arial"/>
                <w:b/>
                <w:i w:val="0"/>
                <w:color w:val="FFFFFF"/>
                <w:sz w:val="19"/>
              </w:rPr>
              <w:t>Start Date</w:t>
            </w:r>
          </w:p>
        </w:tc>
        <w:tc>
          <w:tcPr>
            <w:tcW w:type="dxa" w:w="1976"/>
            <w:shd w:fill="1F4E79"/>
          </w:tcPr>
          <w:p>
            <w:pPr>
              <w:spacing w:after="0" w:before="0" w:line="240" w:lineRule="auto"/>
            </w:pPr>
            <w:r>
              <w:rPr>
                <w:rFonts w:ascii="Arial" w:hAnsi="Arial"/>
                <w:b/>
                <w:i w:val="0"/>
                <w:color w:val="FFFFFF"/>
                <w:sz w:val="19"/>
              </w:rPr>
              <w:t>End Date</w:t>
            </w:r>
          </w:p>
        </w:tc>
        <w:tc>
          <w:tcPr>
            <w:tcW w:type="dxa" w:w="1976"/>
            <w:shd w:fill="1F4E79"/>
          </w:tcPr>
          <w:p>
            <w:pPr>
              <w:spacing w:after="0" w:before="0" w:line="240" w:lineRule="auto"/>
            </w:pPr>
            <w:r>
              <w:rPr>
                <w:rFonts w:ascii="Arial" w:hAnsi="Arial"/>
                <w:b/>
                <w:i w:val="0"/>
                <w:color w:val="FFFFFF"/>
                <w:sz w:val="19"/>
              </w:rPr>
              <w:t>Departure Circumstances</w:t>
            </w:r>
          </w:p>
        </w:tc>
      </w:tr>
      <w:tr>
        <w:tc>
          <w:tcPr>
            <w:tcW w:type="dxa" w:w="1976"/>
          </w:tcPr>
          <w:p>
            <w:pPr>
              <w:spacing w:after="20" w:before="0" w:line="247" w:lineRule="auto"/>
            </w:pPr>
            <w:r>
              <w:rPr>
                <w:rFonts w:ascii="Arial" w:hAnsi="Arial"/>
                <w:b w:val="0"/>
                <w:i w:val="0"/>
                <w:sz w:val="18"/>
              </w:rPr>
              <w:t>Ahmed Rahman</w:t>
            </w:r>
          </w:p>
        </w:tc>
        <w:tc>
          <w:tcPr>
            <w:tcW w:type="dxa" w:w="1976"/>
          </w:tcPr>
          <w:p>
            <w:pPr>
              <w:spacing w:after="20" w:before="0" w:line="247" w:lineRule="auto"/>
            </w:pPr>
            <w:r>
              <w:rPr>
                <w:rFonts w:ascii="Arial" w:hAnsi="Arial"/>
                <w:b w:val="0"/>
                <w:i w:val="0"/>
                <w:sz w:val="18"/>
              </w:rPr>
              <w:t>Chief Executive Officer</w:t>
            </w:r>
          </w:p>
        </w:tc>
        <w:tc>
          <w:tcPr>
            <w:tcW w:type="dxa" w:w="1976"/>
          </w:tcPr>
          <w:p>
            <w:pPr>
              <w:spacing w:after="20" w:before="0" w:line="247" w:lineRule="auto"/>
            </w:pPr>
            <w:r>
              <w:rPr>
                <w:rFonts w:ascii="Arial" w:hAnsi="Arial"/>
                <w:b w:val="0"/>
                <w:i w:val="0"/>
                <w:sz w:val="18"/>
              </w:rPr>
              <w:t>15-Mar-2016</w:t>
            </w:r>
          </w:p>
        </w:tc>
        <w:tc>
          <w:tcPr>
            <w:tcW w:type="dxa" w:w="1976"/>
          </w:tcPr>
          <w:p>
            <w:pPr>
              <w:spacing w:after="20" w:before="0" w:line="247" w:lineRule="auto"/>
            </w:pPr>
            <w:r>
              <w:rPr>
                <w:rFonts w:ascii="Arial" w:hAnsi="Arial"/>
                <w:b w:val="0"/>
                <w:i w:val="0"/>
                <w:sz w:val="18"/>
              </w:rPr>
              <w:t>30-Jun-2019</w:t>
            </w:r>
          </w:p>
        </w:tc>
        <w:tc>
          <w:tcPr>
            <w:tcW w:type="dxa" w:w="1976"/>
          </w:tcPr>
          <w:p>
            <w:pPr>
              <w:spacing w:after="20" w:before="0" w:line="247" w:lineRule="auto"/>
            </w:pPr>
            <w:r>
              <w:rPr>
                <w:rFonts w:ascii="Arial" w:hAnsi="Arial"/>
                <w:b w:val="0"/>
                <w:i w:val="0"/>
                <w:sz w:val="18"/>
              </w:rPr>
              <w:t>Founding management transition following scale-up phase; replaced by Daniel Moretti as the Company shifted from founder-led execution to institutional operating model.</w:t>
            </w:r>
          </w:p>
        </w:tc>
      </w:tr>
      <w:tr>
        <w:tc>
          <w:tcPr>
            <w:tcW w:type="dxa" w:w="1976"/>
          </w:tcPr>
          <w:p>
            <w:pPr>
              <w:spacing w:after="20" w:before="0" w:line="247" w:lineRule="auto"/>
            </w:pPr>
            <w:r>
              <w:rPr>
                <w:rFonts w:ascii="Arial" w:hAnsi="Arial"/>
                <w:b w:val="0"/>
                <w:i w:val="0"/>
                <w:sz w:val="18"/>
              </w:rPr>
              <w:t>Leila Haddad</w:t>
            </w:r>
          </w:p>
        </w:tc>
        <w:tc>
          <w:tcPr>
            <w:tcW w:type="dxa" w:w="1976"/>
          </w:tcPr>
          <w:p>
            <w:pPr>
              <w:spacing w:after="20" w:before="0" w:line="247" w:lineRule="auto"/>
            </w:pPr>
            <w:r>
              <w:rPr>
                <w:rFonts w:ascii="Arial" w:hAnsi="Arial"/>
                <w:b w:val="0"/>
                <w:i w:val="0"/>
                <w:sz w:val="18"/>
              </w:rPr>
              <w:t>Chief Commercial Officer</w:t>
            </w:r>
          </w:p>
        </w:tc>
        <w:tc>
          <w:tcPr>
            <w:tcW w:type="dxa" w:w="1976"/>
          </w:tcPr>
          <w:p>
            <w:pPr>
              <w:spacing w:after="20" w:before="0" w:line="247" w:lineRule="auto"/>
            </w:pPr>
            <w:r>
              <w:rPr>
                <w:rFonts w:ascii="Arial" w:hAnsi="Arial"/>
                <w:b w:val="0"/>
                <w:i w:val="0"/>
                <w:sz w:val="18"/>
              </w:rPr>
              <w:t>01-Jan-2017</w:t>
            </w:r>
          </w:p>
        </w:tc>
        <w:tc>
          <w:tcPr>
            <w:tcW w:type="dxa" w:w="1976"/>
          </w:tcPr>
          <w:p>
            <w:pPr>
              <w:spacing w:after="20" w:before="0" w:line="247" w:lineRule="auto"/>
            </w:pPr>
            <w:r>
              <w:rPr>
                <w:rFonts w:ascii="Arial" w:hAnsi="Arial"/>
                <w:b w:val="0"/>
                <w:i w:val="0"/>
                <w:sz w:val="18"/>
              </w:rPr>
              <w:t>31-May-2021</w:t>
            </w:r>
          </w:p>
        </w:tc>
        <w:tc>
          <w:tcPr>
            <w:tcW w:type="dxa" w:w="1976"/>
          </w:tcPr>
          <w:p>
            <w:pPr>
              <w:spacing w:after="20" w:before="0" w:line="247" w:lineRule="auto"/>
            </w:pPr>
            <w:r>
              <w:rPr>
                <w:rFonts w:ascii="Arial" w:hAnsi="Arial"/>
                <w:b w:val="0"/>
                <w:i w:val="0"/>
                <w:sz w:val="18"/>
              </w:rPr>
              <w:t>Role restructured as international sales and investor relations were split into distinct functions during expansion into Europe and Asia investor channels.</w:t>
            </w:r>
          </w:p>
        </w:tc>
      </w:tr>
      <w:tr>
        <w:tc>
          <w:tcPr>
            <w:tcW w:type="dxa" w:w="1976"/>
          </w:tcPr>
          <w:p>
            <w:pPr>
              <w:spacing w:after="20" w:before="0" w:line="247" w:lineRule="auto"/>
            </w:pPr>
            <w:r>
              <w:rPr>
                <w:rFonts w:ascii="Arial" w:hAnsi="Arial"/>
                <w:b w:val="0"/>
                <w:i w:val="0"/>
                <w:sz w:val="18"/>
              </w:rPr>
              <w:t>Markus Stein</w:t>
            </w:r>
          </w:p>
        </w:tc>
        <w:tc>
          <w:tcPr>
            <w:tcW w:type="dxa" w:w="1976"/>
          </w:tcPr>
          <w:p>
            <w:pPr>
              <w:spacing w:after="20" w:before="0" w:line="247" w:lineRule="auto"/>
            </w:pPr>
            <w:r>
              <w:rPr>
                <w:rFonts w:ascii="Arial" w:hAnsi="Arial"/>
                <w:b w:val="0"/>
                <w:i w:val="0"/>
                <w:sz w:val="18"/>
              </w:rPr>
              <w:t>Chief Investment Officer</w:t>
            </w:r>
          </w:p>
        </w:tc>
        <w:tc>
          <w:tcPr>
            <w:tcW w:type="dxa" w:w="1976"/>
          </w:tcPr>
          <w:p>
            <w:pPr>
              <w:spacing w:after="20" w:before="0" w:line="247" w:lineRule="auto"/>
            </w:pPr>
            <w:r>
              <w:rPr>
                <w:rFonts w:ascii="Arial" w:hAnsi="Arial"/>
                <w:b w:val="0"/>
                <w:i w:val="0"/>
                <w:sz w:val="18"/>
              </w:rPr>
              <w:t>01-Sep-2018</w:t>
            </w:r>
          </w:p>
        </w:tc>
        <w:tc>
          <w:tcPr>
            <w:tcW w:type="dxa" w:w="1976"/>
          </w:tcPr>
          <w:p>
            <w:pPr>
              <w:spacing w:after="20" w:before="0" w:line="247" w:lineRule="auto"/>
            </w:pPr>
            <w:r>
              <w:rPr>
                <w:rFonts w:ascii="Arial" w:hAnsi="Arial"/>
                <w:b w:val="0"/>
                <w:i w:val="0"/>
                <w:sz w:val="18"/>
              </w:rPr>
              <w:t>30-Sep-2022</w:t>
            </w:r>
          </w:p>
        </w:tc>
        <w:tc>
          <w:tcPr>
            <w:tcW w:type="dxa" w:w="1976"/>
          </w:tcPr>
          <w:p>
            <w:pPr>
              <w:spacing w:after="20" w:before="0" w:line="247" w:lineRule="auto"/>
            </w:pPr>
            <w:r>
              <w:rPr>
                <w:rFonts w:ascii="Arial" w:hAnsi="Arial"/>
                <w:b w:val="0"/>
                <w:i w:val="0"/>
                <w:sz w:val="18"/>
              </w:rPr>
              <w:t>Position eliminated and responsibilities redistributed between CFO, CEO, and Investment Committee after completion of key financing cycle and simplification of management structure.</w:t>
            </w:r>
          </w:p>
        </w:tc>
      </w:tr>
      <w:tr>
        <w:tc>
          <w:tcPr>
            <w:tcW w:type="dxa" w:w="1976"/>
          </w:tcPr>
          <w:p>
            <w:pPr>
              <w:spacing w:after="20" w:before="0" w:line="247" w:lineRule="auto"/>
            </w:pPr>
            <w:r>
              <w:rPr>
                <w:rFonts w:ascii="Arial" w:hAnsi="Arial"/>
                <w:b w:val="0"/>
                <w:i w:val="0"/>
                <w:sz w:val="18"/>
              </w:rPr>
              <w:t>Priya Nair</w:t>
            </w:r>
          </w:p>
        </w:tc>
        <w:tc>
          <w:tcPr>
            <w:tcW w:type="dxa" w:w="1976"/>
          </w:tcPr>
          <w:p>
            <w:pPr>
              <w:spacing w:after="20" w:before="0" w:line="247" w:lineRule="auto"/>
            </w:pPr>
            <w:r>
              <w:rPr>
                <w:rFonts w:ascii="Arial" w:hAnsi="Arial"/>
                <w:b w:val="0"/>
                <w:i w:val="0"/>
                <w:sz w:val="18"/>
              </w:rPr>
              <w:t>Company Secretary</w:t>
            </w:r>
          </w:p>
        </w:tc>
        <w:tc>
          <w:tcPr>
            <w:tcW w:type="dxa" w:w="1976"/>
          </w:tcPr>
          <w:p>
            <w:pPr>
              <w:spacing w:after="20" w:before="0" w:line="247" w:lineRule="auto"/>
            </w:pPr>
            <w:r>
              <w:rPr>
                <w:rFonts w:ascii="Arial" w:hAnsi="Arial"/>
                <w:b w:val="0"/>
                <w:i w:val="0"/>
                <w:sz w:val="18"/>
              </w:rPr>
              <w:t>15-Mar-2016</w:t>
            </w:r>
          </w:p>
        </w:tc>
        <w:tc>
          <w:tcPr>
            <w:tcW w:type="dxa" w:w="1976"/>
          </w:tcPr>
          <w:p>
            <w:pPr>
              <w:spacing w:after="20" w:before="0" w:line="247" w:lineRule="auto"/>
            </w:pPr>
            <w:r>
              <w:rPr>
                <w:rFonts w:ascii="Arial" w:hAnsi="Arial"/>
                <w:b w:val="0"/>
                <w:i w:val="0"/>
                <w:sz w:val="18"/>
              </w:rPr>
              <w:t>31-Aug-2023</w:t>
            </w:r>
          </w:p>
        </w:tc>
        <w:tc>
          <w:tcPr>
            <w:tcW w:type="dxa" w:w="1976"/>
          </w:tcPr>
          <w:p>
            <w:pPr>
              <w:spacing w:after="20" w:before="0" w:line="247" w:lineRule="auto"/>
            </w:pPr>
            <w:r>
              <w:rPr>
                <w:rFonts w:ascii="Arial" w:hAnsi="Arial"/>
                <w:b w:val="0"/>
                <w:i w:val="0"/>
                <w:sz w:val="18"/>
              </w:rPr>
              <w:t>Departed upon appointment of General Counsel and Corporate Secretary role consolidating legal and governance functions.</w:t>
            </w:r>
          </w:p>
        </w:tc>
      </w:tr>
    </w:tbl>
    <w:p>
      <w:pPr>
        <w:spacing w:after="80" w:before="200" w:line="240" w:lineRule="auto"/>
      </w:pPr>
      <w:r>
        <w:rPr>
          <w:rFonts w:ascii="Arial" w:hAnsi="Arial"/>
          <w:b/>
          <w:i w:val="0"/>
          <w:color w:val="1F4E79"/>
          <w:sz w:val="24"/>
        </w:rPr>
        <w:t>6. GOVERNANCE COMMITTEES</w:t>
      </w:r>
    </w:p>
    <w:p>
      <w:pPr>
        <w:spacing w:after="100" w:before="0" w:line="269" w:lineRule="auto"/>
      </w:pPr>
      <w:r>
        <w:rPr>
          <w:rFonts w:ascii="Arial" w:hAnsi="Arial"/>
          <w:b w:val="0"/>
          <w:i w:val="0"/>
          <w:sz w:val="20"/>
        </w:rPr>
        <w:t>Formal committee structures were introduced progressively and became more robust in connection with institutional investor participation and anticipated external diligence. The committees identified below are not unusual for a developer of this scale moving toward sponsor-grade governance expectations.</w:t>
      </w:r>
    </w:p>
    <w:tbl>
      <w:tblPr>
        <w:tblStyle w:val="TableGrid"/>
        <w:tblW w:type="auto" w:w="0"/>
        <w:tblLook w:firstColumn="1" w:firstRow="1" w:lastColumn="0" w:lastRow="0" w:noHBand="0" w:noVBand="1" w:val="04A0"/>
      </w:tblPr>
      <w:tblGrid>
        <w:gridCol w:w="2469"/>
        <w:gridCol w:w="2469"/>
        <w:gridCol w:w="2469"/>
        <w:gridCol w:w="2469"/>
      </w:tblGrid>
      <w:tr>
        <w:tc>
          <w:tcPr>
            <w:tcW w:type="dxa" w:w="2469"/>
            <w:shd w:fill="1F4E79"/>
          </w:tcPr>
          <w:p>
            <w:pPr>
              <w:spacing w:after="0" w:before="0" w:line="240" w:lineRule="auto"/>
            </w:pPr>
            <w:r>
              <w:rPr>
                <w:rFonts w:ascii="Arial" w:hAnsi="Arial"/>
                <w:b/>
                <w:i w:val="0"/>
                <w:color w:val="FFFFFF"/>
                <w:sz w:val="19"/>
              </w:rPr>
              <w:t>Committee</w:t>
            </w:r>
          </w:p>
        </w:tc>
        <w:tc>
          <w:tcPr>
            <w:tcW w:type="dxa" w:w="2469"/>
            <w:shd w:fill="1F4E79"/>
          </w:tcPr>
          <w:p>
            <w:pPr>
              <w:spacing w:after="0" w:before="0" w:line="240" w:lineRule="auto"/>
            </w:pPr>
            <w:r>
              <w:rPr>
                <w:rFonts w:ascii="Arial" w:hAnsi="Arial"/>
                <w:b/>
                <w:i w:val="0"/>
                <w:color w:val="FFFFFF"/>
                <w:sz w:val="19"/>
              </w:rPr>
              <w:t>Member</w:t>
            </w:r>
          </w:p>
        </w:tc>
        <w:tc>
          <w:tcPr>
            <w:tcW w:type="dxa" w:w="2469"/>
            <w:shd w:fill="1F4E79"/>
          </w:tcPr>
          <w:p>
            <w:pPr>
              <w:spacing w:after="0" w:before="0" w:line="240" w:lineRule="auto"/>
            </w:pPr>
            <w:r>
              <w:rPr>
                <w:rFonts w:ascii="Arial" w:hAnsi="Arial"/>
                <w:b/>
                <w:i w:val="0"/>
                <w:color w:val="FFFFFF"/>
                <w:sz w:val="19"/>
              </w:rPr>
              <w:t>Role</w:t>
            </w:r>
          </w:p>
        </w:tc>
        <w:tc>
          <w:tcPr>
            <w:tcW w:type="dxa" w:w="2469"/>
            <w:shd w:fill="1F4E79"/>
          </w:tcPr>
          <w:p>
            <w:pPr>
              <w:spacing w:after="0" w:before="0" w:line="240" w:lineRule="auto"/>
            </w:pPr>
            <w:r>
              <w:rPr>
                <w:rFonts w:ascii="Arial" w:hAnsi="Arial"/>
                <w:b/>
                <w:i w:val="0"/>
                <w:color w:val="FFFFFF"/>
                <w:sz w:val="19"/>
              </w:rPr>
              <w:t>Appointment Date</w:t>
            </w:r>
          </w:p>
        </w:tc>
      </w:tr>
      <w:tr>
        <w:tc>
          <w:tcPr>
            <w:tcW w:type="dxa" w:w="2469"/>
          </w:tcPr>
          <w:p>
            <w:pPr>
              <w:spacing w:after="20" w:before="0" w:line="247" w:lineRule="auto"/>
            </w:pPr>
            <w:r>
              <w:rPr>
                <w:rFonts w:ascii="Arial" w:hAnsi="Arial"/>
                <w:b w:val="0"/>
                <w:i w:val="0"/>
                <w:sz w:val="18"/>
              </w:rPr>
              <w:t>Audit Committee</w:t>
            </w:r>
          </w:p>
        </w:tc>
        <w:tc>
          <w:tcPr>
            <w:tcW w:type="dxa" w:w="2469"/>
          </w:tcPr>
          <w:p>
            <w:pPr>
              <w:spacing w:after="20" w:before="0" w:line="247" w:lineRule="auto"/>
            </w:pPr>
            <w:r>
              <w:rPr>
                <w:rFonts w:ascii="Arial" w:hAnsi="Arial"/>
                <w:b w:val="0"/>
                <w:i w:val="0"/>
                <w:sz w:val="18"/>
              </w:rPr>
              <w:t>Michael Davenport</w:t>
            </w:r>
          </w:p>
        </w:tc>
        <w:tc>
          <w:tcPr>
            <w:tcW w:type="dxa" w:w="2469"/>
          </w:tcPr>
          <w:p>
            <w:pPr>
              <w:spacing w:after="20" w:before="0" w:line="247" w:lineRule="auto"/>
            </w:pPr>
            <w:r>
              <w:rPr>
                <w:rFonts w:ascii="Arial" w:hAnsi="Arial"/>
                <w:b w:val="0"/>
                <w:i w:val="0"/>
                <w:sz w:val="18"/>
              </w:rPr>
              <w:t>Chair</w:t>
            </w:r>
          </w:p>
        </w:tc>
        <w:tc>
          <w:tcPr>
            <w:tcW w:type="dxa" w:w="2469"/>
          </w:tcPr>
          <w:p>
            <w:pPr>
              <w:spacing w:after="20" w:before="0" w:line="247" w:lineRule="auto"/>
            </w:pPr>
            <w:r>
              <w:rPr>
                <w:rFonts w:ascii="Arial" w:hAnsi="Arial"/>
                <w:b w:val="0"/>
                <w:i w:val="0"/>
                <w:sz w:val="18"/>
              </w:rPr>
              <w:t>15-Jan-2024</w:t>
            </w:r>
          </w:p>
        </w:tc>
      </w:tr>
      <w:tr>
        <w:tc>
          <w:tcPr>
            <w:tcW w:type="dxa" w:w="2469"/>
          </w:tcPr>
          <w:p>
            <w:pPr>
              <w:spacing w:after="20" w:before="0" w:line="247" w:lineRule="auto"/>
            </w:pPr>
            <w:r>
              <w:rPr>
                <w:rFonts w:ascii="Arial" w:hAnsi="Arial"/>
                <w:b w:val="0"/>
                <w:i w:val="0"/>
                <w:sz w:val="18"/>
              </w:rPr>
              <w:t>Audit Committee</w:t>
            </w:r>
          </w:p>
        </w:tc>
        <w:tc>
          <w:tcPr>
            <w:tcW w:type="dxa" w:w="2469"/>
          </w:tcPr>
          <w:p>
            <w:pPr>
              <w:spacing w:after="20" w:before="0" w:line="247" w:lineRule="auto"/>
            </w:pPr>
            <w:r>
              <w:rPr>
                <w:rFonts w:ascii="Arial" w:hAnsi="Arial"/>
                <w:b w:val="0"/>
                <w:i w:val="0"/>
                <w:sz w:val="18"/>
              </w:rPr>
              <w:t>Victor Tan</w:t>
            </w:r>
          </w:p>
        </w:tc>
        <w:tc>
          <w:tcPr>
            <w:tcW w:type="dxa" w:w="2469"/>
          </w:tcPr>
          <w:p>
            <w:pPr>
              <w:spacing w:after="20" w:before="0" w:line="247" w:lineRule="auto"/>
            </w:pPr>
            <w:r>
              <w:rPr>
                <w:rFonts w:ascii="Arial" w:hAnsi="Arial"/>
                <w:b w:val="0"/>
                <w:i w:val="0"/>
                <w:sz w:val="18"/>
              </w:rPr>
              <w:t>Member</w:t>
            </w:r>
          </w:p>
        </w:tc>
        <w:tc>
          <w:tcPr>
            <w:tcW w:type="dxa" w:w="2469"/>
          </w:tcPr>
          <w:p>
            <w:pPr>
              <w:spacing w:after="20" w:before="0" w:line="247" w:lineRule="auto"/>
            </w:pPr>
            <w:r>
              <w:rPr>
                <w:rFonts w:ascii="Arial" w:hAnsi="Arial"/>
                <w:b w:val="0"/>
                <w:i w:val="0"/>
                <w:sz w:val="18"/>
              </w:rPr>
              <w:t>15-Jan-2024</w:t>
            </w:r>
          </w:p>
        </w:tc>
      </w:tr>
      <w:tr>
        <w:tc>
          <w:tcPr>
            <w:tcW w:type="dxa" w:w="2469"/>
          </w:tcPr>
          <w:p>
            <w:pPr>
              <w:spacing w:after="20" w:before="0" w:line="247" w:lineRule="auto"/>
            </w:pPr>
            <w:r>
              <w:rPr>
                <w:rFonts w:ascii="Arial" w:hAnsi="Arial"/>
                <w:b w:val="0"/>
                <w:i w:val="0"/>
                <w:sz w:val="18"/>
              </w:rPr>
              <w:t>Audit Committee</w:t>
            </w:r>
          </w:p>
        </w:tc>
        <w:tc>
          <w:tcPr>
            <w:tcW w:type="dxa" w:w="2469"/>
          </w:tcPr>
          <w:p>
            <w:pPr>
              <w:spacing w:after="20" w:before="0" w:line="247" w:lineRule="auto"/>
            </w:pPr>
            <w:r>
              <w:rPr>
                <w:rFonts w:ascii="Arial" w:hAnsi="Arial"/>
                <w:b w:val="0"/>
                <w:i w:val="0"/>
                <w:sz w:val="18"/>
              </w:rPr>
              <w:t>Farah Al Mansoori</w:t>
            </w:r>
          </w:p>
        </w:tc>
        <w:tc>
          <w:tcPr>
            <w:tcW w:type="dxa" w:w="2469"/>
          </w:tcPr>
          <w:p>
            <w:pPr>
              <w:spacing w:after="20" w:before="0" w:line="247" w:lineRule="auto"/>
            </w:pPr>
            <w:r>
              <w:rPr>
                <w:rFonts w:ascii="Arial" w:hAnsi="Arial"/>
                <w:b w:val="0"/>
                <w:i w:val="0"/>
                <w:sz w:val="18"/>
              </w:rPr>
              <w:t>Member</w:t>
            </w:r>
          </w:p>
        </w:tc>
        <w:tc>
          <w:tcPr>
            <w:tcW w:type="dxa" w:w="2469"/>
          </w:tcPr>
          <w:p>
            <w:pPr>
              <w:spacing w:after="20" w:before="0" w:line="247" w:lineRule="auto"/>
            </w:pPr>
            <w:r>
              <w:rPr>
                <w:rFonts w:ascii="Arial" w:hAnsi="Arial"/>
                <w:b w:val="0"/>
                <w:i w:val="0"/>
                <w:sz w:val="18"/>
              </w:rPr>
              <w:t>15-Jan-2024</w:t>
            </w:r>
          </w:p>
        </w:tc>
      </w:tr>
      <w:tr>
        <w:tc>
          <w:tcPr>
            <w:tcW w:type="dxa" w:w="2469"/>
          </w:tcPr>
          <w:p>
            <w:pPr>
              <w:spacing w:after="20" w:before="0" w:line="247" w:lineRule="auto"/>
            </w:pPr>
            <w:r>
              <w:rPr>
                <w:rFonts w:ascii="Arial" w:hAnsi="Arial"/>
                <w:b w:val="0"/>
                <w:i w:val="0"/>
                <w:sz w:val="18"/>
              </w:rPr>
              <w:t>Investment Committee</w:t>
            </w:r>
          </w:p>
        </w:tc>
        <w:tc>
          <w:tcPr>
            <w:tcW w:type="dxa" w:w="2469"/>
          </w:tcPr>
          <w:p>
            <w:pPr>
              <w:spacing w:after="20" w:before="0" w:line="247" w:lineRule="auto"/>
            </w:pPr>
            <w:r>
              <w:rPr>
                <w:rFonts w:ascii="Arial" w:hAnsi="Arial"/>
                <w:b w:val="0"/>
                <w:i w:val="0"/>
                <w:sz w:val="18"/>
              </w:rPr>
              <w:t>Victor Tan</w:t>
            </w:r>
          </w:p>
        </w:tc>
        <w:tc>
          <w:tcPr>
            <w:tcW w:type="dxa" w:w="2469"/>
          </w:tcPr>
          <w:p>
            <w:pPr>
              <w:spacing w:after="20" w:before="0" w:line="247" w:lineRule="auto"/>
            </w:pPr>
            <w:r>
              <w:rPr>
                <w:rFonts w:ascii="Arial" w:hAnsi="Arial"/>
                <w:b w:val="0"/>
                <w:i w:val="0"/>
                <w:sz w:val="18"/>
              </w:rPr>
              <w:t>Member</w:t>
            </w:r>
          </w:p>
        </w:tc>
        <w:tc>
          <w:tcPr>
            <w:tcW w:type="dxa" w:w="2469"/>
          </w:tcPr>
          <w:p>
            <w:pPr>
              <w:spacing w:after="20" w:before="0" w:line="247" w:lineRule="auto"/>
            </w:pPr>
            <w:r>
              <w:rPr>
                <w:rFonts w:ascii="Arial" w:hAnsi="Arial"/>
                <w:b w:val="0"/>
                <w:i w:val="0"/>
                <w:sz w:val="18"/>
              </w:rPr>
              <w:t>03-Sep-2020</w:t>
            </w:r>
          </w:p>
        </w:tc>
      </w:tr>
      <w:tr>
        <w:tc>
          <w:tcPr>
            <w:tcW w:type="dxa" w:w="2469"/>
          </w:tcPr>
          <w:p>
            <w:pPr>
              <w:spacing w:after="20" w:before="0" w:line="247" w:lineRule="auto"/>
            </w:pPr>
            <w:r>
              <w:rPr>
                <w:rFonts w:ascii="Arial" w:hAnsi="Arial"/>
                <w:b w:val="0"/>
                <w:i w:val="0"/>
                <w:sz w:val="18"/>
              </w:rPr>
              <w:t>Investment Committee</w:t>
            </w:r>
          </w:p>
        </w:tc>
        <w:tc>
          <w:tcPr>
            <w:tcW w:type="dxa" w:w="2469"/>
          </w:tcPr>
          <w:p>
            <w:pPr>
              <w:spacing w:after="20" w:before="0" w:line="247" w:lineRule="auto"/>
            </w:pPr>
            <w:r>
              <w:rPr>
                <w:rFonts w:ascii="Arial" w:hAnsi="Arial"/>
                <w:b w:val="0"/>
                <w:i w:val="0"/>
                <w:sz w:val="18"/>
              </w:rPr>
              <w:t>Hassan Al Rashid</w:t>
            </w:r>
          </w:p>
        </w:tc>
        <w:tc>
          <w:tcPr>
            <w:tcW w:type="dxa" w:w="2469"/>
          </w:tcPr>
          <w:p>
            <w:pPr>
              <w:spacing w:after="20" w:before="0" w:line="247" w:lineRule="auto"/>
            </w:pPr>
            <w:r>
              <w:rPr>
                <w:rFonts w:ascii="Arial" w:hAnsi="Arial"/>
                <w:b w:val="0"/>
                <w:i w:val="0"/>
                <w:sz w:val="18"/>
              </w:rPr>
              <w:t>Chair</w:t>
            </w:r>
          </w:p>
        </w:tc>
        <w:tc>
          <w:tcPr>
            <w:tcW w:type="dxa" w:w="2469"/>
          </w:tcPr>
          <w:p>
            <w:pPr>
              <w:spacing w:after="20" w:before="0" w:line="247" w:lineRule="auto"/>
            </w:pPr>
            <w:r>
              <w:rPr>
                <w:rFonts w:ascii="Arial" w:hAnsi="Arial"/>
                <w:b w:val="0"/>
                <w:i w:val="0"/>
                <w:sz w:val="18"/>
              </w:rPr>
              <w:t>03-Sep-2020</w:t>
            </w:r>
          </w:p>
        </w:tc>
      </w:tr>
      <w:tr>
        <w:tc>
          <w:tcPr>
            <w:tcW w:type="dxa" w:w="2469"/>
          </w:tcPr>
          <w:p>
            <w:pPr>
              <w:spacing w:after="20" w:before="0" w:line="247" w:lineRule="auto"/>
            </w:pPr>
            <w:r>
              <w:rPr>
                <w:rFonts w:ascii="Arial" w:hAnsi="Arial"/>
                <w:b w:val="0"/>
                <w:i w:val="0"/>
                <w:sz w:val="18"/>
              </w:rPr>
              <w:t>Investment Committee</w:t>
            </w:r>
          </w:p>
        </w:tc>
        <w:tc>
          <w:tcPr>
            <w:tcW w:type="dxa" w:w="2469"/>
          </w:tcPr>
          <w:p>
            <w:pPr>
              <w:spacing w:after="20" w:before="0" w:line="247" w:lineRule="auto"/>
            </w:pPr>
            <w:r>
              <w:rPr>
                <w:rFonts w:ascii="Arial" w:hAnsi="Arial"/>
                <w:b w:val="0"/>
                <w:i w:val="0"/>
                <w:sz w:val="18"/>
              </w:rPr>
              <w:t>Daniel Moretti</w:t>
            </w:r>
          </w:p>
        </w:tc>
        <w:tc>
          <w:tcPr>
            <w:tcW w:type="dxa" w:w="2469"/>
          </w:tcPr>
          <w:p>
            <w:pPr>
              <w:spacing w:after="20" w:before="0" w:line="247" w:lineRule="auto"/>
            </w:pPr>
            <w:r>
              <w:rPr>
                <w:rFonts w:ascii="Arial" w:hAnsi="Arial"/>
                <w:b w:val="0"/>
                <w:i w:val="0"/>
                <w:sz w:val="18"/>
              </w:rPr>
              <w:t>Member</w:t>
            </w:r>
          </w:p>
        </w:tc>
        <w:tc>
          <w:tcPr>
            <w:tcW w:type="dxa" w:w="2469"/>
          </w:tcPr>
          <w:p>
            <w:pPr>
              <w:spacing w:after="20" w:before="0" w:line="247" w:lineRule="auto"/>
            </w:pPr>
            <w:r>
              <w:rPr>
                <w:rFonts w:ascii="Arial" w:hAnsi="Arial"/>
                <w:b w:val="0"/>
                <w:i w:val="0"/>
                <w:sz w:val="18"/>
              </w:rPr>
              <w:t>01-Jul-2019</w:t>
            </w:r>
          </w:p>
        </w:tc>
      </w:tr>
      <w:tr>
        <w:tc>
          <w:tcPr>
            <w:tcW w:type="dxa" w:w="2469"/>
          </w:tcPr>
          <w:p>
            <w:pPr>
              <w:spacing w:after="20" w:before="0" w:line="247" w:lineRule="auto"/>
            </w:pPr>
            <w:r>
              <w:rPr>
                <w:rFonts w:ascii="Arial" w:hAnsi="Arial"/>
                <w:b w:val="0"/>
                <w:i w:val="0"/>
                <w:sz w:val="18"/>
              </w:rPr>
              <w:t>Development Oversight Committee</w:t>
            </w:r>
          </w:p>
        </w:tc>
        <w:tc>
          <w:tcPr>
            <w:tcW w:type="dxa" w:w="2469"/>
          </w:tcPr>
          <w:p>
            <w:pPr>
              <w:spacing w:after="20" w:before="0" w:line="247" w:lineRule="auto"/>
            </w:pPr>
            <w:r>
              <w:rPr>
                <w:rFonts w:ascii="Arial" w:hAnsi="Arial"/>
                <w:b w:val="0"/>
                <w:i w:val="0"/>
                <w:sz w:val="18"/>
              </w:rPr>
              <w:t>Hassan Al Rashid</w:t>
            </w:r>
          </w:p>
        </w:tc>
        <w:tc>
          <w:tcPr>
            <w:tcW w:type="dxa" w:w="2469"/>
          </w:tcPr>
          <w:p>
            <w:pPr>
              <w:spacing w:after="20" w:before="0" w:line="247" w:lineRule="auto"/>
            </w:pPr>
            <w:r>
              <w:rPr>
                <w:rFonts w:ascii="Arial" w:hAnsi="Arial"/>
                <w:b w:val="0"/>
                <w:i w:val="0"/>
                <w:sz w:val="18"/>
              </w:rPr>
              <w:t>Chair</w:t>
            </w:r>
          </w:p>
        </w:tc>
        <w:tc>
          <w:tcPr>
            <w:tcW w:type="dxa" w:w="2469"/>
          </w:tcPr>
          <w:p>
            <w:pPr>
              <w:spacing w:after="20" w:before="0" w:line="247" w:lineRule="auto"/>
            </w:pPr>
            <w:r>
              <w:rPr>
                <w:rFonts w:ascii="Arial" w:hAnsi="Arial"/>
                <w:b w:val="0"/>
                <w:i w:val="0"/>
                <w:sz w:val="18"/>
              </w:rPr>
              <w:t>22-Apr-2021</w:t>
            </w:r>
          </w:p>
        </w:tc>
      </w:tr>
      <w:tr>
        <w:tc>
          <w:tcPr>
            <w:tcW w:type="dxa" w:w="2469"/>
          </w:tcPr>
          <w:p>
            <w:pPr>
              <w:spacing w:after="20" w:before="0" w:line="247" w:lineRule="auto"/>
            </w:pPr>
            <w:r>
              <w:rPr>
                <w:rFonts w:ascii="Arial" w:hAnsi="Arial"/>
                <w:b w:val="0"/>
                <w:i w:val="0"/>
                <w:sz w:val="18"/>
              </w:rPr>
              <w:t>Development Oversight Committee</w:t>
            </w:r>
          </w:p>
        </w:tc>
        <w:tc>
          <w:tcPr>
            <w:tcW w:type="dxa" w:w="2469"/>
          </w:tcPr>
          <w:p>
            <w:pPr>
              <w:spacing w:after="20" w:before="0" w:line="247" w:lineRule="auto"/>
            </w:pPr>
            <w:r>
              <w:rPr>
                <w:rFonts w:ascii="Arial" w:hAnsi="Arial"/>
                <w:b w:val="0"/>
                <w:i w:val="0"/>
                <w:sz w:val="18"/>
              </w:rPr>
              <w:t>Daniel Moretti</w:t>
            </w:r>
          </w:p>
        </w:tc>
        <w:tc>
          <w:tcPr>
            <w:tcW w:type="dxa" w:w="2469"/>
          </w:tcPr>
          <w:p>
            <w:pPr>
              <w:spacing w:after="20" w:before="0" w:line="247" w:lineRule="auto"/>
            </w:pPr>
            <w:r>
              <w:rPr>
                <w:rFonts w:ascii="Arial" w:hAnsi="Arial"/>
                <w:b w:val="0"/>
                <w:i w:val="0"/>
                <w:sz w:val="18"/>
              </w:rPr>
              <w:t>Member</w:t>
            </w:r>
          </w:p>
        </w:tc>
        <w:tc>
          <w:tcPr>
            <w:tcW w:type="dxa" w:w="2469"/>
          </w:tcPr>
          <w:p>
            <w:pPr>
              <w:spacing w:after="20" w:before="0" w:line="247" w:lineRule="auto"/>
            </w:pPr>
            <w:r>
              <w:rPr>
                <w:rFonts w:ascii="Arial" w:hAnsi="Arial"/>
                <w:b w:val="0"/>
                <w:i w:val="0"/>
                <w:sz w:val="18"/>
              </w:rPr>
              <w:t>22-Apr-2021</w:t>
            </w:r>
          </w:p>
        </w:tc>
      </w:tr>
      <w:tr>
        <w:tc>
          <w:tcPr>
            <w:tcW w:type="dxa" w:w="2469"/>
          </w:tcPr>
          <w:p>
            <w:pPr>
              <w:spacing w:after="20" w:before="0" w:line="247" w:lineRule="auto"/>
            </w:pPr>
            <w:r>
              <w:rPr>
                <w:rFonts w:ascii="Arial" w:hAnsi="Arial"/>
                <w:b w:val="0"/>
                <w:i w:val="0"/>
                <w:sz w:val="18"/>
              </w:rPr>
              <w:t>Development Oversight Committee</w:t>
            </w:r>
          </w:p>
        </w:tc>
        <w:tc>
          <w:tcPr>
            <w:tcW w:type="dxa" w:w="2469"/>
          </w:tcPr>
          <w:p>
            <w:pPr>
              <w:spacing w:after="20" w:before="0" w:line="247" w:lineRule="auto"/>
            </w:pPr>
            <w:r>
              <w:rPr>
                <w:rFonts w:ascii="Arial" w:hAnsi="Arial"/>
                <w:b w:val="0"/>
                <w:i w:val="0"/>
                <w:sz w:val="18"/>
              </w:rPr>
              <w:t>Elena Petrova</w:t>
            </w:r>
          </w:p>
        </w:tc>
        <w:tc>
          <w:tcPr>
            <w:tcW w:type="dxa" w:w="2469"/>
          </w:tcPr>
          <w:p>
            <w:pPr>
              <w:spacing w:after="20" w:before="0" w:line="247" w:lineRule="auto"/>
            </w:pPr>
            <w:r>
              <w:rPr>
                <w:rFonts w:ascii="Arial" w:hAnsi="Arial"/>
                <w:b w:val="0"/>
                <w:i w:val="0"/>
                <w:sz w:val="18"/>
              </w:rPr>
              <w:t>Management attendee</w:t>
            </w:r>
          </w:p>
        </w:tc>
        <w:tc>
          <w:tcPr>
            <w:tcW w:type="dxa" w:w="2469"/>
          </w:tcPr>
          <w:p>
            <w:pPr>
              <w:spacing w:after="20" w:before="0" w:line="247" w:lineRule="auto"/>
            </w:pPr>
            <w:r>
              <w:rPr>
                <w:rFonts w:ascii="Arial" w:hAnsi="Arial"/>
                <w:b w:val="0"/>
                <w:i w:val="0"/>
                <w:sz w:val="18"/>
              </w:rPr>
              <w:t>22-Apr-2021</w:t>
            </w:r>
          </w:p>
        </w:tc>
      </w:tr>
      <w:tr>
        <w:tc>
          <w:tcPr>
            <w:tcW w:type="dxa" w:w="2469"/>
          </w:tcPr>
          <w:p>
            <w:pPr>
              <w:spacing w:after="20" w:before="0" w:line="247" w:lineRule="auto"/>
            </w:pPr>
            <w:r>
              <w:rPr>
                <w:rFonts w:ascii="Arial" w:hAnsi="Arial"/>
                <w:b w:val="0"/>
                <w:i w:val="0"/>
                <w:sz w:val="18"/>
              </w:rPr>
              <w:t>Risk and Compliance Committee</w:t>
            </w:r>
          </w:p>
        </w:tc>
        <w:tc>
          <w:tcPr>
            <w:tcW w:type="dxa" w:w="2469"/>
          </w:tcPr>
          <w:p>
            <w:pPr>
              <w:spacing w:after="20" w:before="0" w:line="247" w:lineRule="auto"/>
            </w:pPr>
            <w:r>
              <w:rPr>
                <w:rFonts w:ascii="Arial" w:hAnsi="Arial"/>
                <w:b w:val="0"/>
                <w:i w:val="0"/>
                <w:sz w:val="18"/>
              </w:rPr>
              <w:t>Farah Al Mansoori</w:t>
            </w:r>
          </w:p>
        </w:tc>
        <w:tc>
          <w:tcPr>
            <w:tcW w:type="dxa" w:w="2469"/>
          </w:tcPr>
          <w:p>
            <w:pPr>
              <w:spacing w:after="20" w:before="0" w:line="247" w:lineRule="auto"/>
            </w:pPr>
            <w:r>
              <w:rPr>
                <w:rFonts w:ascii="Arial" w:hAnsi="Arial"/>
                <w:b w:val="0"/>
                <w:i w:val="0"/>
                <w:sz w:val="18"/>
              </w:rPr>
              <w:t>Chair</w:t>
            </w:r>
          </w:p>
        </w:tc>
        <w:tc>
          <w:tcPr>
            <w:tcW w:type="dxa" w:w="2469"/>
          </w:tcPr>
          <w:p>
            <w:pPr>
              <w:spacing w:after="20" w:before="0" w:line="247" w:lineRule="auto"/>
            </w:pPr>
            <w:r>
              <w:rPr>
                <w:rFonts w:ascii="Arial" w:hAnsi="Arial"/>
                <w:b w:val="0"/>
                <w:i w:val="0"/>
                <w:sz w:val="18"/>
              </w:rPr>
              <w:t>15-Jan-2024</w:t>
            </w:r>
          </w:p>
        </w:tc>
      </w:tr>
      <w:tr>
        <w:tc>
          <w:tcPr>
            <w:tcW w:type="dxa" w:w="2469"/>
          </w:tcPr>
          <w:p>
            <w:pPr>
              <w:spacing w:after="20" w:before="0" w:line="247" w:lineRule="auto"/>
            </w:pPr>
            <w:r>
              <w:rPr>
                <w:rFonts w:ascii="Arial" w:hAnsi="Arial"/>
                <w:b w:val="0"/>
                <w:i w:val="0"/>
                <w:sz w:val="18"/>
              </w:rPr>
              <w:t>Risk and Compliance Committee</w:t>
            </w:r>
          </w:p>
        </w:tc>
        <w:tc>
          <w:tcPr>
            <w:tcW w:type="dxa" w:w="2469"/>
          </w:tcPr>
          <w:p>
            <w:pPr>
              <w:spacing w:after="20" w:before="0" w:line="247" w:lineRule="auto"/>
            </w:pPr>
            <w:r>
              <w:rPr>
                <w:rFonts w:ascii="Arial" w:hAnsi="Arial"/>
                <w:b w:val="0"/>
                <w:i w:val="0"/>
                <w:sz w:val="18"/>
              </w:rPr>
              <w:t>Michael Davenport</w:t>
            </w:r>
          </w:p>
        </w:tc>
        <w:tc>
          <w:tcPr>
            <w:tcW w:type="dxa" w:w="2469"/>
          </w:tcPr>
          <w:p>
            <w:pPr>
              <w:spacing w:after="20" w:before="0" w:line="247" w:lineRule="auto"/>
            </w:pPr>
            <w:r>
              <w:rPr>
                <w:rFonts w:ascii="Arial" w:hAnsi="Arial"/>
                <w:b w:val="0"/>
                <w:i w:val="0"/>
                <w:sz w:val="18"/>
              </w:rPr>
              <w:t>Member</w:t>
            </w:r>
          </w:p>
        </w:tc>
        <w:tc>
          <w:tcPr>
            <w:tcW w:type="dxa" w:w="2469"/>
          </w:tcPr>
          <w:p>
            <w:pPr>
              <w:spacing w:after="20" w:before="0" w:line="247" w:lineRule="auto"/>
            </w:pPr>
            <w:r>
              <w:rPr>
                <w:rFonts w:ascii="Arial" w:hAnsi="Arial"/>
                <w:b w:val="0"/>
                <w:i w:val="0"/>
                <w:sz w:val="18"/>
              </w:rPr>
              <w:t>15-Jan-2024</w:t>
            </w:r>
          </w:p>
        </w:tc>
      </w:tr>
      <w:tr>
        <w:tc>
          <w:tcPr>
            <w:tcW w:type="dxa" w:w="2469"/>
          </w:tcPr>
          <w:p>
            <w:pPr>
              <w:spacing w:after="20" w:before="0" w:line="247" w:lineRule="auto"/>
            </w:pPr>
            <w:r>
              <w:rPr>
                <w:rFonts w:ascii="Arial" w:hAnsi="Arial"/>
                <w:b w:val="0"/>
                <w:i w:val="0"/>
                <w:sz w:val="18"/>
              </w:rPr>
              <w:t>Risk and Compliance Committee</w:t>
            </w:r>
          </w:p>
        </w:tc>
        <w:tc>
          <w:tcPr>
            <w:tcW w:type="dxa" w:w="2469"/>
          </w:tcPr>
          <w:p>
            <w:pPr>
              <w:spacing w:after="20" w:before="0" w:line="247" w:lineRule="auto"/>
            </w:pPr>
            <w:r>
              <w:rPr>
                <w:rFonts w:ascii="Arial" w:hAnsi="Arial"/>
                <w:b w:val="0"/>
                <w:i w:val="0"/>
                <w:sz w:val="18"/>
              </w:rPr>
              <w:t>Sophie Lambert</w:t>
            </w:r>
          </w:p>
        </w:tc>
        <w:tc>
          <w:tcPr>
            <w:tcW w:type="dxa" w:w="2469"/>
          </w:tcPr>
          <w:p>
            <w:pPr>
              <w:spacing w:after="20" w:before="0" w:line="247" w:lineRule="auto"/>
            </w:pPr>
            <w:r>
              <w:rPr>
                <w:rFonts w:ascii="Arial" w:hAnsi="Arial"/>
                <w:b w:val="0"/>
                <w:i w:val="0"/>
                <w:sz w:val="18"/>
              </w:rPr>
              <w:t>Management attendee</w:t>
            </w:r>
          </w:p>
        </w:tc>
        <w:tc>
          <w:tcPr>
            <w:tcW w:type="dxa" w:w="2469"/>
          </w:tcPr>
          <w:p>
            <w:pPr>
              <w:spacing w:after="20" w:before="0" w:line="247" w:lineRule="auto"/>
            </w:pPr>
            <w:r>
              <w:rPr>
                <w:rFonts w:ascii="Arial" w:hAnsi="Arial"/>
                <w:b w:val="0"/>
                <w:i w:val="0"/>
                <w:sz w:val="18"/>
              </w:rPr>
              <w:t>15-Jan-2024</w:t>
            </w:r>
          </w:p>
        </w:tc>
      </w:tr>
    </w:tbl>
    <w:p>
      <w:pPr>
        <w:spacing w:after="100" w:before="0" w:line="269" w:lineRule="auto"/>
      </w:pPr>
      <w:r>
        <w:rPr>
          <w:rFonts w:ascii="Arial" w:hAnsi="Arial"/>
          <w:b w:val="0"/>
          <w:i w:val="0"/>
          <w:sz w:val="20"/>
        </w:rPr>
        <w:t>The Audit Committee is presently the most institutionalized of the committees, reflecting the Company’s increased focus on reporting discipline, financing readiness, and control environment. The Development Oversight Committee serves a pragmatic project review function tied to capex discipline and delivery governance. The Risk and Compliance Committee appears designed to address a broader investor agenda around legal, regulatory, contractual, and reputational oversight.</w:t>
      </w:r>
    </w:p>
    <w:p>
      <w:pPr>
        <w:spacing w:after="80" w:before="200" w:line="240" w:lineRule="auto"/>
      </w:pPr>
      <w:r>
        <w:rPr>
          <w:rFonts w:ascii="Arial" w:hAnsi="Arial"/>
          <w:b/>
          <w:i w:val="0"/>
          <w:color w:val="1F4E79"/>
          <w:sz w:val="24"/>
        </w:rPr>
        <w:t>7. GOVERNANCE OBSERVATIONS</w:t>
      </w:r>
    </w:p>
    <w:p>
      <w:pPr>
        <w:pStyle w:val="ListBullet"/>
        <w:spacing w:after="40" w:before="0" w:line="259" w:lineRule="auto"/>
      </w:pPr>
      <w:r>
        <w:rPr>
          <w:rFonts w:ascii="Arial" w:hAnsi="Arial"/>
          <w:b w:val="0"/>
          <w:i w:val="0"/>
          <w:sz w:val="20"/>
        </w:rPr>
        <w:t>Board independence remains limited in absolute terms, but the addition of a genuinely independent director with audit oversight responsibilities is a positive development and improves institutional readiness.</w:t>
      </w:r>
    </w:p>
    <w:p>
      <w:pPr>
        <w:pStyle w:val="ListBullet"/>
        <w:spacing w:after="40" w:before="0" w:line="259" w:lineRule="auto"/>
      </w:pPr>
      <w:r>
        <w:rPr>
          <w:rFonts w:ascii="Arial" w:hAnsi="Arial"/>
          <w:b w:val="0"/>
          <w:i w:val="0"/>
          <w:sz w:val="20"/>
        </w:rPr>
        <w:t>Investor representation is meaningful and appears linked to negotiated governance rights rather than informal founder discretion. This reduces the risk of purely nominal investor oversight.</w:t>
      </w:r>
    </w:p>
    <w:p>
      <w:pPr>
        <w:pStyle w:val="ListBullet"/>
        <w:spacing w:after="40" w:before="0" w:line="259" w:lineRule="auto"/>
      </w:pPr>
      <w:r>
        <w:rPr>
          <w:rFonts w:ascii="Arial" w:hAnsi="Arial"/>
          <w:b w:val="0"/>
          <w:i w:val="0"/>
          <w:sz w:val="20"/>
        </w:rPr>
        <w:t>Leadership continuity is strongest in the finance and development functions, which is generally favorable for a project-driven business. The CEO transition in 2019 appears to have been a strategic scaling decision rather than a distress event.</w:t>
      </w:r>
    </w:p>
    <w:p>
      <w:pPr>
        <w:pStyle w:val="ListBullet"/>
        <w:spacing w:after="40" w:before="0" w:line="259" w:lineRule="auto"/>
      </w:pPr>
      <w:r>
        <w:rPr>
          <w:rFonts w:ascii="Arial" w:hAnsi="Arial"/>
          <w:b w:val="0"/>
          <w:i w:val="0"/>
          <w:sz w:val="20"/>
        </w:rPr>
        <w:t>The Company’s governance history reflects a recognizable maturation curve from founder-led management to a more formalized sponsor-compatible platform. Further refinement would likely focus on deeper independence, clearer succession planning, and more documented committee charters.</w:t>
      </w:r>
    </w:p>
    <w:p>
      <w:pPr>
        <w:spacing w:after="100" w:before="0" w:line="269" w:lineRule="auto"/>
      </w:pPr>
      <w:r>
        <w:rPr>
          <w:rFonts w:ascii="Arial" w:hAnsi="Arial"/>
          <w:b w:val="0"/>
          <w:i w:val="0"/>
          <w:sz w:val="20"/>
        </w:rPr>
        <w:t>Taken as a whole, the governance record appears directionally consistent with what a private equity investor would expect in a founder-backed but increasingly institutionalized UAE real estate development platform. The record does not eliminate the need for confirmatory document review, but it does support a preliminary conclusion that board and officer evolution has broadly followed the Company’s growth, financing, and governance requirements.</w:t>
      </w:r>
    </w:p>
    <w:sectPr w:rsidR="00FC693F" w:rsidRPr="0006063C" w:rsidSect="00034616">
      <w:pgSz w:w="12240" w:h="15840"/>
      <w:pgMar w:top="936"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