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AURELIA DEVELOPMENTS LLC</w:t>
      </w:r>
    </w:p>
    <w:p>
      <w:pPr>
        <w:jc w:val="center"/>
      </w:pPr>
      <w:r>
        <w:t>Certificate of Incorporation and All Amendments</w:t>
        <w:br/>
        <w:t>Corporate Governance &amp; Legal Diligence Record</w:t>
      </w:r>
    </w:p>
    <w:p/>
    <w:p>
      <w:pPr>
        <w:pStyle w:val="Heading1"/>
      </w:pPr>
      <w:r>
        <w:t>1. Certificate of Incorporation</w:t>
      </w:r>
    </w:p>
    <w:p>
      <w:r>
        <w:t>Aurelia Developments LLC (the “Company”) is a limited liability company duly incorporated under Federal Law No. 2 of 2015 on Commercial Companies of the United Arab Emirates, as amended.</w:t>
      </w:r>
    </w:p>
    <w:p>
      <w:r>
        <w:rPr>
          <w:b/>
        </w:rPr>
        <w:t xml:space="preserve">Company Name: </w:t>
      </w:r>
      <w:r>
        <w:t>Aurelia Developments LLC</w:t>
      </w:r>
    </w:p>
    <w:p>
      <w:r>
        <w:rPr>
          <w:b/>
        </w:rPr>
        <w:t xml:space="preserve">Jurisdiction of Incorporation: </w:t>
      </w:r>
      <w:r>
        <w:t>Emirate of Dubai, United Arab Emirates</w:t>
      </w:r>
    </w:p>
    <w:p>
      <w:r>
        <w:rPr>
          <w:b/>
        </w:rPr>
        <w:t xml:space="preserve">Date of Incorporation: </w:t>
      </w:r>
      <w:r>
        <w:t>15 March 2016</w:t>
      </w:r>
    </w:p>
    <w:p>
      <w:r>
        <w:rPr>
          <w:b/>
        </w:rPr>
        <w:t xml:space="preserve">Commercial Registration Number: </w:t>
      </w:r>
      <w:r>
        <w:t>CR No. 834721</w:t>
      </w:r>
    </w:p>
    <w:p>
      <w:r>
        <w:rPr>
          <w:b/>
        </w:rPr>
        <w:t xml:space="preserve">License Number: </w:t>
      </w:r>
      <w:r>
        <w:t>DED License No. 712964</w:t>
      </w:r>
    </w:p>
    <w:p>
      <w:r>
        <w:rPr>
          <w:b/>
        </w:rPr>
        <w:t xml:space="preserve">Registered Office: </w:t>
      </w:r>
      <w:r>
        <w:t>Level 29, Al Fattan Currency House, DIFC, Dubai, UAE</w:t>
      </w:r>
    </w:p>
    <w:p>
      <w:r>
        <w:t>Initial Share Capital: AED 50,000,000 divided into 50,000 ordinary shares with a nominal value of AED 1,000 each.</w:t>
      </w:r>
    </w:p>
    <w:p>
      <w:r>
        <w:t>Founding Shareholders:</w:t>
      </w:r>
    </w:p>
    <w:p>
      <w:pPr>
        <w:pStyle w:val="ListBullet"/>
      </w:pPr>
      <w:r>
        <w:t>Aurelia Holdings FZ-LLC (UAE) – 60%</w:t>
      </w:r>
    </w:p>
    <w:p>
      <w:pPr>
        <w:pStyle w:val="ListBullet"/>
      </w:pPr>
      <w:r>
        <w:t>Al Noor Capital Investments LLC (UAE) – 25%</w:t>
      </w:r>
    </w:p>
    <w:p>
      <w:pPr>
        <w:pStyle w:val="ListBullet"/>
      </w:pPr>
      <w:r>
        <w:t>Meridian Global Real Estate Ltd (Singapore) – 15%</w:t>
      </w:r>
    </w:p>
    <w:p>
      <w:r>
        <w:t>The Company was established for the purpose of undertaking real estate development, investment, and property management activities within the Emirate of Dubai, including luxury residential towers, waterfront villa developments, and mixed-use developments in partnership with international hospitality brands.</w:t>
      </w:r>
    </w:p>
    <w:p>
      <w:pPr>
        <w:pStyle w:val="Heading1"/>
      </w:pPr>
      <w:r>
        <w:t>2. Memorandum of Association (MOA)</w:t>
      </w:r>
    </w:p>
    <w:p>
      <w:pPr>
        <w:pStyle w:val="Heading2"/>
      </w:pPr>
      <w:r>
        <w:t>Corporate Objectives</w:t>
      </w:r>
    </w:p>
    <w:p>
      <w:r>
        <w:t>The Company shall engage in real estate development, including the acquisition of land, construction of residential and mixed-use developments, marketing and sale of residential units, and development of branded residences in partnership with international hospitality operators.</w:t>
      </w:r>
    </w:p>
    <w:p>
      <w:pPr>
        <w:pStyle w:val="Heading2"/>
      </w:pPr>
      <w:r>
        <w:t>Permitted Business Activities</w:t>
      </w:r>
    </w:p>
    <w:p>
      <w:pPr>
        <w:pStyle w:val="ListBullet"/>
      </w:pPr>
      <w:r>
        <w:t>Real estate development and project management</w:t>
      </w:r>
    </w:p>
    <w:p>
      <w:pPr>
        <w:pStyle w:val="ListBullet"/>
      </w:pPr>
      <w:r>
        <w:t>Construction and development of luxury residential properties</w:t>
      </w:r>
    </w:p>
    <w:p>
      <w:pPr>
        <w:pStyle w:val="ListBullet"/>
      </w:pPr>
      <w:r>
        <w:t>Off-plan sales and marketing of residential units</w:t>
      </w:r>
    </w:p>
    <w:p>
      <w:pPr>
        <w:pStyle w:val="ListBullet"/>
      </w:pPr>
      <w:r>
        <w:t>Property investment and asset management</w:t>
      </w:r>
    </w:p>
    <w:p>
      <w:pPr>
        <w:pStyle w:val="ListBullet"/>
      </w:pPr>
      <w:r>
        <w:t>Leasing and management of retail podiums and commercial units</w:t>
      </w:r>
    </w:p>
    <w:p>
      <w:pPr>
        <w:pStyle w:val="Heading2"/>
      </w:pPr>
      <w:r>
        <w:t>Share Capital Structure</w:t>
      </w:r>
    </w:p>
    <w:p>
      <w:r>
        <w:t>The Company’s capital shall be AED 50,000,000 divided into 50,000 shares. Each shareholder shall be liable only to the extent of their shareholding.</w:t>
      </w:r>
    </w:p>
    <w:p>
      <w:pPr>
        <w:pStyle w:val="Heading2"/>
      </w:pPr>
      <w:r>
        <w:t>Voting Rights</w:t>
      </w:r>
    </w:p>
    <w:p>
      <w:r>
        <w:t>Each share shall carry one vote. Shareholder resolutions concerning amendments to the Memorandum of Association, capital increases, admission of new shareholders, or sale of material assets require approval of shareholders representing at least 75% of share capital.</w:t>
      </w:r>
    </w:p>
    <w:p>
      <w:pPr>
        <w:pStyle w:val="Heading2"/>
      </w:pPr>
      <w:r>
        <w:t>Profit Distribution</w:t>
      </w:r>
    </w:p>
    <w:p>
      <w:r>
        <w:t>Net profits shall be distributed annually in proportion to shareholding, following allocation of 10% to statutory reserves until such reserve reaches 50% of the Company’s share capital.</w:t>
      </w:r>
    </w:p>
    <w:p>
      <w:pPr>
        <w:pStyle w:val="Heading1"/>
      </w:pPr>
      <w:r>
        <w:t>3. Articles of Association (AOA)</w:t>
      </w:r>
    </w:p>
    <w:p>
      <w:pPr>
        <w:pStyle w:val="Heading2"/>
      </w:pPr>
      <w:r>
        <w:t>Board Composition</w:t>
      </w:r>
    </w:p>
    <w:p>
      <w:r>
        <w:t>The Company shall be governed by a Board of Directors consisting of five (5) members appointed by shareholders.</w:t>
      </w:r>
    </w:p>
    <w:p>
      <w:pPr>
        <w:pStyle w:val="Heading2"/>
      </w:pPr>
      <w:r>
        <w:t>Director Appointment</w:t>
      </w:r>
    </w:p>
    <w:p>
      <w:r>
        <w:t>Directors shall serve three-year renewable terms. Shareholders holding at least 20% of share capital shall be entitled to nominate one director.</w:t>
      </w:r>
    </w:p>
    <w:p>
      <w:pPr>
        <w:pStyle w:val="Heading2"/>
      </w:pPr>
      <w:r>
        <w:t>Shareholder Voting Rights</w:t>
      </w:r>
    </w:p>
    <w:p>
      <w:r>
        <w:t>Each shareholder shall exercise voting rights proportional to their shareholding.</w:t>
      </w:r>
    </w:p>
    <w:p>
      <w:pPr>
        <w:pStyle w:val="Heading2"/>
      </w:pPr>
      <w:r>
        <w:t>Major Transaction Thresholds</w:t>
      </w:r>
    </w:p>
    <w:p>
      <w:pPr>
        <w:pStyle w:val="ListBullet"/>
      </w:pPr>
      <w:r>
        <w:t>Project financing exceeding AED 500 million requires approval of at least four directors.</w:t>
      </w:r>
    </w:p>
    <w:p>
      <w:pPr>
        <w:pStyle w:val="ListBullet"/>
      </w:pPr>
      <w:r>
        <w:t>Acquisition of land parcels exceeding AED 200 million requires supermajority board approval.</w:t>
      </w:r>
    </w:p>
    <w:p>
      <w:pPr>
        <w:pStyle w:val="ListBullet"/>
      </w:pPr>
      <w:r>
        <w:t>Entry into joint venture agreements requires approval of shareholders representing at least 75% of share capital.</w:t>
      </w:r>
    </w:p>
    <w:p>
      <w:pPr>
        <w:pStyle w:val="Heading2"/>
      </w:pPr>
      <w:r>
        <w:t>Dividend Policy</w:t>
      </w:r>
    </w:p>
    <w:p>
      <w:r>
        <w:t>The Board may recommend dividends annually subject to statutory reserve requirements and capital requirements for ongoing development projects.</w:t>
      </w:r>
    </w:p>
    <w:p>
      <w:pPr>
        <w:pStyle w:val="Heading2"/>
      </w:pPr>
      <w:r>
        <w:t>Board Meetings</w:t>
      </w:r>
    </w:p>
    <w:p>
      <w:r>
        <w:t>Board meetings shall occur at least quarterly. Quorum shall consist of a simple majority of appointed directors.</w:t>
      </w:r>
    </w:p>
    <w:p>
      <w:pPr>
        <w:pStyle w:val="Heading1"/>
      </w:pPr>
      <w:r>
        <w:t>4. Amendments to Incorporation</w:t>
      </w:r>
    </w:p>
    <w:p>
      <w:r>
        <w:rPr>
          <w:b/>
        </w:rPr>
        <w:t xml:space="preserve">12 June 2018: </w:t>
      </w:r>
      <w:r>
        <w:t>Share capital increased to AED 120,000,000 to finance development of Aurelia Marina Residences.</w:t>
      </w:r>
    </w:p>
    <w:p>
      <w:r>
        <w:rPr>
          <w:b/>
        </w:rPr>
        <w:t xml:space="preserve">3 September 2020: </w:t>
      </w:r>
      <w:r>
        <w:t>Meridian Global Real Estate Ltd increased its shareholding to support expansion of development pipeline.</w:t>
      </w:r>
    </w:p>
    <w:p>
      <w:r>
        <w:rPr>
          <w:b/>
        </w:rPr>
        <w:t xml:space="preserve">18 November 2022: </w:t>
      </w:r>
      <w:r>
        <w:t>Share capital increased to AED 300,000,000 to support Palm Jumeirah branded residence project.</w:t>
      </w:r>
    </w:p>
    <w:p>
      <w:r>
        <w:rPr>
          <w:b/>
        </w:rPr>
        <w:t xml:space="preserve">15 January 2024: </w:t>
      </w:r>
      <w:r>
        <w:t>Board restructured to include an independent director ahead of potential institutional capital raise.</w:t>
      </w:r>
    </w:p>
    <w:p>
      <w:pPr>
        <w:pStyle w:val="Heading1"/>
      </w:pPr>
      <w:r>
        <w:t>5. Current Shareholder Structure</w:t>
      </w:r>
    </w:p>
    <w:p>
      <w:pPr>
        <w:pStyle w:val="ListBullet"/>
      </w:pPr>
      <w:r>
        <w:t>Aurelia Holdings FZ-LLC – 48% (Founder holding entity controlled by the Al Rashid family)</w:t>
      </w:r>
    </w:p>
    <w:p>
      <w:pPr>
        <w:pStyle w:val="ListBullet"/>
      </w:pPr>
      <w:r>
        <w:t>Meridian Global Real Estate Ltd – 27% (Singapore-based real estate investment firm)</w:t>
      </w:r>
    </w:p>
    <w:p>
      <w:pPr>
        <w:pStyle w:val="ListBullet"/>
      </w:pPr>
      <w:r>
        <w:t>Al Noor Capital Investments LLC – 20% (UAE family office investor)</w:t>
      </w:r>
    </w:p>
    <w:p>
      <w:pPr>
        <w:pStyle w:val="ListBullet"/>
      </w:pPr>
      <w:r>
        <w:t>Crescent Strategic Investments Ltd – 5% (Regional development capital provider)</w:t>
      </w:r>
    </w:p>
    <w:p>
      <w:pPr>
        <w:pStyle w:val="Heading1"/>
      </w:pPr>
      <w:r>
        <w:t>6. Board of Directors</w:t>
      </w:r>
    </w:p>
    <w:p>
      <w:pPr>
        <w:pStyle w:val="ListBullet"/>
      </w:pPr>
      <w:r>
        <w:t>Hassan Al Rashid – Chairman (Founder of Aurelia Holdings; 25+ years in UAE real estate development)</w:t>
      </w:r>
    </w:p>
    <w:p>
      <w:pPr>
        <w:pStyle w:val="ListBullet"/>
      </w:pPr>
      <w:r>
        <w:t>Daniel Moretti – Chief Executive Officer (Former Managing Director, global luxury developer)</w:t>
      </w:r>
    </w:p>
    <w:p>
      <w:pPr>
        <w:pStyle w:val="ListBullet"/>
      </w:pPr>
      <w:r>
        <w:t>Farah Al Mansoori – Director (Managing Partner, Al Noor Capital Investments)</w:t>
      </w:r>
    </w:p>
    <w:p>
      <w:pPr>
        <w:pStyle w:val="ListBullet"/>
      </w:pPr>
      <w:r>
        <w:t>Victor Tan – Director (Partner, Meridian Global Real Estate Ltd)</w:t>
      </w:r>
    </w:p>
    <w:p>
      <w:pPr>
        <w:pStyle w:val="ListBullet"/>
      </w:pPr>
      <w:r>
        <w:t>Michael Davenport – Independent Director (Former Head of Real Estate Advisory, Big 4 firm in the Middle East)</w:t>
      </w:r>
    </w:p>
    <w:p>
      <w:pPr>
        <w:pStyle w:val="Heading1"/>
      </w:pPr>
      <w:r>
        <w:t>7. Registered Address and Licensed Business Activities</w:t>
      </w:r>
    </w:p>
    <w:p>
      <w:r>
        <w:t>Registered Office: Level 29, Al Fattan Currency House, DIFC, Dubai, United Arab Emirates</w:t>
      </w:r>
    </w:p>
    <w:p>
      <w:r>
        <w:t>Licensed Business Activities:</w:t>
      </w:r>
    </w:p>
    <w:p>
      <w:pPr>
        <w:pStyle w:val="ListBullet"/>
      </w:pPr>
      <w:r>
        <w:t>Real estate development</w:t>
      </w:r>
    </w:p>
    <w:p>
      <w:pPr>
        <w:pStyle w:val="ListBullet"/>
      </w:pPr>
      <w:r>
        <w:t>Residential property development</w:t>
      </w:r>
    </w:p>
    <w:p>
      <w:pPr>
        <w:pStyle w:val="ListBullet"/>
      </w:pPr>
      <w:r>
        <w:t>Property investment and management</w:t>
      </w:r>
    </w:p>
    <w:p>
      <w:pPr>
        <w:pStyle w:val="ListBullet"/>
      </w:pPr>
      <w:r>
        <w:t>Real estate marketing and sales</w:t>
      </w:r>
    </w:p>
    <w:p>
      <w:pPr>
        <w:pStyle w:val="ListBullet"/>
      </w:pPr>
      <w:r>
        <w:t>Development of branded residential properties</w:t>
      </w:r>
    </w:p>
    <w:p>
      <w:r>
        <w:t>Regulatory Registrations:</w:t>
      </w:r>
    </w:p>
    <w:p>
      <w:pPr>
        <w:pStyle w:val="ListBullet"/>
      </w:pPr>
      <w:r>
        <w:t>Dubai Land Department Developer ID: DLD-DEV-41129</w:t>
      </w:r>
    </w:p>
    <w:p>
      <w:pPr>
        <w:pStyle w:val="ListBullet"/>
      </w:pPr>
      <w:r>
        <w:t>RERA Developer License No. RERA-DEV-8821</w:t>
      </w:r>
    </w:p>
    <w:p>
      <w:pPr>
        <w:pStyle w:val="ListBullet"/>
      </w:pPr>
      <w:r>
        <w:t>Dubai Department of Economy &amp; Tourism Commercial License No. 712964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