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Warrants, Convertible Notes, and Other Rights to Acquire Equity – Aurelia Developments LLC</w:t>
      </w:r>
    </w:p>
    <w:p>
      <w:pPr>
        <w:pStyle w:val="Heading1"/>
      </w:pPr>
      <w:r>
        <w:t>1. Executive Summary</w:t>
      </w:r>
    </w:p>
    <w:p>
      <w:r>
        <w:t xml:space="preserve">This report summarizes all equity-linked securities and contractual rights that may result in equity ownership in Aurelia Developments LLC. </w:t>
        <w:br/>
        <w:t>The analysis has been prepared for private equity legal and financial diligence in connection with a potential institutional investment transaction.</w:t>
      </w:r>
    </w:p>
    <w:p>
      <w:r>
        <w:t xml:space="preserve">Based on management records reviewed, the Company currently has multiple categories of equity-linked instruments outstanding including </w:t>
        <w:br/>
        <w:t>warrants issued to strategic investors and convertible notes used to finance development activities.</w:t>
      </w:r>
    </w:p>
    <w:p>
      <w:r>
        <w:t xml:space="preserve">If all currently outstanding instruments were exercised or converted, the fully diluted share count would increase from 100,000 shares </w:t>
        <w:br/>
        <w:t>currently outstanding to approximately 122,000 shares. This would reduce founder ownership from 55% to approximately 46%.</w:t>
      </w:r>
    </w:p>
    <w:p>
      <w:r>
        <w:t xml:space="preserve">None of the instruments reviewed appear to contain provisions that would prevent a private equity transaction; however several instruments </w:t>
        <w:br/>
        <w:t>contain conversion rights triggered upon a change-of-control transaction, which may affect the final capitalization structure at closing.</w:t>
      </w:r>
    </w:p>
    <w:p>
      <w:pPr>
        <w:pStyle w:val="Heading1"/>
      </w:pPr>
      <w:r>
        <w:t>2. Overview of Equity‑Linked Instruments</w:t>
      </w:r>
    </w:p>
    <w:p>
      <w:r>
        <w:t xml:space="preserve">The Company has historically utilized several forms of equity-linked financing instruments to fund development projects and strategic </w:t>
        <w:br/>
        <w:t>growth initiatives. These instruments allow the Company to raise capital while postponing immediate equity dilution.</w:t>
      </w:r>
    </w:p>
    <w:p>
      <w:r>
        <w:t>The primary instruments identified during diligence include:</w:t>
      </w:r>
    </w:p>
    <w:p>
      <w:r>
        <w:t>• Warrants issued to strategic investors and hospitality partners</w:t>
        <w:br/>
        <w:t>• Convertible promissory notes issued to development financing partners</w:t>
        <w:br/>
        <w:t>• Strategic investor conversion rights negotiated in investment agreements</w:t>
        <w:br/>
        <w:t>• Employee equity participation through stock options</w:t>
      </w:r>
    </w:p>
    <w:p>
      <w:r>
        <w:t>Each instrument is described in greater detail in the sections below.</w:t>
      </w:r>
    </w:p>
    <w:p>
      <w:pPr>
        <w:pStyle w:val="Heading1"/>
      </w:pPr>
      <w:r>
        <w:t>3. Detailed Warrant Analysis</w:t>
      </w:r>
    </w:p>
    <w:p>
      <w:r>
        <w:t>Two warrant issuances remain outstanding as of the date of this report.</w:t>
      </w:r>
    </w:p>
    <w:p>
      <w:r>
        <w:t xml:space="preserve">Meridian Global Real Estate Ltd received warrants in connection with its strategic investment in the Company's Dubai Marina development </w:t>
        <w:br/>
        <w:t xml:space="preserve">project. The warrants provide the right to purchase 5,000 ordinary shares at an exercise price of AED 1,100 per share and expire on </w:t>
        <w:br/>
        <w:t>12 June 2028.</w:t>
      </w:r>
    </w:p>
    <w:p>
      <w:r>
        <w:t xml:space="preserve">Crescent Strategic Investments Ltd received warrants in connection with its participation in the Palm Jumeirah branded residence project. </w:t>
        <w:br/>
        <w:t>These warrants provide the right to acquire 3,000 ordinary shares at an exercise price of AED 1,200 per share and expire on 18 November 2030.</w:t>
      </w:r>
    </w:p>
    <w:p>
      <w:r>
        <w:t xml:space="preserve">These warrants were structured as long‑term strategic participation incentives and are typical for development partnerships in real estate </w:t>
        <w:br/>
        <w:t>projects where investors contribute early capital or strategic relationships.</w:t>
      </w:r>
    </w:p>
    <w:p>
      <w:pPr>
        <w:pStyle w:val="Heading1"/>
      </w:pPr>
      <w:r>
        <w:t>4. Convertible Notes Analysis</w:t>
      </w:r>
    </w:p>
    <w:p>
      <w:r>
        <w:t>The Company has issued two convertible notes to finance development and expansion initiatives.</w:t>
      </w:r>
    </w:p>
    <w:p>
      <w:r>
        <w:t xml:space="preserve">Al Noor Capital Investments LLC provided a development financing facility through a convertible note issued in September 2020. The note </w:t>
        <w:br/>
        <w:t xml:space="preserve">has a principal amount equivalent to 8,000 shares upon conversion and converts at a 20% discount to the valuation established in the next </w:t>
        <w:br/>
        <w:t>qualified financing round.</w:t>
      </w:r>
    </w:p>
    <w:p>
      <w:r>
        <w:t xml:space="preserve">Gulf Strategic Capital Partners provided a bridge financing facility in March 2021 through a convertible note that converts at a fixed </w:t>
        <w:br/>
        <w:t>conversion price of AED 1,050 per share. The instrument would convert into approximately 6,000 shares if exercised in full.</w:t>
      </w:r>
    </w:p>
    <w:p>
      <w:r>
        <w:t xml:space="preserve">Both notes mature between 2026 and 2027 but contain provisions allowing earlier conversion upon a qualified financing round, acquisition, </w:t>
        <w:br/>
        <w:t>or public listing of the Company.</w:t>
      </w:r>
    </w:p>
    <w:p>
      <w:pPr>
        <w:pStyle w:val="Heading1"/>
      </w:pPr>
      <w:r>
        <w:t>5. Other Rights to Acquire Equity</w:t>
      </w:r>
    </w:p>
    <w:p>
      <w:r>
        <w:t xml:space="preserve">Certain strategic investors and development partners hold contractual rights that could result in equity ownership under specific </w:t>
        <w:br/>
        <w:t>circumstances.</w:t>
      </w:r>
    </w:p>
    <w:p>
      <w:r>
        <w:t>Examples include:</w:t>
      </w:r>
    </w:p>
    <w:p>
      <w:r>
        <w:t>• Participation rights granted to early strategic investors allowing them to purchase additional shares in future financing rounds.</w:t>
        <w:br/>
        <w:t>• Joint venture development agreements containing optional equity participation provisions tied to project performance.</w:t>
        <w:br/>
        <w:t>• Management equity incentive rights granted under the Company’s Equity Incentive Plan.</w:t>
      </w:r>
    </w:p>
    <w:p>
      <w:r>
        <w:t xml:space="preserve">While these rights are conditional and not currently exercised, they may result in additional dilution depending on future financing </w:t>
        <w:br/>
        <w:t>transactions or strategic partnerships.</w:t>
      </w:r>
    </w:p>
    <w:p>
      <w:pPr>
        <w:pStyle w:val="Heading1"/>
      </w:pPr>
      <w:r>
        <w:t>6. Fully Diluted Ownership Impact</w:t>
      </w:r>
    </w:p>
    <w:p>
      <w:r>
        <w:t xml:space="preserve">The Company currently has 100,000 ordinary shares outstanding. If all warrants and convertible notes were exercised or converted, </w:t>
        <w:br/>
        <w:t>the total share count would increase to approximately 122,000 shares.</w:t>
      </w:r>
    </w:p>
    <w:p>
      <w:r>
        <w:t>Under a fully diluted scenario:</w:t>
      </w:r>
    </w:p>
    <w:p>
      <w:r>
        <w:t>Founder ownership would decrease from 55% to approximately 46%</w:t>
        <w:br/>
        <w:t>Institutional and strategic investors would collectively hold approximately 54% of the Company</w:t>
      </w:r>
    </w:p>
    <w:p>
      <w:r>
        <w:t>These changes would need to be considered in structuring any private equity investment.</w:t>
      </w:r>
    </w:p>
    <w:p>
      <w:pPr>
        <w:pStyle w:val="Heading1"/>
      </w:pPr>
      <w:r>
        <w:t>7. Legal and Governance Implications</w:t>
      </w:r>
    </w:p>
    <w:p>
      <w:r>
        <w:t>Several equity-linked instruments include contractual protections for investors. These protections may include:</w:t>
      </w:r>
    </w:p>
    <w:p>
      <w:r>
        <w:t>• Anti‑dilution provisions adjusting conversion prices in certain financing events</w:t>
        <w:br/>
        <w:t>• Information rights allowing investors access to financial reporting</w:t>
        <w:br/>
        <w:t>• Participation rights allowing investors to participate in future equity financings</w:t>
      </w:r>
    </w:p>
    <w:p>
      <w:r>
        <w:t xml:space="preserve">While common in early stage financing structures, these provisions must be reviewed carefully in connection with a private equity </w:t>
        <w:br/>
        <w:t>transaction to ensure they do not create consent rights or economic adjustments affecting deal structuring.</w:t>
      </w:r>
    </w:p>
    <w:p>
      <w:pPr>
        <w:pStyle w:val="Heading1"/>
      </w:pPr>
      <w:r>
        <w:t>8. Change of Control Analysis</w:t>
      </w:r>
    </w:p>
    <w:p>
      <w:r>
        <w:t xml:space="preserve">In the event of a change‑of‑control transaction including a private equity acquisition, the treatment of equity-linked instruments is </w:t>
        <w:br/>
        <w:t>generally governed by their respective agreements.</w:t>
      </w:r>
    </w:p>
    <w:p>
      <w:r>
        <w:t>Typical outcomes include:</w:t>
      </w:r>
    </w:p>
    <w:p>
      <w:r>
        <w:t>• Automatic conversion of convertible notes into equity immediately prior to closing</w:t>
        <w:br/>
        <w:t>• Cash settlement or exercise of warrants</w:t>
        <w:br/>
        <w:t>• Acceleration of vesting for certain management equity incentives</w:t>
      </w:r>
    </w:p>
    <w:p>
      <w:r>
        <w:t xml:space="preserve">Based on the instruments reviewed, convertible notes are expected to convert into equity at closing of a qualifying investment or </w:t>
        <w:br/>
        <w:t>acquisition transaction, resulting in dilution to existing shareholders.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