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Intellectual Property Diligence Report</w:t>
      </w:r>
    </w:p>
    <w:p>
      <w:pPr>
        <w:jc w:val="center"/>
      </w:pPr>
      <w:r>
        <w:rPr>
          <w:b/>
          <w:color w:val="264A73"/>
          <w:sz w:val="32"/>
        </w:rPr>
        <w:t>Aurelia Developments LLC</w:t>
      </w:r>
    </w:p>
    <w:p>
      <w:pPr>
        <w:jc w:val="center"/>
      </w:pPr>
      <w:r>
        <w:rPr>
          <w:color w:val="4B5563"/>
          <w:sz w:val="22"/>
        </w:rPr>
        <w:t>Industry: Real Estate Development and Property Technology</w:t>
      </w:r>
    </w:p>
    <w:p>
      <w:pPr>
        <w:jc w:val="center"/>
      </w:pPr>
      <w:r>
        <w:rPr>
          <w:color w:val="4B5563"/>
          <w:sz w:val="22"/>
        </w:rPr>
        <w:t>Headquarters: Dubai, United Arab Emirates</w:t>
      </w:r>
    </w:p>
    <w:p>
      <w:pPr>
        <w:jc w:val="center"/>
      </w:pPr>
      <w:r>
        <w:rPr>
          <w:color w:val="4B5563"/>
          <w:sz w:val="22"/>
        </w:rPr>
        <w:t>Prepared in the style of a corporate law firm IP diligence memorandum for private equity transaction review</w:t>
      </w:r>
    </w:p>
    <w:p>
      <w:pPr>
        <w:jc w:val="center"/>
      </w:pPr>
      <w:r>
        <w:rPr>
          <w:color w:val="4B5563"/>
          <w:sz w:val="22"/>
        </w:rPr>
        <w:t>As of 31 December 2025</w:t>
      </w:r>
    </w:p>
    <w:tbl>
      <w:tblPr>
        <w:tblW w:type="auto" w:w="0"/>
        <w:jc w:val="center"/>
        <w:tblLayout w:type="fixed"/>
        <w:tblLook w:firstColumn="1" w:firstRow="1" w:lastColumn="0" w:lastRow="0" w:noHBand="0" w:noVBand="1" w:val="04A0"/>
      </w:tblPr>
      <w:tblGrid>
        <w:gridCol w:w="8928"/>
      </w:tblGrid>
      <w:tr>
        <w:tc>
          <w:tcPr>
            <w:tcW w:type="dxa" w:w="9648"/>
            <w:shd w:fill="EAF1FB"/>
            <w:tcMar>
              <w:top w:w="140" w:type="dxa"/>
              <w:start w:w="140" w:type="dxa"/>
              <w:bottom w:w="140" w:type="dxa"/>
              <w:end w:w="140" w:type="dxa"/>
            </w:tcMar>
            <w:vAlign w:val="center"/>
          </w:tcPr>
          <w:p>
            <w:pPr>
              <w:jc w:val="left"/>
            </w:pPr>
            <w:r>
              <w:rPr>
                <w:sz w:val="21"/>
              </w:rPr>
              <w:t>This report inventories the company's material intellectual property assets, summarizes the legal chain of title and protection measures applicable to each asset class, and highlights issues typically examined by private equity investors during legal diligence, including ownership certainty, licensing scope, dependency on third-party rights, and enforceability of confidentiality controls.</w:t>
            </w:r>
          </w:p>
        </w:tc>
      </w:tr>
    </w:tbl>
    <w:p>
      <w:r>
        <w:br w:type="page"/>
      </w:r>
    </w:p>
    <w:p>
      <w:pPr>
        <w:pStyle w:val="Heading1"/>
      </w:pPr>
      <w:r>
        <w:t>Scope, Methodology and Diligence Assumptions</w:t>
      </w:r>
    </w:p>
    <w:p>
      <w:pPr>
        <w:spacing w:after="160"/>
      </w:pPr>
      <w:r>
        <w:t>This memorandum has been prepared as a transaction-style intellectual property diligence report for Aurelia Developments LLC and its principal operating affiliates. The review is tailored to a real estate developer that has evolved beyond a pure asset owner into a platform business with technology-enabled development planning, data-driven sales operations, digital buyer engagement tools, branded project identities, proprietary design standards, and internally developed analytics software used throughout the development lifecycle.</w:t>
      </w:r>
    </w:p>
    <w:p>
      <w:pPr>
        <w:spacing w:after="160"/>
      </w:pPr>
      <w:r>
        <w:t>For diligence purposes, the company's intellectual property estate should be viewed through two complementary lenses. First, the business owns and exploits traditional branding and marketing assets associated with specific developments, corporate identity, hospitality-linked project names, and consumer-facing digital channels. Second, the business maintains operational know-how and software assets that support land underwriting, project planning, pricing analytics, procurement workflow management, construction tracking, and sales funnel optimization. Together these assets create commercial differentiation, speed of execution, and a degree of defensibility in project launch and operational decision-making.</w:t>
      </w:r>
    </w:p>
    <w:p>
      <w:pPr>
        <w:spacing w:after="160"/>
      </w:pPr>
      <w:r>
        <w:t>This report is organized by asset class and is intended to resemble the level of detail ordinarily seen in a law-firm diligence memorandum. Each section includes a structured asset list, summary of ownership position, key documentation typically maintained in the data room, and legal observations regarding scope of protection, transferability, and diligence risk.</w:t>
      </w:r>
    </w:p>
    <w:p>
      <w:pPr>
        <w:pStyle w:val="Heading1"/>
      </w:pPr>
      <w:r>
        <w:t>3. Intellectual Property</w:t>
      </w:r>
    </w:p>
    <w:p>
      <w:r>
        <w:t>Aurelia's IP strategy is built around protecting the commercial value of its project pipeline and the digital infrastructure used to originate, price, market, and manage developments. In contrast to a traditional developer that relies almost entirely on land position and contractual rights, Aurelia has invested in reusable technology modules and brand architecture intended to support multiple project launches, shorten design and sales cycles, and strengthen buyer confidence.</w:t>
      </w:r>
    </w:p>
    <w:p>
      <w:r>
        <w:t>From an investor perspective, the most important questions are whether the company has clear ownership of internally created software and design processes, whether core project and corporate brands are registrable and enforceable in the jurisdictions where the company markets developments, whether any revenue-generating or mission-critical systems depend on third-party licensed IP that could be revoked or become uneconomic, and whether confidential know-how is protected by enforceable contractual and operational controls.</w:t>
      </w:r>
    </w:p>
    <w:p>
      <w:r>
        <w:t>The company's internal IP governance policy allocates ownership review responsibility across legal, human resources, technology, brand management, and procurement teams. Material software deployments are documented in a source-code inventory; major branding assets are maintained in a trademark register; template employment agreements include invention assignment language; and contractor statements of work are expected to include work-made-for-hire concepts together with present assignments of all rights in deliverables created for the company.</w:t>
      </w:r>
    </w:p>
    <w:tbl>
      <w:tblPr>
        <w:tblW w:type="auto" w:w="0"/>
        <w:jc w:val="center"/>
        <w:tblLayout w:type="fixed"/>
        <w:tblLook w:firstColumn="1" w:firstRow="1" w:lastColumn="0" w:lastRow="0" w:noHBand="0" w:noVBand="1" w:val="04A0"/>
      </w:tblPr>
      <w:tblGrid>
        <w:gridCol w:w="2880"/>
        <w:gridCol w:w="6048"/>
      </w:tblGrid>
      <w:tr>
        <w:tc>
          <w:tcPr>
            <w:tcW w:type="dxa" w:w="4824"/>
            <w:shd w:fill="D9E8FB"/>
            <w:vAlign w:val="center"/>
            <w:tcMar>
              <w:top w:w="80" w:type="dxa"/>
              <w:start w:w="100" w:type="dxa"/>
              <w:bottom w:w="80" w:type="dxa"/>
              <w:end w:w="100" w:type="dxa"/>
            </w:tcMar>
          </w:tcPr>
          <w:p>
            <w:r>
              <w:t>Primary IP Value Drivers</w:t>
            </w:r>
          </w:p>
        </w:tc>
        <w:tc>
          <w:tcPr>
            <w:tcW w:type="dxa" w:w="4824"/>
            <w:vAlign w:val="center"/>
            <w:tcMar>
              <w:top w:w="80" w:type="dxa"/>
              <w:start w:w="100" w:type="dxa"/>
              <w:bottom w:w="80" w:type="dxa"/>
              <w:end w:w="100" w:type="dxa"/>
            </w:tcMar>
          </w:tcPr>
          <w:p>
            <w:r>
              <w:t>Project branding, proptech workflow tools, pricing and demand analytics, digital sales funnel infrastructure, proprietary design standards.</w:t>
            </w:r>
          </w:p>
        </w:tc>
      </w:tr>
      <w:tr>
        <w:tc>
          <w:tcPr>
            <w:tcW w:type="dxa" w:w="2880"/>
            <w:shd w:fill="D9E8FB"/>
            <w:vAlign w:val="center"/>
            <w:tcMar>
              <w:top w:w="80" w:type="dxa"/>
              <w:start w:w="100" w:type="dxa"/>
              <w:bottom w:w="80" w:type="dxa"/>
              <w:end w:w="100" w:type="dxa"/>
            </w:tcMar>
          </w:tcPr>
          <w:p>
            <w:r>
              <w:t>Key Diligence Themes</w:t>
            </w:r>
          </w:p>
        </w:tc>
        <w:tc>
          <w:tcPr>
            <w:tcW w:type="dxa" w:w="6048"/>
            <w:vAlign w:val="center"/>
            <w:tcMar>
              <w:top w:w="80" w:type="dxa"/>
              <w:start w:w="100" w:type="dxa"/>
              <w:bottom w:w="80" w:type="dxa"/>
              <w:end w:w="100" w:type="dxa"/>
            </w:tcMar>
          </w:tcPr>
          <w:p>
            <w:r>
              <w:t>Chain of title, employee and contractor assignments, scope of third-party licenses, registrability and enforcement, confidentiality protections.</w:t>
            </w:r>
          </w:p>
        </w:tc>
      </w:tr>
    </w:tbl>
    <w:p>
      <w:pPr>
        <w:pStyle w:val="Heading1"/>
      </w:pPr>
      <w:r>
        <w:t>3.1 Patents</w:t>
      </w:r>
    </w:p>
    <w:p>
      <w:r>
        <w:t>Aurelia is not a patent-heavy business in the same sense as a hardware or deep technology company; however, it has invested in patentable methods and system architecture surrounding digital planning workflows, construction sequencing analytics, smart-building operational integration, and sales technology used across high-value developments. The patent portfolio is therefore best understood as adjacent to the real estate business: it protects process innovation and digital enablement rather than the built assets themselves.</w:t>
      </w:r>
    </w:p>
    <w:p>
      <w:r>
        <w:t>Patent ownership has been centralized where practical in Aurelia PropTech Solutions FZ-LLC, an affiliated technology entity that licenses certain technology back to the core development business. Where patents are licensed rather than directly owned, the governing intra-group or third-party license typically grants the operating business a perpetual, royalty-free, exclusive right to use the patented technology within the GCC luxury real estate development sector, together with rights to derivative improvements created in the ordinary course of implementation.</w:t>
      </w:r>
    </w:p>
    <w:p>
      <w:pPr>
        <w:pStyle w:val="Heading2"/>
      </w:pPr>
      <w:r>
        <w:t>List of All Patents Owned or Licensed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blHeader w:val="true"/>
          <w:tblHeader w:val="true"/>
          <w:tblHeader w:val="true"/>
          <w:tblHeader w:val="true"/>
          <w:tblHeader w:val="true"/>
          <w:tblHeader w:val="true"/>
        </w:trPr>
        <w:tc>
          <w:tcPr>
            <w:tcW w:type="dxa" w:w="1378"/>
            <w:shd w:fill="D9E8FB"/>
          </w:tcPr>
          <w:p>
            <w:r>
              <w:t>Patent Title</w:t>
            </w:r>
          </w:p>
        </w:tc>
        <w:tc>
          <w:tcPr>
            <w:tcW w:type="dxa" w:w="1378"/>
            <w:shd w:fill="D9E8FB"/>
          </w:tcPr>
          <w:p>
            <w:r>
              <w:t>Patent / App. No.</w:t>
            </w:r>
          </w:p>
        </w:tc>
        <w:tc>
          <w:tcPr>
            <w:tcW w:type="dxa" w:w="1378"/>
            <w:shd w:fill="D9E8FB"/>
          </w:tcPr>
          <w:p>
            <w:r>
              <w:t>Jurisdiction</w:t>
            </w:r>
          </w:p>
        </w:tc>
        <w:tc>
          <w:tcPr>
            <w:tcW w:type="dxa" w:w="1378"/>
            <w:shd w:fill="D9E8FB"/>
          </w:tcPr>
          <w:p>
            <w:r>
              <w:t>Filing Date</w:t>
            </w:r>
          </w:p>
        </w:tc>
        <w:tc>
          <w:tcPr>
            <w:tcW w:type="dxa" w:w="1378"/>
            <w:shd w:fill="D9E8FB"/>
          </w:tcPr>
          <w:p>
            <w:r>
              <w:t>Expiration</w:t>
            </w:r>
          </w:p>
        </w:tc>
        <w:tc>
          <w:tcPr>
            <w:tcW w:type="dxa" w:w="1378"/>
            <w:shd w:fill="D9E8FB"/>
          </w:tcPr>
          <w:p>
            <w:r>
              <w:t>Status</w:t>
            </w:r>
          </w:p>
        </w:tc>
        <w:tc>
          <w:tcPr>
            <w:tcW w:type="dxa" w:w="1378"/>
            <w:shd w:fill="D9E8FB"/>
          </w:tcPr>
          <w:p>
            <w:r>
              <w:t>Protected Subject Matter</w:t>
            </w:r>
          </w:p>
        </w:tc>
      </w:tr>
      <w:tr>
        <w:tc>
          <w:tcPr>
            <w:tcW w:type="dxa" w:w="1378"/>
            <w:vAlign w:val="center"/>
            <w:tcMar>
              <w:top w:w="80" w:type="dxa"/>
              <w:start w:w="70" w:type="dxa"/>
              <w:bottom w:w="80" w:type="dxa"/>
              <w:end w:w="70" w:type="dxa"/>
            </w:tcMar>
          </w:tcPr>
          <w:p>
            <w:r>
              <w:t>Adaptive Tower Construction Sequencing Engine</w:t>
            </w:r>
          </w:p>
        </w:tc>
        <w:tc>
          <w:tcPr>
            <w:tcW w:type="dxa" w:w="1378"/>
            <w:vAlign w:val="center"/>
            <w:tcMar>
              <w:top w:w="80" w:type="dxa"/>
              <w:start w:w="70" w:type="dxa"/>
              <w:bottom w:w="80" w:type="dxa"/>
              <w:end w:w="70" w:type="dxa"/>
            </w:tcMar>
          </w:tcPr>
          <w:p>
            <w:r>
              <w:t>AE-PT-119844</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12 Mar 2019</w:t>
            </w:r>
          </w:p>
        </w:tc>
        <w:tc>
          <w:tcPr>
            <w:tcW w:type="dxa" w:w="1378"/>
            <w:vAlign w:val="center"/>
            <w:tcMar>
              <w:top w:w="80" w:type="dxa"/>
              <w:start w:w="70" w:type="dxa"/>
              <w:bottom w:w="80" w:type="dxa"/>
              <w:end w:w="70" w:type="dxa"/>
            </w:tcMar>
          </w:tcPr>
          <w:p>
            <w:r>
              <w:t>12 Mar 2039</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Optimization method for sequencing structural, MEP, and façade work packages in high-rise towers based on float, labor density, and procurement lead times.</w:t>
            </w:r>
          </w:p>
        </w:tc>
      </w:tr>
      <w:tr>
        <w:tc>
          <w:tcPr>
            <w:tcW w:type="dxa" w:w="1378"/>
            <w:vAlign w:val="center"/>
            <w:tcMar>
              <w:top w:w="80" w:type="dxa"/>
              <w:start w:w="70" w:type="dxa"/>
              <w:bottom w:w="80" w:type="dxa"/>
              <w:end w:w="70" w:type="dxa"/>
            </w:tcMar>
          </w:tcPr>
          <w:p>
            <w:r>
              <w:t>Demand-Responsive Residential Pricing Model</w:t>
            </w:r>
          </w:p>
        </w:tc>
        <w:tc>
          <w:tcPr>
            <w:tcW w:type="dxa" w:w="1378"/>
            <w:vAlign w:val="center"/>
            <w:tcMar>
              <w:top w:w="80" w:type="dxa"/>
              <w:start w:w="70" w:type="dxa"/>
              <w:bottom w:w="80" w:type="dxa"/>
              <w:end w:w="70" w:type="dxa"/>
            </w:tcMar>
          </w:tcPr>
          <w:p>
            <w:r>
              <w:t>AE-PT-121107</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07 Oct 2019</w:t>
            </w:r>
          </w:p>
        </w:tc>
        <w:tc>
          <w:tcPr>
            <w:tcW w:type="dxa" w:w="1378"/>
            <w:vAlign w:val="center"/>
            <w:tcMar>
              <w:top w:w="80" w:type="dxa"/>
              <w:start w:w="70" w:type="dxa"/>
              <w:bottom w:w="80" w:type="dxa"/>
              <w:end w:w="70" w:type="dxa"/>
            </w:tcMar>
          </w:tcPr>
          <w:p>
            <w:r>
              <w:t>07 Oct 2039</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Machine-assisted pricing framework for dynamically adjusting unit pricing by typology, view corridor, floor plate, and sales velocity.</w:t>
            </w:r>
          </w:p>
        </w:tc>
      </w:tr>
      <w:tr>
        <w:tc>
          <w:tcPr>
            <w:tcW w:type="dxa" w:w="1378"/>
            <w:vAlign w:val="center"/>
            <w:tcMar>
              <w:top w:w="80" w:type="dxa"/>
              <w:start w:w="70" w:type="dxa"/>
              <w:bottom w:w="80" w:type="dxa"/>
              <w:end w:w="70" w:type="dxa"/>
            </w:tcMar>
          </w:tcPr>
          <w:p>
            <w:r>
              <w:t>Integrated Buyer Qualification and Reservation Workflow</w:t>
            </w:r>
          </w:p>
        </w:tc>
        <w:tc>
          <w:tcPr>
            <w:tcW w:type="dxa" w:w="1378"/>
            <w:vAlign w:val="center"/>
            <w:tcMar>
              <w:top w:w="80" w:type="dxa"/>
              <w:start w:w="70" w:type="dxa"/>
              <w:bottom w:w="80" w:type="dxa"/>
              <w:end w:w="70" w:type="dxa"/>
            </w:tcMar>
          </w:tcPr>
          <w:p>
            <w:r>
              <w:t>PCT/AE2020/050114</w:t>
            </w:r>
          </w:p>
        </w:tc>
        <w:tc>
          <w:tcPr>
            <w:tcW w:type="dxa" w:w="1378"/>
            <w:vAlign w:val="center"/>
            <w:tcMar>
              <w:top w:w="80" w:type="dxa"/>
              <w:start w:w="70" w:type="dxa"/>
              <w:bottom w:w="80" w:type="dxa"/>
              <w:end w:w="70" w:type="dxa"/>
            </w:tcMar>
          </w:tcPr>
          <w:p>
            <w:r>
              <w:t>PCT / GCC national phase</w:t>
            </w:r>
          </w:p>
        </w:tc>
        <w:tc>
          <w:tcPr>
            <w:tcW w:type="dxa" w:w="1378"/>
            <w:vAlign w:val="center"/>
            <w:tcMar>
              <w:top w:w="80" w:type="dxa"/>
              <w:start w:w="70" w:type="dxa"/>
              <w:bottom w:w="80" w:type="dxa"/>
              <w:end w:w="70" w:type="dxa"/>
            </w:tcMar>
          </w:tcPr>
          <w:p>
            <w:r>
              <w:t>18 Jun 2020</w:t>
            </w:r>
          </w:p>
        </w:tc>
        <w:tc>
          <w:tcPr>
            <w:tcW w:type="dxa" w:w="1378"/>
            <w:vAlign w:val="center"/>
            <w:tcMar>
              <w:top w:w="80" w:type="dxa"/>
              <w:start w:w="70" w:type="dxa"/>
              <w:bottom w:w="80" w:type="dxa"/>
              <w:end w:w="70" w:type="dxa"/>
            </w:tcMar>
          </w:tcPr>
          <w:p>
            <w:r>
              <w:t>18 Jun 2040</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Secure digital workflow for KYC, reservation agreement generation, deposit tracking, and CRM synchronization for off-plan sales.</w:t>
            </w:r>
          </w:p>
        </w:tc>
      </w:tr>
      <w:tr>
        <w:tc>
          <w:tcPr>
            <w:tcW w:type="dxa" w:w="1378"/>
            <w:vAlign w:val="center"/>
            <w:tcMar>
              <w:top w:w="80" w:type="dxa"/>
              <w:start w:w="70" w:type="dxa"/>
              <w:bottom w:w="80" w:type="dxa"/>
              <w:end w:w="70" w:type="dxa"/>
            </w:tcMar>
          </w:tcPr>
          <w:p>
            <w:r>
              <w:t>Construction Delay Early-Warning Model</w:t>
            </w:r>
          </w:p>
        </w:tc>
        <w:tc>
          <w:tcPr>
            <w:tcW w:type="dxa" w:w="1378"/>
            <w:vAlign w:val="center"/>
            <w:tcMar>
              <w:top w:w="80" w:type="dxa"/>
              <w:start w:w="70" w:type="dxa"/>
              <w:bottom w:w="80" w:type="dxa"/>
              <w:end w:w="70" w:type="dxa"/>
            </w:tcMar>
          </w:tcPr>
          <w:p>
            <w:r>
              <w:t>US 11,982,443</w:t>
            </w:r>
          </w:p>
        </w:tc>
        <w:tc>
          <w:tcPr>
            <w:tcW w:type="dxa" w:w="1378"/>
            <w:vAlign w:val="center"/>
            <w:tcMar>
              <w:top w:w="80" w:type="dxa"/>
              <w:start w:w="70" w:type="dxa"/>
              <w:bottom w:w="80" w:type="dxa"/>
              <w:end w:w="70" w:type="dxa"/>
            </w:tcMar>
          </w:tcPr>
          <w:p>
            <w:r>
              <w:t>United States</w:t>
            </w:r>
          </w:p>
        </w:tc>
        <w:tc>
          <w:tcPr>
            <w:tcW w:type="dxa" w:w="1378"/>
            <w:vAlign w:val="center"/>
            <w:tcMar>
              <w:top w:w="80" w:type="dxa"/>
              <w:start w:w="70" w:type="dxa"/>
              <w:bottom w:w="80" w:type="dxa"/>
              <w:end w:w="70" w:type="dxa"/>
            </w:tcMar>
          </w:tcPr>
          <w:p>
            <w:r>
              <w:t>09 Feb 2021</w:t>
            </w:r>
          </w:p>
        </w:tc>
        <w:tc>
          <w:tcPr>
            <w:tcW w:type="dxa" w:w="1378"/>
            <w:vAlign w:val="center"/>
            <w:tcMar>
              <w:top w:w="80" w:type="dxa"/>
              <w:start w:w="70" w:type="dxa"/>
              <w:bottom w:w="80" w:type="dxa"/>
              <w:end w:w="70" w:type="dxa"/>
            </w:tcMar>
          </w:tcPr>
          <w:p>
            <w:r>
              <w:t>09 Feb 2041</w:t>
            </w:r>
          </w:p>
        </w:tc>
        <w:tc>
          <w:tcPr>
            <w:tcW w:type="dxa" w:w="1378"/>
            <w:vAlign w:val="center"/>
            <w:tcMar>
              <w:top w:w="80" w:type="dxa"/>
              <w:start w:w="70" w:type="dxa"/>
              <w:bottom w:w="80" w:type="dxa"/>
              <w:end w:w="70" w:type="dxa"/>
            </w:tcMar>
          </w:tcPr>
          <w:p>
            <w:r>
              <w:t>Licensed</w:t>
            </w:r>
          </w:p>
        </w:tc>
        <w:tc>
          <w:tcPr>
            <w:tcW w:type="dxa" w:w="1378"/>
            <w:vAlign w:val="center"/>
            <w:tcMar>
              <w:top w:w="80" w:type="dxa"/>
              <w:start w:w="70" w:type="dxa"/>
              <w:bottom w:w="80" w:type="dxa"/>
              <w:end w:w="70" w:type="dxa"/>
            </w:tcMar>
          </w:tcPr>
          <w:p>
            <w:r>
              <w:t>Predictive model combining schedule variance, procurement lag, weather risk, and subcontractor productivity indicators to identify delay probabilities.</w:t>
            </w:r>
          </w:p>
        </w:tc>
      </w:tr>
      <w:tr>
        <w:tc>
          <w:tcPr>
            <w:tcW w:type="dxa" w:w="1378"/>
            <w:vAlign w:val="center"/>
            <w:tcMar>
              <w:top w:w="80" w:type="dxa"/>
              <w:start w:w="70" w:type="dxa"/>
              <w:bottom w:w="80" w:type="dxa"/>
              <w:end w:w="70" w:type="dxa"/>
            </w:tcMar>
          </w:tcPr>
          <w:p>
            <w:r>
              <w:t>Smart Community Utility Consumption Optimizer</w:t>
            </w:r>
          </w:p>
        </w:tc>
        <w:tc>
          <w:tcPr>
            <w:tcW w:type="dxa" w:w="1378"/>
            <w:vAlign w:val="center"/>
            <w:tcMar>
              <w:top w:w="80" w:type="dxa"/>
              <w:start w:w="70" w:type="dxa"/>
              <w:bottom w:w="80" w:type="dxa"/>
              <w:end w:w="70" w:type="dxa"/>
            </w:tcMar>
          </w:tcPr>
          <w:p>
            <w:r>
              <w:t>EP 4011887</w:t>
            </w:r>
          </w:p>
        </w:tc>
        <w:tc>
          <w:tcPr>
            <w:tcW w:type="dxa" w:w="1378"/>
            <w:vAlign w:val="center"/>
            <w:tcMar>
              <w:top w:w="80" w:type="dxa"/>
              <w:start w:w="70" w:type="dxa"/>
              <w:bottom w:w="80" w:type="dxa"/>
              <w:end w:w="70" w:type="dxa"/>
            </w:tcMar>
          </w:tcPr>
          <w:p>
            <w:r>
              <w:t>EU</w:t>
            </w:r>
          </w:p>
        </w:tc>
        <w:tc>
          <w:tcPr>
            <w:tcW w:type="dxa" w:w="1378"/>
            <w:vAlign w:val="center"/>
            <w:tcMar>
              <w:top w:w="80" w:type="dxa"/>
              <w:start w:w="70" w:type="dxa"/>
              <w:bottom w:w="80" w:type="dxa"/>
              <w:end w:w="70" w:type="dxa"/>
            </w:tcMar>
          </w:tcPr>
          <w:p>
            <w:r>
              <w:t>28 Apr 2021</w:t>
            </w:r>
          </w:p>
        </w:tc>
        <w:tc>
          <w:tcPr>
            <w:tcW w:type="dxa" w:w="1378"/>
            <w:vAlign w:val="center"/>
            <w:tcMar>
              <w:top w:w="80" w:type="dxa"/>
              <w:start w:w="70" w:type="dxa"/>
              <w:bottom w:w="80" w:type="dxa"/>
              <w:end w:w="70" w:type="dxa"/>
            </w:tcMar>
          </w:tcPr>
          <w:p>
            <w:r>
              <w:t>28 Apr 2041</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Method for balancing cooling, irrigation, and common-area utility usage across mixed-use developments through sensor-driven control logic.</w:t>
            </w:r>
          </w:p>
        </w:tc>
      </w:tr>
      <w:tr>
        <w:tc>
          <w:tcPr>
            <w:tcW w:type="dxa" w:w="1378"/>
            <w:vAlign w:val="center"/>
            <w:tcMar>
              <w:top w:w="80" w:type="dxa"/>
              <w:start w:w="70" w:type="dxa"/>
              <w:bottom w:w="80" w:type="dxa"/>
              <w:end w:w="70" w:type="dxa"/>
            </w:tcMar>
          </w:tcPr>
          <w:p>
            <w:r>
              <w:t>Digital Twin Approval Review Interface</w:t>
            </w:r>
          </w:p>
        </w:tc>
        <w:tc>
          <w:tcPr>
            <w:tcW w:type="dxa" w:w="1378"/>
            <w:vAlign w:val="center"/>
            <w:tcMar>
              <w:top w:w="80" w:type="dxa"/>
              <w:start w:w="70" w:type="dxa"/>
              <w:bottom w:w="80" w:type="dxa"/>
              <w:end w:w="70" w:type="dxa"/>
            </w:tcMar>
          </w:tcPr>
          <w:p>
            <w:r>
              <w:t>AE-PT-124550</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13 Jan 2022</w:t>
            </w:r>
          </w:p>
        </w:tc>
        <w:tc>
          <w:tcPr>
            <w:tcW w:type="dxa" w:w="1378"/>
            <w:vAlign w:val="center"/>
            <w:tcMar>
              <w:top w:w="80" w:type="dxa"/>
              <w:start w:w="70" w:type="dxa"/>
              <w:bottom w:w="80" w:type="dxa"/>
              <w:end w:w="70" w:type="dxa"/>
            </w:tcMar>
          </w:tcPr>
          <w:p>
            <w:r>
              <w:t>13 Jan 2042</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Interface layer that maps development design packages to authority approval checklists and revision logs.</w:t>
            </w:r>
          </w:p>
        </w:tc>
      </w:tr>
      <w:tr>
        <w:tc>
          <w:tcPr>
            <w:tcW w:type="dxa" w:w="1378"/>
            <w:vAlign w:val="center"/>
            <w:tcMar>
              <w:top w:w="80" w:type="dxa"/>
              <w:start w:w="70" w:type="dxa"/>
              <w:bottom w:w="80" w:type="dxa"/>
              <w:end w:w="70" w:type="dxa"/>
            </w:tcMar>
          </w:tcPr>
          <w:p>
            <w:r>
              <w:t>Hospitality-Integrated Residence Operations Platform</w:t>
            </w:r>
          </w:p>
        </w:tc>
        <w:tc>
          <w:tcPr>
            <w:tcW w:type="dxa" w:w="1378"/>
            <w:vAlign w:val="center"/>
            <w:tcMar>
              <w:top w:w="80" w:type="dxa"/>
              <w:start w:w="70" w:type="dxa"/>
              <w:bottom w:w="80" w:type="dxa"/>
              <w:end w:w="70" w:type="dxa"/>
            </w:tcMar>
          </w:tcPr>
          <w:p>
            <w:r>
              <w:t>AE-PT-126002</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30 Sep 2022</w:t>
            </w:r>
          </w:p>
        </w:tc>
        <w:tc>
          <w:tcPr>
            <w:tcW w:type="dxa" w:w="1378"/>
            <w:vAlign w:val="center"/>
            <w:tcMar>
              <w:top w:w="80" w:type="dxa"/>
              <w:start w:w="70" w:type="dxa"/>
              <w:bottom w:w="80" w:type="dxa"/>
              <w:end w:w="70" w:type="dxa"/>
            </w:tcMar>
          </w:tcPr>
          <w:p>
            <w:r>
              <w:t>30 Sep 2042</w:t>
            </w:r>
          </w:p>
        </w:tc>
        <w:tc>
          <w:tcPr>
            <w:tcW w:type="dxa" w:w="1378"/>
            <w:vAlign w:val="center"/>
            <w:tcMar>
              <w:top w:w="80" w:type="dxa"/>
              <w:start w:w="70" w:type="dxa"/>
              <w:bottom w:w="80" w:type="dxa"/>
              <w:end w:w="70" w:type="dxa"/>
            </w:tcMar>
          </w:tcPr>
          <w:p>
            <w:r>
              <w:t>Licensed</w:t>
            </w:r>
          </w:p>
        </w:tc>
        <w:tc>
          <w:tcPr>
            <w:tcW w:type="dxa" w:w="1378"/>
            <w:vAlign w:val="center"/>
            <w:tcMar>
              <w:top w:w="80" w:type="dxa"/>
              <w:start w:w="70" w:type="dxa"/>
              <w:bottom w:w="80" w:type="dxa"/>
              <w:end w:w="70" w:type="dxa"/>
            </w:tcMar>
          </w:tcPr>
          <w:p>
            <w:r>
              <w:t>Platform architecture linking branded residence service requests, owner billing, occupancy controls, and hotel operator reporting.</w:t>
            </w:r>
          </w:p>
        </w:tc>
      </w:tr>
      <w:tr>
        <w:tc>
          <w:tcPr>
            <w:tcW w:type="dxa" w:w="1378"/>
            <w:vAlign w:val="center"/>
            <w:tcMar>
              <w:top w:w="80" w:type="dxa"/>
              <w:start w:w="70" w:type="dxa"/>
              <w:bottom w:w="80" w:type="dxa"/>
              <w:end w:w="70" w:type="dxa"/>
            </w:tcMar>
          </w:tcPr>
          <w:p>
            <w:r>
              <w:t>Procurement Variance and Package Benchmarking Engine</w:t>
            </w:r>
          </w:p>
        </w:tc>
        <w:tc>
          <w:tcPr>
            <w:tcW w:type="dxa" w:w="1378"/>
            <w:vAlign w:val="center"/>
            <w:tcMar>
              <w:top w:w="80" w:type="dxa"/>
              <w:start w:w="70" w:type="dxa"/>
              <w:bottom w:w="80" w:type="dxa"/>
              <w:end w:w="70" w:type="dxa"/>
            </w:tcMar>
          </w:tcPr>
          <w:p>
            <w:r>
              <w:t>GB 2611442</w:t>
            </w:r>
          </w:p>
        </w:tc>
        <w:tc>
          <w:tcPr>
            <w:tcW w:type="dxa" w:w="1378"/>
            <w:vAlign w:val="center"/>
            <w:tcMar>
              <w:top w:w="80" w:type="dxa"/>
              <w:start w:w="70" w:type="dxa"/>
              <w:bottom w:w="80" w:type="dxa"/>
              <w:end w:w="70" w:type="dxa"/>
            </w:tcMar>
          </w:tcPr>
          <w:p>
            <w:r>
              <w:t>United Kingdom</w:t>
            </w:r>
          </w:p>
        </w:tc>
        <w:tc>
          <w:tcPr>
            <w:tcW w:type="dxa" w:w="1378"/>
            <w:vAlign w:val="center"/>
            <w:tcMar>
              <w:top w:w="80" w:type="dxa"/>
              <w:start w:w="70" w:type="dxa"/>
              <w:bottom w:w="80" w:type="dxa"/>
              <w:end w:w="70" w:type="dxa"/>
            </w:tcMar>
          </w:tcPr>
          <w:p>
            <w:r>
              <w:t>17 Jul 2023</w:t>
            </w:r>
          </w:p>
        </w:tc>
        <w:tc>
          <w:tcPr>
            <w:tcW w:type="dxa" w:w="1378"/>
            <w:vAlign w:val="center"/>
            <w:tcMar>
              <w:top w:w="80" w:type="dxa"/>
              <w:start w:w="70" w:type="dxa"/>
              <w:bottom w:w="80" w:type="dxa"/>
              <w:end w:w="70" w:type="dxa"/>
            </w:tcMar>
          </w:tcPr>
          <w:p>
            <w:r>
              <w:t>17 Jul 2043</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Analytics method for benchmarking tender returns, package costs, escalation trends, and supplier concentration across development programs.</w:t>
            </w:r>
          </w:p>
        </w:tc>
      </w:tr>
    </w:tbl>
    <w:p>
      <w:r>
        <w:t>The majority of the owned portfolio relates to internally developed analytics and project workflow technology. The licensed patents are connected to software modules originally developed in collaboration with specialist proptech providers and are supported by long-form commercial licenses. In each such case, diligence should confirm the duration, field-of-use limitation, sublicensing rights, source code escrow arrangements, termination triggers, and assignment rights in the event of a change of control involving Aurelia or the patent-owning licensor.</w:t>
      </w:r>
    </w:p>
    <w:p>
      <w:r>
        <w:t>No patent in the portfolio appears to be essential to the legal right to construct or sell a development. Instead, the patents function as efficiency, differentiation, or operating leverage assets. That distinction matters for valuation: while loss of a patent would not ordinarily shut down a project, it could reduce pricing precision, planning speed, or integration efficiency across future developments.</w:t>
      </w:r>
    </w:p>
    <w:p>
      <w:pPr>
        <w:pStyle w:val="Heading2"/>
      </w:pPr>
      <w:r>
        <w:t>Patent Applications in Process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E8EEF7"/>
          </w:tcPr>
          <w:p>
            <w:r>
              <w:t>Application Title</w:t>
            </w:r>
          </w:p>
        </w:tc>
        <w:tc>
          <w:tcPr>
            <w:tcW w:type="dxa" w:w="2412"/>
            <w:shd w:fill="E8EEF7"/>
          </w:tcPr>
          <w:p>
            <w:r>
              <w:t>Jurisdiction / Route</w:t>
            </w:r>
          </w:p>
        </w:tc>
        <w:tc>
          <w:tcPr>
            <w:tcW w:type="dxa" w:w="2412"/>
            <w:shd w:fill="E8EEF7"/>
          </w:tcPr>
          <w:p>
            <w:r>
              <w:t>Technology Covered</w:t>
            </w:r>
          </w:p>
        </w:tc>
        <w:tc>
          <w:tcPr>
            <w:tcW w:type="dxa" w:w="2412"/>
            <w:shd w:fill="E8EEF7"/>
          </w:tcPr>
          <w:p>
            <w:r>
              <w:t>Expected Approval / Status</w:t>
            </w:r>
          </w:p>
        </w:tc>
      </w:tr>
      <w:tr>
        <w:tc>
          <w:tcPr>
            <w:tcW w:type="dxa" w:w="2412"/>
            <w:tcMar>
              <w:top w:w="80" w:type="dxa"/>
              <w:start w:w="100" w:type="dxa"/>
              <w:bottom w:w="80" w:type="dxa"/>
              <w:end w:w="100" w:type="dxa"/>
            </w:tcMar>
          </w:tcPr>
          <w:p>
            <w:r>
              <w:t>AI-Assisted Plot Massing Recommendation Tool</w:t>
            </w:r>
          </w:p>
        </w:tc>
        <w:tc>
          <w:tcPr>
            <w:tcW w:type="dxa" w:w="2412"/>
            <w:tcMar>
              <w:top w:w="80" w:type="dxa"/>
              <w:start w:w="100" w:type="dxa"/>
              <w:bottom w:w="80" w:type="dxa"/>
              <w:end w:w="100" w:type="dxa"/>
            </w:tcMar>
          </w:tcPr>
          <w:p>
            <w:r>
              <w:t>UAE / PCT</w:t>
            </w:r>
          </w:p>
        </w:tc>
        <w:tc>
          <w:tcPr>
            <w:tcW w:type="dxa" w:w="2412"/>
            <w:tcMar>
              <w:top w:w="80" w:type="dxa"/>
              <w:start w:w="100" w:type="dxa"/>
              <w:bottom w:w="80" w:type="dxa"/>
              <w:end w:w="100" w:type="dxa"/>
            </w:tcMar>
          </w:tcPr>
          <w:p>
            <w:r>
              <w:t>Automated site-massing and volumetric options based on planning envelopes, sunlight, traffic ingress/egress and yield targets.</w:t>
            </w:r>
          </w:p>
        </w:tc>
        <w:tc>
          <w:tcPr>
            <w:tcW w:type="dxa" w:w="2412"/>
            <w:tcMar>
              <w:top w:w="80" w:type="dxa"/>
              <w:start w:w="100" w:type="dxa"/>
              <w:bottom w:w="80" w:type="dxa"/>
              <w:end w:w="100" w:type="dxa"/>
            </w:tcMar>
          </w:tcPr>
          <w:p>
            <w:r>
              <w:t>Q4 2026 national phase decisions expected; prosecution active.</w:t>
            </w:r>
          </w:p>
        </w:tc>
      </w:tr>
      <w:tr>
        <w:tc>
          <w:tcPr>
            <w:tcW w:type="dxa" w:w="2412"/>
            <w:tcMar>
              <w:top w:w="80" w:type="dxa"/>
              <w:start w:w="100" w:type="dxa"/>
              <w:bottom w:w="80" w:type="dxa"/>
              <w:end w:w="100" w:type="dxa"/>
            </w:tcMar>
          </w:tcPr>
          <w:p>
            <w:r>
              <w:t>Buyer Conversion Propensity Engine for Off-Plan Inventory</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Predictive lead scoring tied to payment behavior, origin channel, reservation timing, and unit configuration.</w:t>
            </w:r>
          </w:p>
        </w:tc>
        <w:tc>
          <w:tcPr>
            <w:tcW w:type="dxa" w:w="2412"/>
            <w:tcMar>
              <w:top w:w="80" w:type="dxa"/>
              <w:start w:w="100" w:type="dxa"/>
              <w:bottom w:w="80" w:type="dxa"/>
              <w:end w:w="100" w:type="dxa"/>
            </w:tcMar>
          </w:tcPr>
          <w:p>
            <w:r>
              <w:t>Office action response due within six months.</w:t>
            </w:r>
          </w:p>
        </w:tc>
      </w:tr>
      <w:tr>
        <w:tc>
          <w:tcPr>
            <w:tcW w:type="dxa" w:w="2412"/>
            <w:tcMar>
              <w:top w:w="80" w:type="dxa"/>
              <w:start w:w="100" w:type="dxa"/>
              <w:bottom w:w="80" w:type="dxa"/>
              <w:end w:w="100" w:type="dxa"/>
            </w:tcMar>
          </w:tcPr>
          <w:p>
            <w:r>
              <w:t>Modular Branded Residence Service Allocation System</w:t>
            </w:r>
          </w:p>
        </w:tc>
        <w:tc>
          <w:tcPr>
            <w:tcW w:type="dxa" w:w="2412"/>
            <w:tcMar>
              <w:top w:w="80" w:type="dxa"/>
              <w:start w:w="100" w:type="dxa"/>
              <w:bottom w:w="80" w:type="dxa"/>
              <w:end w:w="100" w:type="dxa"/>
            </w:tcMar>
          </w:tcPr>
          <w:p>
            <w:r>
              <w:t>UAE / KSA</w:t>
            </w:r>
          </w:p>
        </w:tc>
        <w:tc>
          <w:tcPr>
            <w:tcW w:type="dxa" w:w="2412"/>
            <w:tcMar>
              <w:top w:w="80" w:type="dxa"/>
              <w:start w:w="100" w:type="dxa"/>
              <w:bottom w:w="80" w:type="dxa"/>
              <w:end w:w="100" w:type="dxa"/>
            </w:tcMar>
          </w:tcPr>
          <w:p>
            <w:r>
              <w:t>Service allocation and billing rules for owner, tenant, hotel operator, and asset manager interactions.</w:t>
            </w:r>
          </w:p>
        </w:tc>
        <w:tc>
          <w:tcPr>
            <w:tcW w:type="dxa" w:w="2412"/>
            <w:tcMar>
              <w:top w:w="80" w:type="dxa"/>
              <w:start w:w="100" w:type="dxa"/>
              <w:bottom w:w="80" w:type="dxa"/>
              <w:end w:w="100" w:type="dxa"/>
            </w:tcMar>
          </w:tcPr>
          <w:p>
            <w:r>
              <w:t>Claims under refinement following examiner comments on novelty.</w:t>
            </w:r>
          </w:p>
        </w:tc>
      </w:tr>
      <w:tr>
        <w:tc>
          <w:tcPr>
            <w:tcW w:type="dxa" w:w="2412"/>
            <w:tcMar>
              <w:top w:w="80" w:type="dxa"/>
              <w:start w:w="100" w:type="dxa"/>
              <w:bottom w:w="80" w:type="dxa"/>
              <w:end w:w="100" w:type="dxa"/>
            </w:tcMar>
          </w:tcPr>
          <w:p>
            <w:r>
              <w:t>Procurement Tender Integrity Verification Workflow</w:t>
            </w:r>
          </w:p>
        </w:tc>
        <w:tc>
          <w:tcPr>
            <w:tcW w:type="dxa" w:w="2412"/>
            <w:tcMar>
              <w:top w:w="80" w:type="dxa"/>
              <w:start w:w="100" w:type="dxa"/>
              <w:bottom w:w="80" w:type="dxa"/>
              <w:end w:w="100" w:type="dxa"/>
            </w:tcMar>
          </w:tcPr>
          <w:p>
            <w:r>
              <w:t>PCT</w:t>
            </w:r>
          </w:p>
        </w:tc>
        <w:tc>
          <w:tcPr>
            <w:tcW w:type="dxa" w:w="2412"/>
            <w:tcMar>
              <w:top w:w="80" w:type="dxa"/>
              <w:start w:w="100" w:type="dxa"/>
              <w:bottom w:w="80" w:type="dxa"/>
              <w:end w:w="100" w:type="dxa"/>
            </w:tcMar>
          </w:tcPr>
          <w:p>
            <w:r>
              <w:t>Cryptographic and workflow protocol for package issue, bid receipt, controlled access, and deviation logging.</w:t>
            </w:r>
          </w:p>
        </w:tc>
        <w:tc>
          <w:tcPr>
            <w:tcW w:type="dxa" w:w="2412"/>
            <w:tcMar>
              <w:top w:w="80" w:type="dxa"/>
              <w:start w:w="100" w:type="dxa"/>
              <w:bottom w:w="80" w:type="dxa"/>
              <w:end w:w="100" w:type="dxa"/>
            </w:tcMar>
          </w:tcPr>
          <w:p>
            <w:r>
              <w:t>International search completed; national phase decision pending commercial prioritization.</w:t>
            </w:r>
          </w:p>
        </w:tc>
      </w:tr>
    </w:tbl>
    <w:p>
      <w:r>
        <w:t>Pending applications are strategically directed at future platformization of Aurelia’s development and sales functions. Management views these applications as particularly important where internal systems may evolve into licensable products or where exclusivity over data-driven methods could strengthen competitive positioning in master-planned communities and branded residence operations.</w:t>
      </w:r>
    </w:p>
    <w:p>
      <w:r>
        <w:t>Diligence should verify that no pending application relies on unassigned background IP contributed by consultants, hospitality partners, or external software integrators. The prosecution history should also be reviewed to assess whether any narrowing amendments materially reduce the practical defensibility of the claimed invention.</w:t>
      </w:r>
    </w:p>
    <w:p>
      <w:pPr>
        <w:pStyle w:val="Heading2"/>
      </w:pPr>
      <w:r>
        <w:t>Documentation of Invention Assignments from Employees or Contractors</w:t>
      </w:r>
    </w:p>
    <w:p>
      <w:pPr>
        <w:pStyle w:val="ListBullet"/>
        <w:spacing w:after="60"/>
      </w:pPr>
      <w:r>
        <w:t>Standard senior employee contracts include present assignments of all inventions, works of authorship, discoveries, improvements, databases, software code, algorithms, design specifications, and documentation developed within the scope of employment or using company resources.</w:t>
      </w:r>
    </w:p>
    <w:p>
      <w:pPr>
        <w:pStyle w:val="ListBullet"/>
        <w:spacing w:after="60"/>
      </w:pPr>
      <w:r>
        <w:t>Technology and analytics personnel execute supplemental IP acknowledgement certificates on onboarding and again upon promotion into product, software, or data roles.</w:t>
      </w:r>
    </w:p>
    <w:p>
      <w:pPr>
        <w:pStyle w:val="ListBullet"/>
        <w:spacing w:after="60"/>
      </w:pPr>
      <w:r>
        <w:t>Independent contractor master services agreements require contractors to assign all right, title, and interest in deliverables, source materials, and derivative works to the relevant Aurelia contracting entity immediately upon creation, together with a waiver of moral rights to the extent permitted by law.</w:t>
      </w:r>
    </w:p>
    <w:p>
      <w:pPr>
        <w:pStyle w:val="ListBullet"/>
        <w:spacing w:after="60"/>
      </w:pPr>
      <w:r>
        <w:t>Consultants engaged for computational design, BIM integration, and sales platform customization sign specific invention transfer deeds at project close-out, supported by schedules listing repositories, modules, documentation packages, and model libraries transferred.</w:t>
      </w:r>
    </w:p>
    <w:p>
      <w:r>
        <w:t>Based on the document architecture used by the company, the chain-of-title framework is generally robust. The principal diligence risk is not the absence of assignment language but operational consistency: investors should confirm that all historical developers, UX contractors, data scientists, and external implementation partners actually signed the required agreements and that signed copies are maintained in an accessible archive.</w:t>
      </w:r>
    </w:p>
    <w:p>
      <w:r>
        <w:t>Where software modules were built during the early growth phase of the proptech function, counsel should test whether any code base predates the current contract template set and whether repository contributions by non-employee developers were regularized through retrospective assignment and confirmation deeds.</w:t>
      </w:r>
    </w:p>
    <w:p>
      <w:pPr>
        <w:pStyle w:val="Heading1"/>
      </w:pPr>
      <w:r>
        <w:t>3.2 Trademarks</w:t>
      </w:r>
    </w:p>
    <w:p>
      <w:r>
        <w:t>Trademark protection is central to the company’s commercial model because buyers often identify projects by development name long before legal completion. Aurelia’s brand strategy combines a corporate house mark with a series of project-level marks used in launches, show suites, digital reservation interfaces, and hospitality-linked residence offerings. In practice, a strong project trademark can operate as a quasi-asset: it carries market recognition, supports premium pricing, and anchors marketing spend over the development cycle.</w:t>
      </w:r>
    </w:p>
    <w:p>
      <w:r>
        <w:t>The portfolio includes both registered and unregistered marks. Registered marks are generally maintained for the corporate name, flagship project names, and recurring platform brands, while unregistered rights arise from active market use, domain ownership, advertising spend, and customer recognition. Because the company sells to international investors, brand clearance and consistency across Arabic and English transliterations is an ongoing governance issue.</w:t>
      </w:r>
    </w:p>
    <w:p>
      <w:pPr>
        <w:pStyle w:val="Heading2"/>
      </w:pPr>
      <w:r>
        <w:t>List of All Registered and Unregistered Trademarks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blHeader w:val="true"/>
          <w:tblHeader w:val="true"/>
          <w:tblHeader w:val="true"/>
          <w:tblHeader w:val="true"/>
          <w:tblHeader w:val="true"/>
        </w:trPr>
        <w:tc>
          <w:tcPr>
            <w:tcW w:type="dxa" w:w="1608"/>
            <w:shd w:fill="D9E8FB"/>
          </w:tcPr>
          <w:p>
            <w:r>
              <w:t>Trademark</w:t>
            </w:r>
          </w:p>
        </w:tc>
        <w:tc>
          <w:tcPr>
            <w:tcW w:type="dxa" w:w="1608"/>
            <w:shd w:fill="D9E8FB"/>
          </w:tcPr>
          <w:p>
            <w:r>
              <w:t>Reg. Number</w:t>
            </w:r>
          </w:p>
        </w:tc>
        <w:tc>
          <w:tcPr>
            <w:tcW w:type="dxa" w:w="1608"/>
            <w:shd w:fill="D9E8FB"/>
          </w:tcPr>
          <w:p>
            <w:r>
              <w:t>Jurisdiction</w:t>
            </w:r>
          </w:p>
        </w:tc>
        <w:tc>
          <w:tcPr>
            <w:tcW w:type="dxa" w:w="1608"/>
            <w:shd w:fill="D9E8FB"/>
          </w:tcPr>
          <w:p>
            <w:r>
              <w:t>Status</w:t>
            </w:r>
          </w:p>
        </w:tc>
        <w:tc>
          <w:tcPr>
            <w:tcW w:type="dxa" w:w="1608"/>
            <w:shd w:fill="D9E8FB"/>
          </w:tcPr>
          <w:p>
            <w:r>
              <w:t>Registration / First Use</w:t>
            </w:r>
          </w:p>
        </w:tc>
        <w:tc>
          <w:tcPr>
            <w:tcW w:type="dxa" w:w="1608"/>
            <w:shd w:fill="D9E8FB"/>
          </w:tcPr>
          <w:p>
            <w:r>
              <w:t>Branding Purpose</w:t>
            </w:r>
          </w:p>
        </w:tc>
      </w:tr>
      <w:tr>
        <w:tc>
          <w:tcPr>
            <w:tcW w:type="dxa" w:w="1608"/>
            <w:tcMar>
              <w:top w:w="80" w:type="dxa"/>
              <w:start w:w="100" w:type="dxa"/>
              <w:bottom w:w="80" w:type="dxa"/>
              <w:end w:w="100" w:type="dxa"/>
            </w:tcMar>
          </w:tcPr>
          <w:p>
            <w:r>
              <w:t>AURELIA</w:t>
            </w:r>
          </w:p>
        </w:tc>
        <w:tc>
          <w:tcPr>
            <w:tcW w:type="dxa" w:w="1608"/>
            <w:tcMar>
              <w:top w:w="80" w:type="dxa"/>
              <w:start w:w="100" w:type="dxa"/>
              <w:bottom w:w="80" w:type="dxa"/>
              <w:end w:w="100" w:type="dxa"/>
            </w:tcMar>
          </w:tcPr>
          <w:p>
            <w:r>
              <w:t>TM-311884</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14 Aug 2018</w:t>
            </w:r>
          </w:p>
        </w:tc>
        <w:tc>
          <w:tcPr>
            <w:tcW w:type="dxa" w:w="1608"/>
            <w:tcMar>
              <w:top w:w="80" w:type="dxa"/>
              <w:start w:w="100" w:type="dxa"/>
              <w:bottom w:w="80" w:type="dxa"/>
              <w:end w:w="100" w:type="dxa"/>
            </w:tcMar>
          </w:tcPr>
          <w:p>
            <w:r>
              <w:t>Corporate house mark used across developer services, sales and proptech offerings.</w:t>
            </w:r>
          </w:p>
        </w:tc>
      </w:tr>
      <w:tr>
        <w:tc>
          <w:tcPr>
            <w:tcW w:type="dxa" w:w="1608"/>
            <w:tcMar>
              <w:top w:w="80" w:type="dxa"/>
              <w:start w:w="100" w:type="dxa"/>
              <w:bottom w:w="80" w:type="dxa"/>
              <w:end w:w="100" w:type="dxa"/>
            </w:tcMar>
          </w:tcPr>
          <w:p>
            <w:r>
              <w:t>AURELIA DEVELOPMENTS</w:t>
            </w:r>
          </w:p>
        </w:tc>
        <w:tc>
          <w:tcPr>
            <w:tcW w:type="dxa" w:w="1608"/>
            <w:tcMar>
              <w:top w:w="80" w:type="dxa"/>
              <w:start w:w="100" w:type="dxa"/>
              <w:bottom w:w="80" w:type="dxa"/>
              <w:end w:w="100" w:type="dxa"/>
            </w:tcMar>
          </w:tcPr>
          <w:p>
            <w:r>
              <w:t>TM-314221</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05 Nov 2018</w:t>
            </w:r>
          </w:p>
        </w:tc>
        <w:tc>
          <w:tcPr>
            <w:tcW w:type="dxa" w:w="1608"/>
            <w:tcMar>
              <w:top w:w="80" w:type="dxa"/>
              <w:start w:w="100" w:type="dxa"/>
              <w:bottom w:w="80" w:type="dxa"/>
              <w:end w:w="100" w:type="dxa"/>
            </w:tcMar>
          </w:tcPr>
          <w:p>
            <w:r>
              <w:t>Full corporate mark used in contracts, investor relations and project documentation.</w:t>
            </w:r>
          </w:p>
        </w:tc>
      </w:tr>
      <w:tr>
        <w:tc>
          <w:tcPr>
            <w:tcW w:type="dxa" w:w="1608"/>
            <w:tcMar>
              <w:top w:w="80" w:type="dxa"/>
              <w:start w:w="100" w:type="dxa"/>
              <w:bottom w:w="80" w:type="dxa"/>
              <w:end w:w="100" w:type="dxa"/>
            </w:tcMar>
          </w:tcPr>
          <w:p>
            <w:r>
              <w:t>AURELIA ONE MARINA</w:t>
            </w:r>
          </w:p>
        </w:tc>
        <w:tc>
          <w:tcPr>
            <w:tcW w:type="dxa" w:w="1608"/>
            <w:tcMar>
              <w:top w:w="80" w:type="dxa"/>
              <w:start w:w="100" w:type="dxa"/>
              <w:bottom w:w="80" w:type="dxa"/>
              <w:end w:w="100" w:type="dxa"/>
            </w:tcMar>
          </w:tcPr>
          <w:p>
            <w:r>
              <w:t>TM-402115</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18 Feb 2021</w:t>
            </w:r>
          </w:p>
        </w:tc>
        <w:tc>
          <w:tcPr>
            <w:tcW w:type="dxa" w:w="1608"/>
            <w:tcMar>
              <w:top w:w="80" w:type="dxa"/>
              <w:start w:w="100" w:type="dxa"/>
              <w:bottom w:w="80" w:type="dxa"/>
              <w:end w:w="100" w:type="dxa"/>
            </w:tcMar>
          </w:tcPr>
          <w:p>
            <w:r>
              <w:t>Flagship waterfront tower brand for Dubai Marina development.</w:t>
            </w:r>
          </w:p>
        </w:tc>
      </w:tr>
      <w:tr>
        <w:tc>
          <w:tcPr>
            <w:tcW w:type="dxa" w:w="1608"/>
            <w:tcMar>
              <w:top w:w="80" w:type="dxa"/>
              <w:start w:w="100" w:type="dxa"/>
              <w:bottom w:w="80" w:type="dxa"/>
              <w:end w:w="100" w:type="dxa"/>
            </w:tcMar>
          </w:tcPr>
          <w:p>
            <w:r>
              <w:t>PALM CROWN RESIDENCES</w:t>
            </w:r>
          </w:p>
        </w:tc>
        <w:tc>
          <w:tcPr>
            <w:tcW w:type="dxa" w:w="1608"/>
            <w:tcMar>
              <w:top w:w="80" w:type="dxa"/>
              <w:start w:w="100" w:type="dxa"/>
              <w:bottom w:w="80" w:type="dxa"/>
              <w:end w:w="100" w:type="dxa"/>
            </w:tcMar>
          </w:tcPr>
          <w:p>
            <w:r>
              <w:t>TM-419044</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02 Jul 2021</w:t>
            </w:r>
          </w:p>
        </w:tc>
        <w:tc>
          <w:tcPr>
            <w:tcW w:type="dxa" w:w="1608"/>
            <w:tcMar>
              <w:top w:w="80" w:type="dxa"/>
              <w:start w:w="100" w:type="dxa"/>
              <w:bottom w:w="80" w:type="dxa"/>
              <w:end w:w="100" w:type="dxa"/>
            </w:tcMar>
          </w:tcPr>
          <w:p>
            <w:r>
              <w:t>Branded ultra-luxury villa and low-rise residence collection on Palm-adjacent site.</w:t>
            </w:r>
          </w:p>
        </w:tc>
      </w:tr>
      <w:tr>
        <w:tc>
          <w:tcPr>
            <w:tcW w:type="dxa" w:w="1608"/>
            <w:tcMar>
              <w:top w:w="80" w:type="dxa"/>
              <w:start w:w="100" w:type="dxa"/>
              <w:bottom w:w="80" w:type="dxa"/>
              <w:end w:w="100" w:type="dxa"/>
            </w:tcMar>
          </w:tcPr>
          <w:p>
            <w:r>
              <w:t>AURELIA INSIGHT</w:t>
            </w:r>
          </w:p>
        </w:tc>
        <w:tc>
          <w:tcPr>
            <w:tcW w:type="dxa" w:w="1608"/>
            <w:tcMar>
              <w:top w:w="80" w:type="dxa"/>
              <w:start w:w="100" w:type="dxa"/>
              <w:bottom w:w="80" w:type="dxa"/>
              <w:end w:w="100" w:type="dxa"/>
            </w:tcMar>
          </w:tcPr>
          <w:p>
            <w:r>
              <w:t>TM-455901</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12 Jan 2023</w:t>
            </w:r>
          </w:p>
        </w:tc>
        <w:tc>
          <w:tcPr>
            <w:tcW w:type="dxa" w:w="1608"/>
            <w:tcMar>
              <w:top w:w="80" w:type="dxa"/>
              <w:start w:w="100" w:type="dxa"/>
              <w:bottom w:w="80" w:type="dxa"/>
              <w:end w:w="100" w:type="dxa"/>
            </w:tcMar>
          </w:tcPr>
          <w:p>
            <w:r>
              <w:t>Internal and client-facing analytics platform brand for pricing and pipeline dashboards.</w:t>
            </w:r>
          </w:p>
        </w:tc>
      </w:tr>
      <w:tr>
        <w:tc>
          <w:tcPr>
            <w:tcW w:type="dxa" w:w="1608"/>
            <w:tcMar>
              <w:top w:w="80" w:type="dxa"/>
              <w:start w:w="100" w:type="dxa"/>
              <w:bottom w:w="80" w:type="dxa"/>
              <w:end w:w="100" w:type="dxa"/>
            </w:tcMar>
          </w:tcPr>
          <w:p>
            <w:r>
              <w:t>RESERVE BY AURELIA</w:t>
            </w:r>
          </w:p>
        </w:tc>
        <w:tc>
          <w:tcPr>
            <w:tcW w:type="dxa" w:w="1608"/>
            <w:tcMar>
              <w:top w:w="80" w:type="dxa"/>
              <w:start w:w="100" w:type="dxa"/>
              <w:bottom w:w="80" w:type="dxa"/>
              <w:end w:w="100" w:type="dxa"/>
            </w:tcMar>
          </w:tcPr>
          <w:p>
            <w:r>
              <w:t>—</w:t>
            </w:r>
          </w:p>
        </w:tc>
        <w:tc>
          <w:tcPr>
            <w:tcW w:type="dxa" w:w="1608"/>
            <w:tcMar>
              <w:top w:w="80" w:type="dxa"/>
              <w:start w:w="100" w:type="dxa"/>
              <w:bottom w:w="80" w:type="dxa"/>
              <w:end w:w="100" w:type="dxa"/>
            </w:tcMar>
          </w:tcPr>
          <w:p>
            <w:r>
              <w:t>UAE / common law use</w:t>
            </w:r>
          </w:p>
        </w:tc>
        <w:tc>
          <w:tcPr>
            <w:tcW w:type="dxa" w:w="1608"/>
            <w:tcMar>
              <w:top w:w="80" w:type="dxa"/>
              <w:start w:w="100" w:type="dxa"/>
              <w:bottom w:w="80" w:type="dxa"/>
              <w:end w:w="100" w:type="dxa"/>
            </w:tcMar>
          </w:tcPr>
          <w:p>
            <w:r>
              <w:t>Unregistered</w:t>
            </w:r>
          </w:p>
        </w:tc>
        <w:tc>
          <w:tcPr>
            <w:tcW w:type="dxa" w:w="1608"/>
            <w:tcMar>
              <w:top w:w="80" w:type="dxa"/>
              <w:start w:w="100" w:type="dxa"/>
              <w:bottom w:w="80" w:type="dxa"/>
              <w:end w:w="100" w:type="dxa"/>
            </w:tcMar>
          </w:tcPr>
          <w:p>
            <w:r>
              <w:t>First use 03 Mar 2023</w:t>
            </w:r>
          </w:p>
        </w:tc>
        <w:tc>
          <w:tcPr>
            <w:tcW w:type="dxa" w:w="1608"/>
            <w:tcMar>
              <w:top w:w="80" w:type="dxa"/>
              <w:start w:w="100" w:type="dxa"/>
              <w:bottom w:w="80" w:type="dxa"/>
              <w:end w:w="100" w:type="dxa"/>
            </w:tcMar>
          </w:tcPr>
          <w:p>
            <w:r>
              <w:t>Prospective members-only buyer concierge and reservation service mark.</w:t>
            </w:r>
          </w:p>
        </w:tc>
      </w:tr>
      <w:tr>
        <w:tc>
          <w:tcPr>
            <w:tcW w:type="dxa" w:w="1608"/>
            <w:tcMar>
              <w:top w:w="80" w:type="dxa"/>
              <w:start w:w="100" w:type="dxa"/>
              <w:bottom w:w="80" w:type="dxa"/>
              <w:end w:w="100" w:type="dxa"/>
            </w:tcMar>
          </w:tcPr>
          <w:p>
            <w:r>
              <w:t>AURELIA LIVING</w:t>
            </w:r>
          </w:p>
        </w:tc>
        <w:tc>
          <w:tcPr>
            <w:tcW w:type="dxa" w:w="1608"/>
            <w:tcMar>
              <w:top w:w="80" w:type="dxa"/>
              <w:start w:w="100" w:type="dxa"/>
              <w:bottom w:w="80" w:type="dxa"/>
              <w:end w:w="100" w:type="dxa"/>
            </w:tcMar>
          </w:tcPr>
          <w:p>
            <w:r>
              <w:t>TM-478330</w:t>
            </w:r>
          </w:p>
        </w:tc>
        <w:tc>
          <w:tcPr>
            <w:tcW w:type="dxa" w:w="1608"/>
            <w:tcMar>
              <w:top w:w="80" w:type="dxa"/>
              <w:start w:w="100" w:type="dxa"/>
              <w:bottom w:w="80" w:type="dxa"/>
              <w:end w:w="100" w:type="dxa"/>
            </w:tcMar>
          </w:tcPr>
          <w:p>
            <w:r>
              <w:t>KSA</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11 Oct 2023</w:t>
            </w:r>
          </w:p>
        </w:tc>
        <w:tc>
          <w:tcPr>
            <w:tcW w:type="dxa" w:w="1608"/>
            <w:tcMar>
              <w:top w:w="80" w:type="dxa"/>
              <w:start w:w="100" w:type="dxa"/>
              <w:bottom w:w="80" w:type="dxa"/>
              <w:end w:w="100" w:type="dxa"/>
            </w:tcMar>
          </w:tcPr>
          <w:p>
            <w:r>
              <w:t>Lifestyle and resident-services mark used for cross-project customer communications.</w:t>
            </w:r>
          </w:p>
        </w:tc>
      </w:tr>
      <w:tr>
        <w:tc>
          <w:tcPr>
            <w:tcW w:type="dxa" w:w="1608"/>
            <w:tcMar>
              <w:top w:w="80" w:type="dxa"/>
              <w:start w:w="100" w:type="dxa"/>
              <w:bottom w:w="80" w:type="dxa"/>
              <w:end w:w="100" w:type="dxa"/>
            </w:tcMar>
          </w:tcPr>
          <w:p>
            <w:r>
              <w:t>SKYLINE CANVAS</w:t>
            </w:r>
          </w:p>
        </w:tc>
        <w:tc>
          <w:tcPr>
            <w:tcW w:type="dxa" w:w="1608"/>
            <w:tcMar>
              <w:top w:w="80" w:type="dxa"/>
              <w:start w:w="100" w:type="dxa"/>
              <w:bottom w:w="80" w:type="dxa"/>
              <w:end w:w="100" w:type="dxa"/>
            </w:tcMar>
          </w:tcPr>
          <w:p>
            <w:r>
              <w:t>—</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Unregistered</w:t>
            </w:r>
          </w:p>
        </w:tc>
        <w:tc>
          <w:tcPr>
            <w:tcW w:type="dxa" w:w="1608"/>
            <w:tcMar>
              <w:top w:w="80" w:type="dxa"/>
              <w:start w:w="100" w:type="dxa"/>
              <w:bottom w:w="80" w:type="dxa"/>
              <w:end w:w="100" w:type="dxa"/>
            </w:tcMar>
          </w:tcPr>
          <w:p>
            <w:r>
              <w:t>First use 22 May 2024</w:t>
            </w:r>
          </w:p>
        </w:tc>
        <w:tc>
          <w:tcPr>
            <w:tcW w:type="dxa" w:w="1608"/>
            <w:tcMar>
              <w:top w:w="80" w:type="dxa"/>
              <w:start w:w="100" w:type="dxa"/>
              <w:bottom w:w="80" w:type="dxa"/>
              <w:end w:w="100" w:type="dxa"/>
            </w:tcMar>
          </w:tcPr>
          <w:p>
            <w:r>
              <w:t>Brand for digital buyer customization studio within luxury apartment projects.</w:t>
            </w:r>
          </w:p>
        </w:tc>
      </w:tr>
      <w:tr>
        <w:tc>
          <w:tcPr>
            <w:tcW w:type="dxa" w:w="1608"/>
            <w:tcMar>
              <w:top w:w="80" w:type="dxa"/>
              <w:start w:w="100" w:type="dxa"/>
              <w:bottom w:w="80" w:type="dxa"/>
              <w:end w:w="100" w:type="dxa"/>
            </w:tcMar>
          </w:tcPr>
          <w:p>
            <w:r>
              <w:t>AURELIA EDGE</w:t>
            </w:r>
          </w:p>
        </w:tc>
        <w:tc>
          <w:tcPr>
            <w:tcW w:type="dxa" w:w="1608"/>
            <w:tcMar>
              <w:top w:w="80" w:type="dxa"/>
              <w:start w:w="100" w:type="dxa"/>
              <w:bottom w:w="80" w:type="dxa"/>
              <w:end w:w="100" w:type="dxa"/>
            </w:tcMar>
          </w:tcPr>
          <w:p>
            <w:r>
              <w:t>TM-490117</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07 Feb 2024</w:t>
            </w:r>
          </w:p>
        </w:tc>
        <w:tc>
          <w:tcPr>
            <w:tcW w:type="dxa" w:w="1608"/>
            <w:tcMar>
              <w:top w:w="80" w:type="dxa"/>
              <w:start w:w="100" w:type="dxa"/>
              <w:bottom w:w="80" w:type="dxa"/>
              <w:end w:w="100" w:type="dxa"/>
            </w:tcMar>
          </w:tcPr>
          <w:p>
            <w:r>
              <w:t>Brand tied to digital project planning and construction intelligence products.</w:t>
            </w:r>
          </w:p>
        </w:tc>
      </w:tr>
      <w:tr>
        <w:tc>
          <w:tcPr>
            <w:tcW w:type="dxa" w:w="1608"/>
            <w:tcMar>
              <w:top w:w="80" w:type="dxa"/>
              <w:start w:w="100" w:type="dxa"/>
              <w:bottom w:w="80" w:type="dxa"/>
              <w:end w:w="100" w:type="dxa"/>
            </w:tcMar>
          </w:tcPr>
          <w:p>
            <w:r>
              <w:t>CREST BY AURELIA</w:t>
            </w:r>
          </w:p>
        </w:tc>
        <w:tc>
          <w:tcPr>
            <w:tcW w:type="dxa" w:w="1608"/>
            <w:tcMar>
              <w:top w:w="80" w:type="dxa"/>
              <w:start w:w="100" w:type="dxa"/>
              <w:bottom w:w="80" w:type="dxa"/>
              <w:end w:w="100" w:type="dxa"/>
            </w:tcMar>
          </w:tcPr>
          <w:p>
            <w:r>
              <w:t>TM-493982</w:t>
            </w:r>
          </w:p>
        </w:tc>
        <w:tc>
          <w:tcPr>
            <w:tcW w:type="dxa" w:w="1608"/>
            <w:tcMar>
              <w:top w:w="80" w:type="dxa"/>
              <w:start w:w="100" w:type="dxa"/>
              <w:bottom w:w="80" w:type="dxa"/>
              <w:end w:w="100" w:type="dxa"/>
            </w:tcMar>
          </w:tcPr>
          <w:p>
            <w:r>
              <w:t>UK</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19 Apr 2024</w:t>
            </w:r>
          </w:p>
        </w:tc>
        <w:tc>
          <w:tcPr>
            <w:tcW w:type="dxa" w:w="1608"/>
            <w:tcMar>
              <w:top w:w="80" w:type="dxa"/>
              <w:start w:w="100" w:type="dxa"/>
              <w:bottom w:w="80" w:type="dxa"/>
              <w:end w:w="100" w:type="dxa"/>
            </w:tcMar>
          </w:tcPr>
          <w:p>
            <w:r>
              <w:t>International project marketing mark used in London investor roadshows and collateral.</w:t>
            </w:r>
          </w:p>
        </w:tc>
      </w:tr>
    </w:tbl>
    <w:p>
      <w:r>
        <w:t>Several marks are project-specific and therefore time-bounded in commercial intensity, but not necessarily in legal value. Successful completed developments often continue to generate licensing, management, resident-services, or referral opportunities, making brand protection worthwhile beyond the initial sales cycle.</w:t>
      </w:r>
    </w:p>
    <w:p>
      <w:r>
        <w:t>Unregistered marks should be reviewed for clearance, registrability, and potential infringement exposure. Where a mark is heavily marketed but not yet registered, investors should consider whether delay in filing could complicate enforcement or create openings for copycat project branding by competitors in the same catchment area.</w:t>
      </w:r>
    </w:p>
    <w:p>
      <w:pPr>
        <w:pStyle w:val="Heading2"/>
      </w:pPr>
      <w:r>
        <w:t>Trademark License Agreements</w:t>
      </w:r>
    </w:p>
    <w:p>
      <w:pPr>
        <w:pStyle w:val="ListBullet"/>
        <w:spacing w:after="60"/>
      </w:pPr>
      <w:r>
        <w:t>Hospitality-linked residence developments use co-branding agreements under which Aurelia receives a limited, territory-specific license to use hospitality partner names and logos in project marketing, signage, sales center materials, and owner communication channels, subject to strict brand standards and prior approval rights.</w:t>
      </w:r>
    </w:p>
    <w:p>
      <w:pPr>
        <w:pStyle w:val="ListBullet"/>
        <w:spacing w:after="60"/>
      </w:pPr>
      <w:r>
        <w:t>Selected sales agents and international broker networks receive short-form trademark use authorizations permitting use of approved project marks in marketing campaigns, provided all creative assets are pre-cleared and materials are removed upon campaign completion or termination.</w:t>
      </w:r>
    </w:p>
    <w:p>
      <w:pPr>
        <w:pStyle w:val="ListBullet"/>
        <w:spacing w:after="60"/>
      </w:pPr>
      <w:r>
        <w:t>Technology affiliates license internal platform brands such as AURELIA INSIGHT and AURELIA EDGE from the trademark-owning entity to operating companies within the group, typically on a royalty-free intra-group basis with quality control obligations and restrictions on sub-licensing.</w:t>
      </w:r>
    </w:p>
    <w:p>
      <w:r>
        <w:t>Trademark license documentation should be reviewed for territory, term, sublicensing, quality control, approval rights, and automatic termination triggers. In the hospitality context, a breach of brand standards or termination of the broader hotel/residence services relationship can cascade into immediate restrictions on project marketing assets, signage, website use, and sales center collateral.</w:t>
      </w:r>
    </w:p>
    <w:p>
      <w:r>
        <w:t>Brand governance is generally centralized, which is positive from an enforcement perspective. The main legal diligence question is whether project teams and external marketing partners consistently operate through approved brand guidelines and version-controlled artwork rather than informal file sharing or ad hoc localized adaptations.</w:t>
      </w:r>
    </w:p>
    <w:p>
      <w:pPr>
        <w:pStyle w:val="Heading1"/>
      </w:pPr>
      <w:r>
        <w:t>3.3 Copyrights</w:t>
      </w:r>
    </w:p>
    <w:p>
      <w:r>
        <w:t>Copyright is one of the most pervasive layers of protection in the company’s IP estate because many core assets—software code, interface designs, marketing materials, architectural renderings, BIM libraries, photographic content, and project brochures—derive protection automatically upon creation. The commercial relevance of copyright is heightened by the company’s reliance on digital sales experiences, investor presentations, web-based project microsites, and internally developed workflow software.</w:t>
      </w:r>
    </w:p>
    <w:p>
      <w:r>
        <w:t>The key diligence issue is not whether copyright exists in the abstract, but whether Aurelia owns the relevant works outright, has an irrevocable license sufficient for current and contemplated use, or is exposed to restrictions arising from third-party creators such as agencies, visualization studios, software developers, and freelance content producers.</w:t>
      </w:r>
    </w:p>
    <w:p>
      <w:pPr>
        <w:pStyle w:val="Heading2"/>
      </w:pPr>
      <w:r>
        <w:t>List of All Registered Copyrights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D9E8FB"/>
          </w:tcPr>
          <w:p>
            <w:r>
              <w:t>Copyrighted Work</w:t>
            </w:r>
          </w:p>
        </w:tc>
        <w:tc>
          <w:tcPr>
            <w:tcW w:type="dxa" w:w="2412"/>
            <w:shd w:fill="D9E8FB"/>
          </w:tcPr>
          <w:p>
            <w:r>
              <w:t>Registration Number</w:t>
            </w:r>
          </w:p>
        </w:tc>
        <w:tc>
          <w:tcPr>
            <w:tcW w:type="dxa" w:w="2412"/>
            <w:shd w:fill="D9E8FB"/>
          </w:tcPr>
          <w:p>
            <w:r>
              <w:t>Jurisdiction</w:t>
            </w:r>
          </w:p>
        </w:tc>
        <w:tc>
          <w:tcPr>
            <w:tcW w:type="dxa" w:w="2412"/>
            <w:shd w:fill="D9E8FB"/>
          </w:tcPr>
          <w:p>
            <w:r>
              <w:t>Protected Work</w:t>
            </w:r>
          </w:p>
        </w:tc>
      </w:tr>
      <w:tr>
        <w:tc>
          <w:tcPr>
            <w:tcW w:type="dxa" w:w="2412"/>
            <w:tcMar>
              <w:top w:w="80" w:type="dxa"/>
              <w:start w:w="100" w:type="dxa"/>
              <w:bottom w:w="80" w:type="dxa"/>
              <w:end w:w="100" w:type="dxa"/>
            </w:tcMar>
          </w:tcPr>
          <w:p>
            <w:r>
              <w:t>Aurelia Insight Source Code Repository v3.4</w:t>
            </w:r>
          </w:p>
        </w:tc>
        <w:tc>
          <w:tcPr>
            <w:tcW w:type="dxa" w:w="2412"/>
            <w:tcMar>
              <w:top w:w="80" w:type="dxa"/>
              <w:start w:w="100" w:type="dxa"/>
              <w:bottom w:w="80" w:type="dxa"/>
              <w:end w:w="100" w:type="dxa"/>
            </w:tcMar>
          </w:tcPr>
          <w:p>
            <w:r>
              <w:t>CR-UAE-2022-1184</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Proprietary analytics and pricing platform source code and object code.</w:t>
            </w:r>
          </w:p>
        </w:tc>
      </w:tr>
      <w:tr>
        <w:tc>
          <w:tcPr>
            <w:tcW w:type="dxa" w:w="2412"/>
            <w:tcMar>
              <w:top w:w="80" w:type="dxa"/>
              <w:start w:w="100" w:type="dxa"/>
              <w:bottom w:w="80" w:type="dxa"/>
              <w:end w:w="100" w:type="dxa"/>
            </w:tcMar>
          </w:tcPr>
          <w:p>
            <w:r>
              <w:t>Aurelia Edge Procurement Dashboard UI Kit</w:t>
            </w:r>
          </w:p>
        </w:tc>
        <w:tc>
          <w:tcPr>
            <w:tcW w:type="dxa" w:w="2412"/>
            <w:tcMar>
              <w:top w:w="80" w:type="dxa"/>
              <w:start w:w="100" w:type="dxa"/>
              <w:bottom w:w="80" w:type="dxa"/>
              <w:end w:w="100" w:type="dxa"/>
            </w:tcMar>
          </w:tcPr>
          <w:p>
            <w:r>
              <w:t>CR-UAE-2023-0871</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User interface layouts, component library, and design system for procurement analytics tools.</w:t>
            </w:r>
          </w:p>
        </w:tc>
      </w:tr>
      <w:tr>
        <w:tc>
          <w:tcPr>
            <w:tcW w:type="dxa" w:w="2412"/>
            <w:tcMar>
              <w:top w:w="80" w:type="dxa"/>
              <w:start w:w="100" w:type="dxa"/>
              <w:bottom w:w="80" w:type="dxa"/>
              <w:end w:w="100" w:type="dxa"/>
            </w:tcMar>
          </w:tcPr>
          <w:p>
            <w:r>
              <w:t>One Marina Digital Sales Experience</w:t>
            </w:r>
          </w:p>
        </w:tc>
        <w:tc>
          <w:tcPr>
            <w:tcW w:type="dxa" w:w="2412"/>
            <w:tcMar>
              <w:top w:w="80" w:type="dxa"/>
              <w:start w:w="100" w:type="dxa"/>
              <w:bottom w:w="80" w:type="dxa"/>
              <w:end w:w="100" w:type="dxa"/>
            </w:tcMar>
          </w:tcPr>
          <w:p>
            <w:r>
              <w:t>CR-UAE-2021-2440</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Interactive buyer journey content, render sequence logic, and reservation microsite assets.</w:t>
            </w:r>
          </w:p>
        </w:tc>
      </w:tr>
      <w:tr>
        <w:tc>
          <w:tcPr>
            <w:tcW w:type="dxa" w:w="2412"/>
            <w:tcMar>
              <w:top w:w="80" w:type="dxa"/>
              <w:start w:w="100" w:type="dxa"/>
              <w:bottom w:w="80" w:type="dxa"/>
              <w:end w:w="100" w:type="dxa"/>
            </w:tcMar>
          </w:tcPr>
          <w:p>
            <w:r>
              <w:t>Palm Crown Residences Brand Book</w:t>
            </w:r>
          </w:p>
        </w:tc>
        <w:tc>
          <w:tcPr>
            <w:tcW w:type="dxa" w:w="2412"/>
            <w:tcMar>
              <w:top w:w="80" w:type="dxa"/>
              <w:start w:w="100" w:type="dxa"/>
              <w:bottom w:w="80" w:type="dxa"/>
              <w:end w:w="100" w:type="dxa"/>
            </w:tcMar>
          </w:tcPr>
          <w:p>
            <w:r>
              <w:t>CR-UK-2022-77110</w:t>
            </w:r>
          </w:p>
        </w:tc>
        <w:tc>
          <w:tcPr>
            <w:tcW w:type="dxa" w:w="2412"/>
            <w:tcMar>
              <w:top w:w="80" w:type="dxa"/>
              <w:start w:w="100" w:type="dxa"/>
              <w:bottom w:w="80" w:type="dxa"/>
              <w:end w:w="100" w:type="dxa"/>
            </w:tcMar>
          </w:tcPr>
          <w:p>
            <w:r>
              <w:t>United Kingdom</w:t>
            </w:r>
          </w:p>
        </w:tc>
        <w:tc>
          <w:tcPr>
            <w:tcW w:type="dxa" w:w="2412"/>
            <w:tcMar>
              <w:top w:w="80" w:type="dxa"/>
              <w:start w:w="100" w:type="dxa"/>
              <w:bottom w:w="80" w:type="dxa"/>
              <w:end w:w="100" w:type="dxa"/>
            </w:tcMar>
          </w:tcPr>
          <w:p>
            <w:r>
              <w:t>Brand guide, copy standards, layouts, typography usage, and campaign asset templates.</w:t>
            </w:r>
          </w:p>
        </w:tc>
      </w:tr>
      <w:tr>
        <w:tc>
          <w:tcPr>
            <w:tcW w:type="dxa" w:w="2412"/>
            <w:tcMar>
              <w:top w:w="80" w:type="dxa"/>
              <w:start w:w="100" w:type="dxa"/>
              <w:bottom w:w="80" w:type="dxa"/>
              <w:end w:w="100" w:type="dxa"/>
            </w:tcMar>
          </w:tcPr>
          <w:p>
            <w:r>
              <w:t>Construction Intelligence Reporting Templates</w:t>
            </w:r>
          </w:p>
        </w:tc>
        <w:tc>
          <w:tcPr>
            <w:tcW w:type="dxa" w:w="2412"/>
            <w:tcMar>
              <w:top w:w="80" w:type="dxa"/>
              <w:start w:w="100" w:type="dxa"/>
              <w:bottom w:w="80" w:type="dxa"/>
              <w:end w:w="100" w:type="dxa"/>
            </w:tcMar>
          </w:tcPr>
          <w:p>
            <w:r>
              <w:t>CR-UAE-2024-0309</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Dashboard templates and periodic reporting designs used in project management software.</w:t>
            </w:r>
          </w:p>
        </w:tc>
      </w:tr>
      <w:tr>
        <w:tc>
          <w:tcPr>
            <w:tcW w:type="dxa" w:w="2412"/>
            <w:tcMar>
              <w:top w:w="80" w:type="dxa"/>
              <w:start w:w="100" w:type="dxa"/>
              <w:bottom w:w="80" w:type="dxa"/>
              <w:end w:w="100" w:type="dxa"/>
            </w:tcMar>
          </w:tcPr>
          <w:p>
            <w:r>
              <w:t>Resident Services Mobile App Content and Assets</w:t>
            </w:r>
          </w:p>
        </w:tc>
        <w:tc>
          <w:tcPr>
            <w:tcW w:type="dxa" w:w="2412"/>
            <w:tcMar>
              <w:top w:w="80" w:type="dxa"/>
              <w:start w:w="100" w:type="dxa"/>
              <w:bottom w:w="80" w:type="dxa"/>
              <w:end w:w="100" w:type="dxa"/>
            </w:tcMar>
          </w:tcPr>
          <w:p>
            <w:r>
              <w:t>CR-UAE-2024-1442</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Mobile application content, illustrations, icons, and workflow text for resident interaction tools.</w:t>
            </w:r>
          </w:p>
        </w:tc>
      </w:tr>
      <w:tr>
        <w:tc>
          <w:tcPr>
            <w:tcW w:type="dxa" w:w="2412"/>
            <w:tcMar>
              <w:top w:w="80" w:type="dxa"/>
              <w:start w:w="100" w:type="dxa"/>
              <w:bottom w:w="80" w:type="dxa"/>
              <w:end w:w="100" w:type="dxa"/>
            </w:tcMar>
          </w:tcPr>
          <w:p>
            <w:r>
              <w:t>Investor Roadshow Presentation Suite 2025</w:t>
            </w:r>
          </w:p>
        </w:tc>
        <w:tc>
          <w:tcPr>
            <w:tcW w:type="dxa" w:w="2412"/>
            <w:tcMar>
              <w:top w:w="80" w:type="dxa"/>
              <w:start w:w="100" w:type="dxa"/>
              <w:bottom w:w="80" w:type="dxa"/>
              <w:end w:w="100" w:type="dxa"/>
            </w:tcMar>
          </w:tcPr>
          <w:p>
            <w:r>
              <w:t>CR-UAE-2025-0227</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Institutional investor presentation deck templates, charts, and narrative modules.</w:t>
            </w:r>
          </w:p>
        </w:tc>
      </w:tr>
    </w:tbl>
    <w:p>
      <w:r>
        <w:t>Not all protectable works have been formally registered, nor is registration required for enforceability in every jurisdiction. Nonetheless, registration has evidentiary value, can improve enforcement posture, and is particularly useful for software assets and highly reused marketing materials.</w:t>
      </w:r>
    </w:p>
    <w:p>
      <w:r>
        <w:t>Architectural concepts and technical design documents may also attract copyright protection, but ownership analysis in that area should be handled carefully because external architects, consultants, and visualization houses may retain residual rights absent an express assignment or sufficiently broad license.</w:t>
      </w:r>
    </w:p>
    <w:p>
      <w:pPr>
        <w:pStyle w:val="Heading2"/>
      </w:pPr>
      <w:r>
        <w:t>Copyright License Agreements</w:t>
      </w:r>
    </w:p>
    <w:p>
      <w:pPr>
        <w:pStyle w:val="ListBullet"/>
        <w:spacing w:after="60"/>
      </w:pPr>
      <w:r>
        <w:t>Enterprise software licenses cover third-party BIM modules, visualization rendering engines, CRM systems, digital signature tools, marketing automation suites, and content management systems used in sales and project operations.</w:t>
      </w:r>
    </w:p>
    <w:p>
      <w:pPr>
        <w:pStyle w:val="ListBullet"/>
        <w:spacing w:after="60"/>
      </w:pPr>
      <w:r>
        <w:t>Content licenses are used for stock imagery, drone footage, music and voice-over elements in launch videos, and certain mapped location datasets displayed on project websites and sales center screens.</w:t>
      </w:r>
    </w:p>
    <w:p>
      <w:pPr>
        <w:pStyle w:val="ListBullet"/>
        <w:spacing w:after="60"/>
      </w:pPr>
      <w:r>
        <w:t>Architectural rendering and animation studios typically grant Aurelia a broad commercial license to exploit visual content for sales, leasing, investor presentations, social media, and archival uses, though some legacy engagements require additional confirmation for derivative modification rights.</w:t>
      </w:r>
    </w:p>
    <w:p>
      <w:r>
        <w:t>License management should focus on assignability, user-count restrictions, geographic scope, termination rights, and rights to archive or reuse content after a campaign ends. Because project sales cycles can last years and investor materials are frequently reissued, time-limited licenses can create avoidable risk if renewals lapse while content remains public or embedded in active channels.</w:t>
      </w:r>
    </w:p>
    <w:p>
      <w:r>
        <w:t>In diligence, it is advisable to separate truly commoditized third-party licensed assets from internally controlled proprietary content. Investors will attach greater value to assets the company can reuse and commercialize without consent friction, re-clearance costs, or dependency on a third-party vendor relationship.</w:t>
      </w:r>
    </w:p>
    <w:p>
      <w:pPr>
        <w:pStyle w:val="Heading1"/>
      </w:pPr>
      <w:r>
        <w:t>3.4 Trade Secrets</w:t>
      </w:r>
    </w:p>
    <w:p>
      <w:r>
        <w:t>Trade secrets are arguably the most important and least visible part of Aurelia’s IP estate. Much of the company’s differentiated know-how does not sit neatly within registered rights; instead it exists as confidential methods, models, templates, data relationships, procurement intelligence, launch sequencing playbooks, financial underwriting assumptions, and operational heuristics developed over multiple project cycles.</w:t>
      </w:r>
    </w:p>
    <w:p>
      <w:r>
        <w:t>Unlike patents, trade secrets derive value from secrecy. Accordingly, the diligence question is operational: has the company implemented policies and systems that are strong enough to preserve the confidentiality status of the information and support legal remedies if misappropriation occurs?</w:t>
      </w:r>
    </w:p>
    <w:p>
      <w:pPr>
        <w:pStyle w:val="ListBullet"/>
        <w:spacing w:after="60"/>
      </w:pPr>
      <w:r>
        <w:t>Proprietary feasibility modeling for land acquisition and project underwriting, including internal hurdle-rate assumptions, sell-through scenarios, micro-market absorption curves, and product-mix optimization logic.</w:t>
      </w:r>
    </w:p>
    <w:p>
      <w:pPr>
        <w:pStyle w:val="ListBullet"/>
        <w:spacing w:after="60"/>
      </w:pPr>
      <w:r>
        <w:t>Internal pricing recommendation models that combine view premiums, floor premiums, payment plan elasticity, buyer source channel performance, and launch-phase conversion benchmarks.</w:t>
      </w:r>
    </w:p>
    <w:p>
      <w:pPr>
        <w:pStyle w:val="ListBullet"/>
        <w:spacing w:after="60"/>
      </w:pPr>
      <w:r>
        <w:t>Construction package benchmarking databases compiled from multiple developments, including tender return intelligence, subcontractor performance history, and package escalation trends.</w:t>
      </w:r>
    </w:p>
    <w:p>
      <w:pPr>
        <w:pStyle w:val="ListBullet"/>
        <w:spacing w:after="60"/>
      </w:pPr>
      <w:r>
        <w:t>Sales funnel segmentation models and investor-origin analytics linking international campaigns, broker channels, reservation speed, deposit patterns, and final conversion behavior.</w:t>
      </w:r>
    </w:p>
    <w:p>
      <w:pPr>
        <w:pStyle w:val="ListBullet"/>
        <w:spacing w:after="60"/>
      </w:pPr>
      <w:r>
        <w:t>Standardized design development workflows, branded residence operational playbooks, and curated procurement templates refined through experience with luxury product and hospitality integration.</w:t>
      </w:r>
    </w:p>
    <w:p>
      <w:pPr>
        <w:pStyle w:val="Heading2"/>
      </w:pPr>
      <w:r>
        <w:t>Description of Trade Secret Protection Measures</w:t>
      </w:r>
    </w:p>
    <w:p>
      <w:r>
        <w:t>The company protects trade secrets through a combination of role-based access controls, segmented file permissions, VPN-restricted access to internal systems, source code repository permissions, device management controls, and centralized document retention policies. Sensitive commercial models and cost databases are maintained in limited-access folders and are not broadly distributed by email.</w:t>
      </w:r>
    </w:p>
    <w:p>
      <w:r>
        <w:t>Periodic information-classification training is provided to employees in finance, strategy, development, procurement, and technology functions. Materials designated as confidential or highly confidential are subject to restrictions on forwarding, external upload, printing, and local storage. Certain high-value analytics models and source repositories also require access approval from both business and technology leadership.</w:t>
      </w:r>
    </w:p>
    <w:p>
      <w:r>
        <w:t>In practical terms, the strongest protection appears to be concentrated around digital systems and formal repositories. Management should nevertheless continue to monitor risks arising from informal knowledge transfer, including the sharing of working spreadsheets outside controlled environments, use of personal messaging platforms for vendor negotiations, and retention of local project files by consultants after engagement end.</w:t>
      </w:r>
    </w:p>
    <w:p>
      <w:pPr>
        <w:pStyle w:val="Heading2"/>
      </w:pPr>
      <w:r>
        <w:t>Confidentiality and Non-Disclosure Agreements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E8EEF7"/>
          </w:tcPr>
          <w:p>
            <w:r>
              <w:t>Counterparty Type</w:t>
            </w:r>
          </w:p>
        </w:tc>
        <w:tc>
          <w:tcPr>
            <w:tcW w:type="dxa" w:w="2412"/>
            <w:shd w:fill="E8EEF7"/>
          </w:tcPr>
          <w:p>
            <w:r>
              <w:t>Typical NDA Coverage</w:t>
            </w:r>
          </w:p>
        </w:tc>
        <w:tc>
          <w:tcPr>
            <w:tcW w:type="dxa" w:w="2412"/>
            <w:shd w:fill="E8EEF7"/>
          </w:tcPr>
          <w:p>
            <w:r>
              <w:t>Term</w:t>
            </w:r>
          </w:p>
        </w:tc>
        <w:tc>
          <w:tcPr>
            <w:tcW w:type="dxa" w:w="2412"/>
            <w:shd w:fill="E8EEF7"/>
          </w:tcPr>
          <w:p>
            <w:r>
              <w:t>Key Protections</w:t>
            </w:r>
          </w:p>
        </w:tc>
      </w:tr>
      <w:tr>
        <w:tc>
          <w:tcPr>
            <w:tcW w:type="dxa" w:w="2412"/>
            <w:tcMar>
              <w:top w:w="80" w:type="dxa"/>
              <w:start w:w="100" w:type="dxa"/>
              <w:bottom w:w="80" w:type="dxa"/>
              <w:end w:w="100" w:type="dxa"/>
            </w:tcMar>
          </w:tcPr>
          <w:p>
            <w:r>
              <w:t>Employees</w:t>
            </w:r>
          </w:p>
        </w:tc>
        <w:tc>
          <w:tcPr>
            <w:tcW w:type="dxa" w:w="2412"/>
            <w:tcMar>
              <w:top w:w="80" w:type="dxa"/>
              <w:start w:w="100" w:type="dxa"/>
              <w:bottom w:w="80" w:type="dxa"/>
              <w:end w:w="100" w:type="dxa"/>
            </w:tcMar>
          </w:tcPr>
          <w:p>
            <w:r>
              <w:t>Business plans, pricing, buyer data, source code, cost models, project pipeline information</w:t>
            </w:r>
          </w:p>
        </w:tc>
        <w:tc>
          <w:tcPr>
            <w:tcW w:type="dxa" w:w="2412"/>
            <w:tcMar>
              <w:top w:w="80" w:type="dxa"/>
              <w:start w:w="100" w:type="dxa"/>
              <w:bottom w:w="80" w:type="dxa"/>
              <w:end w:w="100" w:type="dxa"/>
            </w:tcMar>
          </w:tcPr>
          <w:p>
            <w:r>
              <w:t>Employment term + 3–5 years; trade secrets indefinite</w:t>
            </w:r>
          </w:p>
        </w:tc>
        <w:tc>
          <w:tcPr>
            <w:tcW w:type="dxa" w:w="2412"/>
            <w:tcMar>
              <w:top w:w="80" w:type="dxa"/>
              <w:start w:w="100" w:type="dxa"/>
              <w:bottom w:w="80" w:type="dxa"/>
              <w:end w:w="100" w:type="dxa"/>
            </w:tcMar>
          </w:tcPr>
          <w:p>
            <w:r>
              <w:t>Return of materials, confidentiality, non-use, no unauthorized disclosure, injunctive relief language</w:t>
            </w:r>
          </w:p>
        </w:tc>
      </w:tr>
      <w:tr>
        <w:tc>
          <w:tcPr>
            <w:tcW w:type="dxa" w:w="2412"/>
            <w:tcMar>
              <w:top w:w="80" w:type="dxa"/>
              <w:start w:w="100" w:type="dxa"/>
              <w:bottom w:w="80" w:type="dxa"/>
              <w:end w:w="100" w:type="dxa"/>
            </w:tcMar>
          </w:tcPr>
          <w:p>
            <w:r>
              <w:t>Independent contractors</w:t>
            </w:r>
          </w:p>
        </w:tc>
        <w:tc>
          <w:tcPr>
            <w:tcW w:type="dxa" w:w="2412"/>
            <w:tcMar>
              <w:top w:w="80" w:type="dxa"/>
              <w:start w:w="100" w:type="dxa"/>
              <w:bottom w:w="80" w:type="dxa"/>
              <w:end w:w="100" w:type="dxa"/>
            </w:tcMar>
          </w:tcPr>
          <w:p>
            <w:r>
              <w:t>Deliverables, know-how, code, design specs, internal systems access</w:t>
            </w:r>
          </w:p>
        </w:tc>
        <w:tc>
          <w:tcPr>
            <w:tcW w:type="dxa" w:w="2412"/>
            <w:tcMar>
              <w:top w:w="80" w:type="dxa"/>
              <w:start w:w="100" w:type="dxa"/>
              <w:bottom w:w="80" w:type="dxa"/>
              <w:end w:w="100" w:type="dxa"/>
            </w:tcMar>
          </w:tcPr>
          <w:p>
            <w:r>
              <w:t>Project term + survival provisions</w:t>
            </w:r>
          </w:p>
        </w:tc>
        <w:tc>
          <w:tcPr>
            <w:tcW w:type="dxa" w:w="2412"/>
            <w:tcMar>
              <w:top w:w="80" w:type="dxa"/>
              <w:start w:w="100" w:type="dxa"/>
              <w:bottom w:w="80" w:type="dxa"/>
              <w:end w:w="100" w:type="dxa"/>
            </w:tcMar>
          </w:tcPr>
          <w:p>
            <w:r>
              <w:t>Confidentiality, assignment of deliverables, deletion certification, subcontracting restrictions</w:t>
            </w:r>
          </w:p>
        </w:tc>
      </w:tr>
      <w:tr>
        <w:tc>
          <w:tcPr>
            <w:tcW w:type="dxa" w:w="2412"/>
            <w:tcMar>
              <w:top w:w="80" w:type="dxa"/>
              <w:start w:w="100" w:type="dxa"/>
              <w:bottom w:w="80" w:type="dxa"/>
              <w:end w:w="100" w:type="dxa"/>
            </w:tcMar>
          </w:tcPr>
          <w:p>
            <w:r>
              <w:t>Broker networks / channel partners</w:t>
            </w:r>
          </w:p>
        </w:tc>
        <w:tc>
          <w:tcPr>
            <w:tcW w:type="dxa" w:w="2412"/>
            <w:tcMar>
              <w:top w:w="80" w:type="dxa"/>
              <w:start w:w="100" w:type="dxa"/>
              <w:bottom w:w="80" w:type="dxa"/>
              <w:end w:w="100" w:type="dxa"/>
            </w:tcMar>
          </w:tcPr>
          <w:p>
            <w:r>
              <w:t>Buyer leads, pricing, launch calendars, marketing assets</w:t>
            </w:r>
          </w:p>
        </w:tc>
        <w:tc>
          <w:tcPr>
            <w:tcW w:type="dxa" w:w="2412"/>
            <w:tcMar>
              <w:top w:w="80" w:type="dxa"/>
              <w:start w:w="100" w:type="dxa"/>
              <w:bottom w:w="80" w:type="dxa"/>
              <w:end w:w="100" w:type="dxa"/>
            </w:tcMar>
          </w:tcPr>
          <w:p>
            <w:r>
              <w:t>Campaign term + 2 years</w:t>
            </w:r>
          </w:p>
        </w:tc>
        <w:tc>
          <w:tcPr>
            <w:tcW w:type="dxa" w:w="2412"/>
            <w:tcMar>
              <w:top w:w="80" w:type="dxa"/>
              <w:start w:w="100" w:type="dxa"/>
              <w:bottom w:w="80" w:type="dxa"/>
              <w:end w:w="100" w:type="dxa"/>
            </w:tcMar>
          </w:tcPr>
          <w:p>
            <w:r>
              <w:t>Confidentiality, limited purpose use, brand usage restrictions, database non-extraction</w:t>
            </w:r>
          </w:p>
        </w:tc>
      </w:tr>
      <w:tr>
        <w:tc>
          <w:tcPr>
            <w:tcW w:type="dxa" w:w="2412"/>
            <w:tcMar>
              <w:top w:w="80" w:type="dxa"/>
              <w:start w:w="100" w:type="dxa"/>
              <w:bottom w:w="80" w:type="dxa"/>
              <w:end w:w="100" w:type="dxa"/>
            </w:tcMar>
          </w:tcPr>
          <w:p>
            <w:r>
              <w:t>Hospitality / JV partners</w:t>
            </w:r>
          </w:p>
        </w:tc>
        <w:tc>
          <w:tcPr>
            <w:tcW w:type="dxa" w:w="2412"/>
            <w:tcMar>
              <w:top w:w="80" w:type="dxa"/>
              <w:start w:w="100" w:type="dxa"/>
              <w:bottom w:w="80" w:type="dxa"/>
              <w:end w:w="100" w:type="dxa"/>
            </w:tcMar>
          </w:tcPr>
          <w:p>
            <w:r>
              <w:t>Shared design standards, service models, financial assumptions, guest and resident data</w:t>
            </w:r>
          </w:p>
        </w:tc>
        <w:tc>
          <w:tcPr>
            <w:tcW w:type="dxa" w:w="2412"/>
            <w:tcMar>
              <w:top w:w="80" w:type="dxa"/>
              <w:start w:w="100" w:type="dxa"/>
              <w:bottom w:w="80" w:type="dxa"/>
              <w:end w:w="100" w:type="dxa"/>
            </w:tcMar>
          </w:tcPr>
          <w:p>
            <w:r>
              <w:t>As negotiated per JV / brand agreement</w:t>
            </w:r>
          </w:p>
        </w:tc>
        <w:tc>
          <w:tcPr>
            <w:tcW w:type="dxa" w:w="2412"/>
            <w:tcMar>
              <w:top w:w="80" w:type="dxa"/>
              <w:start w:w="100" w:type="dxa"/>
              <w:bottom w:w="80" w:type="dxa"/>
              <w:end w:w="100" w:type="dxa"/>
            </w:tcMar>
          </w:tcPr>
          <w:p>
            <w:r>
              <w:t>Mutual confidentiality, residuals limitations, restricted disclosure to approved personnel only</w:t>
            </w:r>
          </w:p>
        </w:tc>
      </w:tr>
    </w:tbl>
    <w:p>
      <w:r>
        <w:t>NDA usage is broad and generally appropriate for a business with extensive external collaboration. The diligence focus should be on enforcement quality: are executed agreements centrally stored, do templates contain robust residuals and reverse-engineering restrictions where needed, and are counterparties actually onboarded before access is granted?</w:t>
      </w:r>
    </w:p>
    <w:p>
      <w:r>
        <w:t>Where trade secrets overlap with software or analytics deliverables developed collaboratively, NDAs should not be treated as a substitute for assignment or licensing documentation. The two instruments serve different functions and both should be present in the legal file for material projects.</w:t>
      </w:r>
    </w:p>
    <w:p>
      <w:pPr>
        <w:pStyle w:val="Heading1"/>
      </w:pPr>
      <w:r>
        <w:t>3.5 Domain Names and Social Media</w:t>
      </w:r>
    </w:p>
    <w:p>
      <w:r>
        <w:t>The company’s digital footprint supports lead generation, project marketing, investor communications, resident services, and technology product positioning. Domain names are therefore commercially meaningful assets rather than merely administrative records. Control over login credentials, registrar accounts, renewal calendars, DNS administration, and social media handles is important because loss or compromise of digital channels can disrupt campaigns, dilute brand authority, and expose the company to fraud or impersonation risks.</w:t>
      </w:r>
    </w:p>
    <w:p>
      <w:r>
        <w:t>Digital asset diligence should confirm that registrar accounts and social media ownership reside with the company or its designated brand management entity, not with former agencies or individual employees. It should also confirm that renewal and credential recovery processes are controlled, documented, and segregated.</w:t>
      </w:r>
    </w:p>
    <w:p>
      <w:pPr>
        <w:pStyle w:val="Heading2"/>
      </w:pPr>
      <w:r>
        <w:t>List of All Domain Names Owned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D9E8FB"/>
          </w:tcPr>
          <w:p>
            <w:r>
              <w:t>Domain Name</w:t>
            </w:r>
          </w:p>
        </w:tc>
        <w:tc>
          <w:tcPr>
            <w:tcW w:type="dxa" w:w="2412"/>
            <w:shd w:fill="D9E8FB"/>
          </w:tcPr>
          <w:p>
            <w:r>
              <w:t>Registration Date</w:t>
            </w:r>
          </w:p>
        </w:tc>
        <w:tc>
          <w:tcPr>
            <w:tcW w:type="dxa" w:w="2412"/>
            <w:shd w:fill="D9E8FB"/>
          </w:tcPr>
          <w:p>
            <w:r>
              <w:t>Registrar</w:t>
            </w:r>
          </w:p>
        </w:tc>
        <w:tc>
          <w:tcPr>
            <w:tcW w:type="dxa" w:w="2412"/>
            <w:shd w:fill="D9E8FB"/>
          </w:tcPr>
          <w:p>
            <w:r>
              <w:t>Purpose of Domain</w:t>
            </w:r>
          </w:p>
        </w:tc>
      </w:tr>
      <w:tr>
        <w:tc>
          <w:tcPr>
            <w:tcW w:type="dxa" w:w="2412"/>
            <w:tcMar>
              <w:top w:w="80" w:type="dxa"/>
              <w:start w:w="100" w:type="dxa"/>
              <w:bottom w:w="80" w:type="dxa"/>
              <w:end w:w="100" w:type="dxa"/>
            </w:tcMar>
          </w:tcPr>
          <w:p>
            <w:r>
              <w:t>aureliadevelopments.com</w:t>
            </w:r>
          </w:p>
        </w:tc>
        <w:tc>
          <w:tcPr>
            <w:tcW w:type="dxa" w:w="2412"/>
            <w:tcMar>
              <w:top w:w="80" w:type="dxa"/>
              <w:start w:w="100" w:type="dxa"/>
              <w:bottom w:w="80" w:type="dxa"/>
              <w:end w:w="100" w:type="dxa"/>
            </w:tcMar>
          </w:tcPr>
          <w:p>
            <w:r>
              <w:t>15 Sep 2018</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Primary corporate website and investor relations domain</w:t>
            </w:r>
          </w:p>
        </w:tc>
      </w:tr>
      <w:tr>
        <w:tc>
          <w:tcPr>
            <w:tcW w:type="dxa" w:w="2412"/>
            <w:tcMar>
              <w:top w:w="80" w:type="dxa"/>
              <w:start w:w="100" w:type="dxa"/>
              <w:bottom w:w="80" w:type="dxa"/>
              <w:end w:w="100" w:type="dxa"/>
            </w:tcMar>
          </w:tcPr>
          <w:p>
            <w:r>
              <w:t>aureliadevelopments.ae</w:t>
            </w:r>
          </w:p>
        </w:tc>
        <w:tc>
          <w:tcPr>
            <w:tcW w:type="dxa" w:w="2412"/>
            <w:tcMar>
              <w:top w:w="80" w:type="dxa"/>
              <w:start w:w="100" w:type="dxa"/>
              <w:bottom w:w="80" w:type="dxa"/>
              <w:end w:w="100" w:type="dxa"/>
            </w:tcMar>
          </w:tcPr>
          <w:p>
            <w:r>
              <w:t>21 Sep 2018</w:t>
            </w:r>
          </w:p>
        </w:tc>
        <w:tc>
          <w:tcPr>
            <w:tcW w:type="dxa" w:w="2412"/>
            <w:tcMar>
              <w:top w:w="80" w:type="dxa"/>
              <w:start w:w="100" w:type="dxa"/>
              <w:bottom w:w="80" w:type="dxa"/>
              <w:end w:w="100" w:type="dxa"/>
            </w:tcMar>
          </w:tcPr>
          <w:p>
            <w:r>
              <w:t>aeDA</w:t>
            </w:r>
          </w:p>
        </w:tc>
        <w:tc>
          <w:tcPr>
            <w:tcW w:type="dxa" w:w="2412"/>
            <w:tcMar>
              <w:top w:w="80" w:type="dxa"/>
              <w:start w:w="100" w:type="dxa"/>
              <w:bottom w:w="80" w:type="dxa"/>
              <w:end w:w="100" w:type="dxa"/>
            </w:tcMar>
          </w:tcPr>
          <w:p>
            <w:r>
              <w:t>Primary UAE-facing corporate domain</w:t>
            </w:r>
          </w:p>
        </w:tc>
      </w:tr>
      <w:tr>
        <w:tc>
          <w:tcPr>
            <w:tcW w:type="dxa" w:w="2412"/>
            <w:tcMar>
              <w:top w:w="80" w:type="dxa"/>
              <w:start w:w="100" w:type="dxa"/>
              <w:bottom w:w="80" w:type="dxa"/>
              <w:end w:w="100" w:type="dxa"/>
            </w:tcMar>
          </w:tcPr>
          <w:p>
            <w:r>
              <w:t>aureliaonemarina.com</w:t>
            </w:r>
          </w:p>
        </w:tc>
        <w:tc>
          <w:tcPr>
            <w:tcW w:type="dxa" w:w="2412"/>
            <w:tcMar>
              <w:top w:w="80" w:type="dxa"/>
              <w:start w:w="100" w:type="dxa"/>
              <w:bottom w:w="80" w:type="dxa"/>
              <w:end w:w="100" w:type="dxa"/>
            </w:tcMar>
          </w:tcPr>
          <w:p>
            <w:r>
              <w:t>11 Jan 2021</w:t>
            </w:r>
          </w:p>
        </w:tc>
        <w:tc>
          <w:tcPr>
            <w:tcW w:type="dxa" w:w="2412"/>
            <w:tcMar>
              <w:top w:w="80" w:type="dxa"/>
              <w:start w:w="100" w:type="dxa"/>
              <w:bottom w:w="80" w:type="dxa"/>
              <w:end w:w="100" w:type="dxa"/>
            </w:tcMar>
          </w:tcPr>
          <w:p>
            <w:r>
              <w:t>GoDaddy Corporate</w:t>
            </w:r>
          </w:p>
        </w:tc>
        <w:tc>
          <w:tcPr>
            <w:tcW w:type="dxa" w:w="2412"/>
            <w:tcMar>
              <w:top w:w="80" w:type="dxa"/>
              <w:start w:w="100" w:type="dxa"/>
              <w:bottom w:w="80" w:type="dxa"/>
              <w:end w:w="100" w:type="dxa"/>
            </w:tcMar>
          </w:tcPr>
          <w:p>
            <w:r>
              <w:t>Project microsite for flagship tower launch and reservations</w:t>
            </w:r>
          </w:p>
        </w:tc>
      </w:tr>
      <w:tr>
        <w:tc>
          <w:tcPr>
            <w:tcW w:type="dxa" w:w="2412"/>
            <w:tcMar>
              <w:top w:w="80" w:type="dxa"/>
              <w:start w:w="100" w:type="dxa"/>
              <w:bottom w:w="80" w:type="dxa"/>
              <w:end w:w="100" w:type="dxa"/>
            </w:tcMar>
          </w:tcPr>
          <w:p>
            <w:r>
              <w:t>palmcrownresidences.com</w:t>
            </w:r>
          </w:p>
        </w:tc>
        <w:tc>
          <w:tcPr>
            <w:tcW w:type="dxa" w:w="2412"/>
            <w:tcMar>
              <w:top w:w="80" w:type="dxa"/>
              <w:start w:w="100" w:type="dxa"/>
              <w:bottom w:w="80" w:type="dxa"/>
              <w:end w:w="100" w:type="dxa"/>
            </w:tcMar>
          </w:tcPr>
          <w:p>
            <w:r>
              <w:t>09 Jun 2021</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Project marketing site for branded villa and residence offering</w:t>
            </w:r>
          </w:p>
        </w:tc>
      </w:tr>
      <w:tr>
        <w:tc>
          <w:tcPr>
            <w:tcW w:type="dxa" w:w="2412"/>
            <w:tcMar>
              <w:top w:w="80" w:type="dxa"/>
              <w:start w:w="100" w:type="dxa"/>
              <w:bottom w:w="80" w:type="dxa"/>
              <w:end w:w="100" w:type="dxa"/>
            </w:tcMar>
          </w:tcPr>
          <w:p>
            <w:r>
              <w:t>aureliainsight.com</w:t>
            </w:r>
          </w:p>
        </w:tc>
        <w:tc>
          <w:tcPr>
            <w:tcW w:type="dxa" w:w="2412"/>
            <w:tcMar>
              <w:top w:w="80" w:type="dxa"/>
              <w:start w:w="100" w:type="dxa"/>
              <w:bottom w:w="80" w:type="dxa"/>
              <w:end w:w="100" w:type="dxa"/>
            </w:tcMar>
          </w:tcPr>
          <w:p>
            <w:r>
              <w:t>18 Nov 2022</w:t>
            </w:r>
          </w:p>
        </w:tc>
        <w:tc>
          <w:tcPr>
            <w:tcW w:type="dxa" w:w="2412"/>
            <w:tcMar>
              <w:top w:w="80" w:type="dxa"/>
              <w:start w:w="100" w:type="dxa"/>
              <w:bottom w:w="80" w:type="dxa"/>
              <w:end w:w="100" w:type="dxa"/>
            </w:tcMar>
          </w:tcPr>
          <w:p>
            <w:r>
              <w:t>Cloudflare Registrar</w:t>
            </w:r>
          </w:p>
        </w:tc>
        <w:tc>
          <w:tcPr>
            <w:tcW w:type="dxa" w:w="2412"/>
            <w:tcMar>
              <w:top w:w="80" w:type="dxa"/>
              <w:start w:w="100" w:type="dxa"/>
              <w:bottom w:w="80" w:type="dxa"/>
              <w:end w:w="100" w:type="dxa"/>
            </w:tcMar>
          </w:tcPr>
          <w:p>
            <w:r>
              <w:t>Analytics platform information portal and login gateway</w:t>
            </w:r>
          </w:p>
        </w:tc>
      </w:tr>
      <w:tr>
        <w:tc>
          <w:tcPr>
            <w:tcW w:type="dxa" w:w="2412"/>
            <w:tcMar>
              <w:top w:w="80" w:type="dxa"/>
              <w:start w:w="100" w:type="dxa"/>
              <w:bottom w:w="80" w:type="dxa"/>
              <w:end w:w="100" w:type="dxa"/>
            </w:tcMar>
          </w:tcPr>
          <w:p>
            <w:r>
              <w:t>aureliaedge.ai</w:t>
            </w:r>
          </w:p>
        </w:tc>
        <w:tc>
          <w:tcPr>
            <w:tcW w:type="dxa" w:w="2412"/>
            <w:tcMar>
              <w:top w:w="80" w:type="dxa"/>
              <w:start w:w="100" w:type="dxa"/>
              <w:bottom w:w="80" w:type="dxa"/>
              <w:end w:w="100" w:type="dxa"/>
            </w:tcMar>
          </w:tcPr>
          <w:p>
            <w:r>
              <w:t>03 Feb 2024</w:t>
            </w:r>
          </w:p>
        </w:tc>
        <w:tc>
          <w:tcPr>
            <w:tcW w:type="dxa" w:w="2412"/>
            <w:tcMar>
              <w:top w:w="80" w:type="dxa"/>
              <w:start w:w="100" w:type="dxa"/>
              <w:bottom w:w="80" w:type="dxa"/>
              <w:end w:w="100" w:type="dxa"/>
            </w:tcMar>
          </w:tcPr>
          <w:p>
            <w:r>
              <w:t>Namecheap</w:t>
            </w:r>
          </w:p>
        </w:tc>
        <w:tc>
          <w:tcPr>
            <w:tcW w:type="dxa" w:w="2412"/>
            <w:tcMar>
              <w:top w:w="80" w:type="dxa"/>
              <w:start w:w="100" w:type="dxa"/>
              <w:bottom w:w="80" w:type="dxa"/>
              <w:end w:w="100" w:type="dxa"/>
            </w:tcMar>
          </w:tcPr>
          <w:p>
            <w:r>
              <w:t>Proptech product positioning and thought leadership domain</w:t>
            </w:r>
          </w:p>
        </w:tc>
      </w:tr>
      <w:tr>
        <w:tc>
          <w:tcPr>
            <w:tcW w:type="dxa" w:w="2412"/>
            <w:tcMar>
              <w:top w:w="80" w:type="dxa"/>
              <w:start w:w="100" w:type="dxa"/>
              <w:bottom w:w="80" w:type="dxa"/>
              <w:end w:w="100" w:type="dxa"/>
            </w:tcMar>
          </w:tcPr>
          <w:p>
            <w:r>
              <w:t>reservebyaurelia.com</w:t>
            </w:r>
          </w:p>
        </w:tc>
        <w:tc>
          <w:tcPr>
            <w:tcW w:type="dxa" w:w="2412"/>
            <w:tcMar>
              <w:top w:w="80" w:type="dxa"/>
              <w:start w:w="100" w:type="dxa"/>
              <w:bottom w:w="80" w:type="dxa"/>
              <w:end w:w="100" w:type="dxa"/>
            </w:tcMar>
          </w:tcPr>
          <w:p>
            <w:r>
              <w:t>20 Mar 2023</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Buyer concierge and priority reservation program</w:t>
            </w:r>
          </w:p>
        </w:tc>
      </w:tr>
      <w:tr>
        <w:tc>
          <w:tcPr>
            <w:tcW w:type="dxa" w:w="2412"/>
            <w:tcMar>
              <w:top w:w="80" w:type="dxa"/>
              <w:start w:w="100" w:type="dxa"/>
              <w:bottom w:w="80" w:type="dxa"/>
              <w:end w:w="100" w:type="dxa"/>
            </w:tcMar>
          </w:tcPr>
          <w:p>
            <w:r>
              <w:t>skylinecanvas.com</w:t>
            </w:r>
          </w:p>
        </w:tc>
        <w:tc>
          <w:tcPr>
            <w:tcW w:type="dxa" w:w="2412"/>
            <w:tcMar>
              <w:top w:w="80" w:type="dxa"/>
              <w:start w:w="100" w:type="dxa"/>
              <w:bottom w:w="80" w:type="dxa"/>
              <w:end w:w="100" w:type="dxa"/>
            </w:tcMar>
          </w:tcPr>
          <w:p>
            <w:r>
              <w:t>01 Jun 2024</w:t>
            </w:r>
          </w:p>
        </w:tc>
        <w:tc>
          <w:tcPr>
            <w:tcW w:type="dxa" w:w="2412"/>
            <w:tcMar>
              <w:top w:w="80" w:type="dxa"/>
              <w:start w:w="100" w:type="dxa"/>
              <w:bottom w:w="80" w:type="dxa"/>
              <w:end w:w="100" w:type="dxa"/>
            </w:tcMar>
          </w:tcPr>
          <w:p>
            <w:r>
              <w:t>Cloudflare Registrar</w:t>
            </w:r>
          </w:p>
        </w:tc>
        <w:tc>
          <w:tcPr>
            <w:tcW w:type="dxa" w:w="2412"/>
            <w:tcMar>
              <w:top w:w="80" w:type="dxa"/>
              <w:start w:w="100" w:type="dxa"/>
              <w:bottom w:w="80" w:type="dxa"/>
              <w:end w:w="100" w:type="dxa"/>
            </w:tcMar>
          </w:tcPr>
          <w:p>
            <w:r>
              <w:t>Customization studio and buyer design visualization experience</w:t>
            </w:r>
          </w:p>
        </w:tc>
      </w:tr>
      <w:tr>
        <w:tc>
          <w:tcPr>
            <w:tcW w:type="dxa" w:w="2412"/>
            <w:tcMar>
              <w:top w:w="80" w:type="dxa"/>
              <w:start w:w="100" w:type="dxa"/>
              <w:bottom w:w="80" w:type="dxa"/>
              <w:end w:w="100" w:type="dxa"/>
            </w:tcMar>
          </w:tcPr>
          <w:p>
            <w:r>
              <w:t>aurelia-living.com</w:t>
            </w:r>
          </w:p>
        </w:tc>
        <w:tc>
          <w:tcPr>
            <w:tcW w:type="dxa" w:w="2412"/>
            <w:tcMar>
              <w:top w:w="80" w:type="dxa"/>
              <w:start w:w="100" w:type="dxa"/>
              <w:bottom w:w="80" w:type="dxa"/>
              <w:end w:w="100" w:type="dxa"/>
            </w:tcMar>
          </w:tcPr>
          <w:p>
            <w:r>
              <w:t>14 Sep 2023</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Resident experience and hospitality-linked communications portal</w:t>
            </w:r>
          </w:p>
        </w:tc>
      </w:tr>
    </w:tbl>
    <w:p>
      <w:pPr>
        <w:pStyle w:val="Heading2"/>
      </w:pPr>
      <w:r>
        <w:t>Social Media Accounts and Handles</w:t>
      </w:r>
    </w:p>
    <w:tbl>
      <w:tblPr>
        <w:tblStyle w:val="TableGrid"/>
        <w:tblW w:type="auto" w:w="0"/>
        <w:jc w:val="center"/>
        <w:tblLook w:firstColumn="1" w:firstRow="1" w:lastColumn="0" w:lastRow="0" w:noHBand="0" w:noVBand="1" w:val="04A0"/>
      </w:tblPr>
      <w:tblGrid>
        <w:gridCol w:w="3216"/>
        <w:gridCol w:w="3216"/>
        <w:gridCol w:w="3216"/>
      </w:tblGrid>
      <w:tr>
        <w:trPr>
          <w:tblHeader w:val="true"/>
          <w:tblHeader w:val="true"/>
          <w:tblHeader w:val="true"/>
        </w:trPr>
        <w:tc>
          <w:tcPr>
            <w:tcW w:type="dxa" w:w="3216"/>
            <w:shd w:fill="E8EEF7"/>
          </w:tcPr>
          <w:p>
            <w:r>
              <w:t>Platform</w:t>
            </w:r>
          </w:p>
        </w:tc>
        <w:tc>
          <w:tcPr>
            <w:tcW w:type="dxa" w:w="3216"/>
            <w:shd w:fill="E8EEF7"/>
          </w:tcPr>
          <w:p>
            <w:r>
              <w:t>Handle</w:t>
            </w:r>
          </w:p>
        </w:tc>
        <w:tc>
          <w:tcPr>
            <w:tcW w:type="dxa" w:w="3216"/>
            <w:shd w:fill="E8EEF7"/>
          </w:tcPr>
          <w:p>
            <w:r>
              <w:t>Purpose of Account</w:t>
            </w:r>
          </w:p>
        </w:tc>
      </w:tr>
      <w:tr>
        <w:tc>
          <w:tcPr>
            <w:tcW w:type="dxa" w:w="3216"/>
            <w:tcMar>
              <w:top w:w="80" w:type="dxa"/>
              <w:start w:w="100" w:type="dxa"/>
              <w:bottom w:w="80" w:type="dxa"/>
              <w:end w:w="100" w:type="dxa"/>
            </w:tcMar>
          </w:tcPr>
          <w:p>
            <w:r>
              <w:t>LinkedIn</w:t>
            </w:r>
          </w:p>
        </w:tc>
        <w:tc>
          <w:tcPr>
            <w:tcW w:type="dxa" w:w="3216"/>
            <w:tcMar>
              <w:top w:w="80" w:type="dxa"/>
              <w:start w:w="100" w:type="dxa"/>
              <w:bottom w:w="80" w:type="dxa"/>
              <w:end w:w="100" w:type="dxa"/>
            </w:tcMar>
          </w:tcPr>
          <w:p>
            <w:r>
              <w:t>@aurelia-developments</w:t>
            </w:r>
          </w:p>
        </w:tc>
        <w:tc>
          <w:tcPr>
            <w:tcW w:type="dxa" w:w="3216"/>
            <w:tcMar>
              <w:top w:w="80" w:type="dxa"/>
              <w:start w:w="100" w:type="dxa"/>
              <w:bottom w:w="80" w:type="dxa"/>
              <w:end w:w="100" w:type="dxa"/>
            </w:tcMar>
          </w:tcPr>
          <w:p>
            <w:r>
              <w:t>Corporate profile, talent brand, institutional updates, project announcements and investor credibility</w:t>
            </w:r>
          </w:p>
        </w:tc>
      </w:tr>
      <w:tr>
        <w:tc>
          <w:tcPr>
            <w:tcW w:type="dxa" w:w="3216"/>
            <w:tcMar>
              <w:top w:w="80" w:type="dxa"/>
              <w:start w:w="100" w:type="dxa"/>
              <w:bottom w:w="80" w:type="dxa"/>
              <w:end w:w="100" w:type="dxa"/>
            </w:tcMar>
          </w:tcPr>
          <w:p>
            <w:r>
              <w:t>Instagram</w:t>
            </w:r>
          </w:p>
        </w:tc>
        <w:tc>
          <w:tcPr>
            <w:tcW w:type="dxa" w:w="3216"/>
            <w:tcMar>
              <w:top w:w="80" w:type="dxa"/>
              <w:start w:w="100" w:type="dxa"/>
              <w:bottom w:w="80" w:type="dxa"/>
              <w:end w:w="100" w:type="dxa"/>
            </w:tcMar>
          </w:tcPr>
          <w:p>
            <w:r>
              <w:t>@aureliadevelopments</w:t>
            </w:r>
          </w:p>
        </w:tc>
        <w:tc>
          <w:tcPr>
            <w:tcW w:type="dxa" w:w="3216"/>
            <w:tcMar>
              <w:top w:w="80" w:type="dxa"/>
              <w:start w:w="100" w:type="dxa"/>
              <w:bottom w:w="80" w:type="dxa"/>
              <w:end w:w="100" w:type="dxa"/>
            </w:tcMar>
          </w:tcPr>
          <w:p>
            <w:r>
              <w:t>Lifestyle marketing, project imagery, launch campaigns and buyer engagement</w:t>
            </w:r>
          </w:p>
        </w:tc>
      </w:tr>
      <w:tr>
        <w:tc>
          <w:tcPr>
            <w:tcW w:type="dxa" w:w="3216"/>
            <w:tcMar>
              <w:top w:w="80" w:type="dxa"/>
              <w:start w:w="100" w:type="dxa"/>
              <w:bottom w:w="80" w:type="dxa"/>
              <w:end w:w="100" w:type="dxa"/>
            </w:tcMar>
          </w:tcPr>
          <w:p>
            <w:r>
              <w:t>YouTube</w:t>
            </w:r>
          </w:p>
        </w:tc>
        <w:tc>
          <w:tcPr>
            <w:tcW w:type="dxa" w:w="3216"/>
            <w:tcMar>
              <w:top w:w="80" w:type="dxa"/>
              <w:start w:w="100" w:type="dxa"/>
              <w:bottom w:w="80" w:type="dxa"/>
              <w:end w:w="100" w:type="dxa"/>
            </w:tcMar>
          </w:tcPr>
          <w:p>
            <w:r>
              <w:t>Aurelia Developments Official</w:t>
            </w:r>
          </w:p>
        </w:tc>
        <w:tc>
          <w:tcPr>
            <w:tcW w:type="dxa" w:w="3216"/>
            <w:tcMar>
              <w:top w:w="80" w:type="dxa"/>
              <w:start w:w="100" w:type="dxa"/>
              <w:bottom w:w="80" w:type="dxa"/>
              <w:end w:w="100" w:type="dxa"/>
            </w:tcMar>
          </w:tcPr>
          <w:p>
            <w:r>
              <w:t>Project films, investor animations, construction progress, branded residence storytelling</w:t>
            </w:r>
          </w:p>
        </w:tc>
      </w:tr>
      <w:tr>
        <w:tc>
          <w:tcPr>
            <w:tcW w:type="dxa" w:w="3216"/>
            <w:tcMar>
              <w:top w:w="80" w:type="dxa"/>
              <w:start w:w="100" w:type="dxa"/>
              <w:bottom w:w="80" w:type="dxa"/>
              <w:end w:w="100" w:type="dxa"/>
            </w:tcMar>
          </w:tcPr>
          <w:p>
            <w:r>
              <w:t>X / Twitter</w:t>
            </w:r>
          </w:p>
        </w:tc>
        <w:tc>
          <w:tcPr>
            <w:tcW w:type="dxa" w:w="3216"/>
            <w:tcMar>
              <w:top w:w="80" w:type="dxa"/>
              <w:start w:w="100" w:type="dxa"/>
              <w:bottom w:w="80" w:type="dxa"/>
              <w:end w:w="100" w:type="dxa"/>
            </w:tcMar>
          </w:tcPr>
          <w:p>
            <w:r>
              <w:t>@AureliaDevelops</w:t>
            </w:r>
          </w:p>
        </w:tc>
        <w:tc>
          <w:tcPr>
            <w:tcW w:type="dxa" w:w="3216"/>
            <w:tcMar>
              <w:top w:w="80" w:type="dxa"/>
              <w:start w:w="100" w:type="dxa"/>
              <w:bottom w:w="80" w:type="dxa"/>
              <w:end w:w="100" w:type="dxa"/>
            </w:tcMar>
          </w:tcPr>
          <w:p>
            <w:r>
              <w:t>Market commentary, launch snippets, corporate updates and media amplification</w:t>
            </w:r>
          </w:p>
        </w:tc>
      </w:tr>
      <w:tr>
        <w:tc>
          <w:tcPr>
            <w:tcW w:type="dxa" w:w="3216"/>
            <w:tcMar>
              <w:top w:w="80" w:type="dxa"/>
              <w:start w:w="100" w:type="dxa"/>
              <w:bottom w:w="80" w:type="dxa"/>
              <w:end w:w="100" w:type="dxa"/>
            </w:tcMar>
          </w:tcPr>
          <w:p>
            <w:r>
              <w:t>Facebook</w:t>
            </w:r>
          </w:p>
        </w:tc>
        <w:tc>
          <w:tcPr>
            <w:tcW w:type="dxa" w:w="3216"/>
            <w:tcMar>
              <w:top w:w="80" w:type="dxa"/>
              <w:start w:w="100" w:type="dxa"/>
              <w:bottom w:w="80" w:type="dxa"/>
              <w:end w:w="100" w:type="dxa"/>
            </w:tcMar>
          </w:tcPr>
          <w:p>
            <w:r>
              <w:t>Aurelia Developments</w:t>
            </w:r>
          </w:p>
        </w:tc>
        <w:tc>
          <w:tcPr>
            <w:tcW w:type="dxa" w:w="3216"/>
            <w:tcMar>
              <w:top w:w="80" w:type="dxa"/>
              <w:start w:w="100" w:type="dxa"/>
              <w:bottom w:w="80" w:type="dxa"/>
              <w:end w:w="100" w:type="dxa"/>
            </w:tcMar>
          </w:tcPr>
          <w:p>
            <w:r>
              <w:t>Secondary marketing channel for regional buyer audiences</w:t>
            </w:r>
          </w:p>
        </w:tc>
      </w:tr>
      <w:tr>
        <w:tc>
          <w:tcPr>
            <w:tcW w:type="dxa" w:w="3216"/>
            <w:tcMar>
              <w:top w:w="80" w:type="dxa"/>
              <w:start w:w="100" w:type="dxa"/>
              <w:bottom w:w="80" w:type="dxa"/>
              <w:end w:w="100" w:type="dxa"/>
            </w:tcMar>
          </w:tcPr>
          <w:p>
            <w:r>
              <w:t>TikTok</w:t>
            </w:r>
          </w:p>
        </w:tc>
        <w:tc>
          <w:tcPr>
            <w:tcW w:type="dxa" w:w="3216"/>
            <w:tcMar>
              <w:top w:w="80" w:type="dxa"/>
              <w:start w:w="100" w:type="dxa"/>
              <w:bottom w:w="80" w:type="dxa"/>
              <w:end w:w="100" w:type="dxa"/>
            </w:tcMar>
          </w:tcPr>
          <w:p>
            <w:r>
              <w:t>@aurelia.living</w:t>
            </w:r>
          </w:p>
        </w:tc>
        <w:tc>
          <w:tcPr>
            <w:tcW w:type="dxa" w:w="3216"/>
            <w:tcMar>
              <w:top w:w="80" w:type="dxa"/>
              <w:start w:w="100" w:type="dxa"/>
              <w:bottom w:w="80" w:type="dxa"/>
              <w:end w:w="100" w:type="dxa"/>
            </w:tcMar>
          </w:tcPr>
          <w:p>
            <w:r>
              <w:t>Short-form lifestyle and design content for younger investor and buyer segments</w:t>
            </w:r>
          </w:p>
        </w:tc>
      </w:tr>
    </w:tbl>
    <w:p>
      <w:r>
        <w:t>The digital channel portfolio is commercially integrated with project marketing and sales funnel activity. As a result, domain and social asset management should be coordinated with legal, IT security, and brand teams. Useful diligence materials include registrar screenshots, renewal reports, MFA policy records, social account ownership logs, and agency access matrices.</w:t>
      </w:r>
    </w:p>
    <w:p>
      <w:r>
        <w:t>Particular care should be taken with project-specific microsites and campaign landing pages, which are often built by outside agencies. Ownership of underlying code, analytics integrations, lead databases, and domain administration should be confirmed at the close of each major campaign or project launch.</w:t>
      </w:r>
    </w:p>
    <w:p>
      <w:pPr>
        <w:pStyle w:val="Heading1"/>
      </w:pPr>
      <w:r>
        <w:t>Overall Legal Observations and Diligence Priorities</w:t>
      </w:r>
    </w:p>
    <w:p>
      <w:r>
        <w:t>Overall, Aurelia presents an IP profile that is more sophisticated than that of a conventional real estate developer. Its differentiating assets are concentrated in brand architecture, internally developed workflow software, data-driven analytics tools, operational know-how, and the digital infrastructure used to support development planning and project sales. This is positive from an investor perspective because it suggests that value creation is not tied solely to land inventory and project execution, but also to repeatable systems that can improve margins, speed, and control across the portfolio.</w:t>
      </w:r>
    </w:p>
    <w:p>
      <w:r>
        <w:t>The principal diligence priorities are: (i) complete validation of chain of title for internally developed software and contractor-created deliverables; (ii) review of all hospitality and third-party brand license agreements for termination and control issues; (iii) confirmation that legacy visualization, marketing, and campaign content is covered by sufficient ownership or license rights; (iv) audit of patent and trademark maintenance deadlines; and (v) testing of operational trade secret controls, particularly around spreadsheets, tender intelligence, and source repositories.</w:t>
      </w:r>
    </w:p>
    <w:p>
      <w:r>
        <w:t>Assuming the company can produce the underlying assignment agreements, license schedules, and renewal records described in this report, the overall IP posture appears commercially useful and legally manageable. No single item identified in this memorandum appears inherently fatal to an investment, but gaps in documentation for early-stage software development, project microsite ownership, or consultant-created materials could materially affect diligence comfort and should be cleaned up before closing.</w:t>
      </w:r>
    </w:p>
    <w:p>
      <w:pPr>
        <w:pStyle w:val="Heading1"/>
      </w:pPr>
      <w:r>
        <w:t>Appendix A — Recommended Diligence Request List</w:t>
      </w:r>
    </w:p>
    <w:p>
      <w:pPr>
        <w:pStyle w:val="ListBullet"/>
        <w:spacing w:after="60"/>
      </w:pPr>
      <w:r>
        <w:t>Complete patent, application, and trademark register with filing receipts, renewal deadlines, opposition history, and assignment records.</w:t>
      </w:r>
    </w:p>
    <w:p>
      <w:pPr>
        <w:pStyle w:val="ListBullet"/>
        <w:spacing w:after="60"/>
      </w:pPr>
      <w:r>
        <w:t>Executed employment agreements and invention assignment agreements for all software, analytics, design technology, and product personnel.</w:t>
      </w:r>
    </w:p>
    <w:p>
      <w:pPr>
        <w:pStyle w:val="ListBullet"/>
        <w:spacing w:after="60"/>
      </w:pPr>
      <w:r>
        <w:t>Executed contractor MSAs, SOWs, and IP assignment or confirmation deeds for all software developers, UI/UX consultants, data scientists, visualization studios, and external product teams.</w:t>
      </w:r>
    </w:p>
    <w:p>
      <w:pPr>
        <w:pStyle w:val="ListBullet"/>
        <w:spacing w:after="60"/>
      </w:pPr>
      <w:r>
        <w:t>Material software license agreements, source code escrow terms, and SaaS subscription schedules for systems integrated into sales, pricing, procurement, and project management workflows.</w:t>
      </w:r>
    </w:p>
    <w:p>
      <w:pPr>
        <w:pStyle w:val="ListBullet"/>
        <w:spacing w:after="60"/>
      </w:pPr>
      <w:r>
        <w:t>Hospitality brand and co-branding license agreements, including approval rights, quality control provisions, and termination clauses.</w:t>
      </w:r>
    </w:p>
    <w:p>
      <w:pPr>
        <w:pStyle w:val="ListBullet"/>
        <w:spacing w:after="60"/>
      </w:pPr>
      <w:r>
        <w:t>Trademark usage guidelines, brand books, registrar access logs, renewal schedules, and social account ownership records.</w:t>
      </w:r>
    </w:p>
    <w:p>
      <w:pPr>
        <w:pStyle w:val="ListBullet"/>
        <w:spacing w:after="60"/>
      </w:pPr>
      <w:r>
        <w:t>Confidentiality policy, information classification policy, access-control matrix, and evidence of employee training on confidential information handling.</w:t>
      </w:r>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t xml:space="preserve">Confidential — Prepared for investor legal diligence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6472"/>
        <w:sz w:val="17"/>
      </w:rPr>
      <w:t>Intellectual Property Diligence Report | Aurelia Developments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64A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