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00" w:line="240" w:lineRule="auto"/>
        <w:jc w:val="center"/>
      </w:pPr>
      <w:r>
        <w:rPr>
          <w:rFonts w:ascii="Arial" w:hAnsi="Arial"/>
          <w:b/>
          <w:i w:val="0"/>
          <w:color w:val="17365D"/>
          <w:sz w:val="30"/>
        </w:rPr>
        <w:t>LIST OF JURISDICTIONS WHERE AURELIA DEVELOPMENTS LLC IS QUALIFIED TO DO BUSINESS</w:t>
      </w:r>
    </w:p>
    <w:p>
      <w:pPr>
        <w:spacing w:after="80" w:before="0" w:line="240" w:lineRule="auto"/>
        <w:jc w:val="center"/>
      </w:pPr>
      <w:r>
        <w:rPr>
          <w:rFonts w:ascii="Arial" w:hAnsi="Arial"/>
          <w:b/>
          <w:i w:val="0"/>
          <w:sz w:val="24"/>
        </w:rPr>
        <w:t>Corporate Compliance Record</w:t>
      </w:r>
    </w:p>
    <w:p>
      <w:pPr>
        <w:spacing w:after="40" w:before="0" w:line="240" w:lineRule="auto"/>
        <w:jc w:val="center"/>
      </w:pPr>
      <w:r>
        <w:rPr>
          <w:rFonts w:ascii="Arial" w:hAnsi="Arial"/>
          <w:b w:val="0"/>
          <w:i/>
          <w:color w:val="444444"/>
          <w:sz w:val="21"/>
        </w:rPr>
        <w:t>Prepared for Private Equity Legal and Corporate Diligence</w:t>
      </w:r>
    </w:p>
    <w:p/>
    <w:tbl>
      <w:tblPr>
        <w:tblStyle w:val="TableGrid"/>
        <w:tblW w:type="auto" w:w="0"/>
        <w:jc w:val="center"/>
        <w:tblLook w:firstColumn="1" w:firstRow="1" w:lastColumn="0" w:lastRow="0" w:noHBand="0" w:noVBand="1" w:val="04A0"/>
      </w:tblPr>
      <w:tblGrid>
        <w:gridCol w:w="4896"/>
        <w:gridCol w:w="4896"/>
      </w:tblGrid>
      <w:tr>
        <w:tc>
          <w:tcPr>
            <w:tcW w:type="dxa" w:w="2835"/>
            <w:vAlign w:val="center"/>
            <w:tcMar>
              <w:top w:w="90" w:type="dxa"/>
              <w:start w:w="120" w:type="dxa"/>
              <w:bottom w:w="90" w:type="dxa"/>
              <w:end w:w="120" w:type="dxa"/>
            </w:tcMar>
            <w:shd w:fill="D9EAF7"/>
          </w:tcPr>
          <w:p>
            <w:pPr>
              <w:spacing w:after="20" w:before="0" w:line="250" w:lineRule="auto"/>
            </w:pPr>
            <w:r>
              <w:rPr>
                <w:rFonts w:ascii="Arial" w:hAnsi="Arial"/>
                <w:b/>
                <w:i w:val="0"/>
                <w:sz w:val="20"/>
              </w:rPr>
              <w:t>Company</w:t>
            </w:r>
          </w:p>
        </w:tc>
        <w:tc>
          <w:tcPr>
            <w:tcW w:type="dxa" w:w="6180"/>
            <w:vAlign w:val="center"/>
            <w:tcMar>
              <w:top w:w="90" w:type="dxa"/>
              <w:start w:w="120" w:type="dxa"/>
              <w:bottom w:w="90" w:type="dxa"/>
              <w:end w:w="120" w:type="dxa"/>
            </w:tcMar>
          </w:tcPr>
          <w:p>
            <w:pPr>
              <w:spacing w:after="20" w:before="0" w:line="250" w:lineRule="auto"/>
            </w:pPr>
            <w:r>
              <w:rPr>
                <w:rFonts w:ascii="Arial" w:hAnsi="Arial"/>
                <w:b w:val="0"/>
                <w:i w:val="0"/>
                <w:sz w:val="20"/>
              </w:rPr>
              <w:t>Aurelia Developments LLC</w:t>
            </w:r>
          </w:p>
        </w:tc>
      </w:tr>
      <w:tr>
        <w:tc>
          <w:tcPr>
            <w:tcW w:type="dxa" w:w="2835"/>
            <w:vAlign w:val="center"/>
            <w:tcMar>
              <w:top w:w="90" w:type="dxa"/>
              <w:start w:w="120" w:type="dxa"/>
              <w:bottom w:w="90" w:type="dxa"/>
              <w:end w:w="120" w:type="dxa"/>
            </w:tcMar>
            <w:shd w:fill="D9EAF7"/>
          </w:tcPr>
          <w:p>
            <w:pPr>
              <w:spacing w:after="20" w:before="0" w:line="250" w:lineRule="auto"/>
            </w:pPr>
            <w:r>
              <w:rPr>
                <w:rFonts w:ascii="Arial" w:hAnsi="Arial"/>
                <w:b/>
                <w:i w:val="0"/>
                <w:sz w:val="20"/>
              </w:rPr>
              <w:t>Head Office</w:t>
            </w:r>
          </w:p>
        </w:tc>
        <w:tc>
          <w:tcPr>
            <w:tcW w:type="dxa" w:w="6180"/>
            <w:vAlign w:val="center"/>
            <w:tcMar>
              <w:top w:w="90" w:type="dxa"/>
              <w:start w:w="120" w:type="dxa"/>
              <w:bottom w:w="90" w:type="dxa"/>
              <w:end w:w="120" w:type="dxa"/>
            </w:tcMar>
          </w:tcPr>
          <w:p>
            <w:pPr>
              <w:spacing w:after="20" w:before="0" w:line="250" w:lineRule="auto"/>
            </w:pPr>
            <w:r>
              <w:rPr>
                <w:rFonts w:ascii="Arial" w:hAnsi="Arial"/>
                <w:b w:val="0"/>
                <w:i w:val="0"/>
                <w:sz w:val="20"/>
              </w:rPr>
              <w:t>Dubai, United Arab Emirates</w:t>
            </w:r>
          </w:p>
        </w:tc>
      </w:tr>
      <w:tr>
        <w:tc>
          <w:tcPr>
            <w:tcW w:type="dxa" w:w="2835"/>
            <w:vAlign w:val="center"/>
            <w:tcMar>
              <w:top w:w="90" w:type="dxa"/>
              <w:start w:w="120" w:type="dxa"/>
              <w:bottom w:w="90" w:type="dxa"/>
              <w:end w:w="120" w:type="dxa"/>
            </w:tcMar>
            <w:shd w:fill="D9EAF7"/>
          </w:tcPr>
          <w:p>
            <w:pPr>
              <w:spacing w:after="20" w:before="0" w:line="250" w:lineRule="auto"/>
            </w:pPr>
            <w:r>
              <w:rPr>
                <w:rFonts w:ascii="Arial" w:hAnsi="Arial"/>
                <w:b/>
                <w:i w:val="0"/>
                <w:sz w:val="20"/>
              </w:rPr>
              <w:t>Primary Business</w:t>
            </w:r>
          </w:p>
        </w:tc>
        <w:tc>
          <w:tcPr>
            <w:tcW w:type="dxa" w:w="6180"/>
            <w:vAlign w:val="center"/>
            <w:tcMar>
              <w:top w:w="90" w:type="dxa"/>
              <w:start w:w="120" w:type="dxa"/>
              <w:bottom w:w="90" w:type="dxa"/>
              <w:end w:w="120" w:type="dxa"/>
            </w:tcMar>
          </w:tcPr>
          <w:p>
            <w:pPr>
              <w:spacing w:after="20" w:before="0" w:line="250" w:lineRule="auto"/>
            </w:pPr>
            <w:r>
              <w:rPr>
                <w:rFonts w:ascii="Arial" w:hAnsi="Arial"/>
                <w:b w:val="0"/>
                <w:i w:val="0"/>
                <w:sz w:val="20"/>
              </w:rPr>
              <w:t>Luxury real estate development, branded residences, waterfront villas, and mixed-use development</w:t>
            </w:r>
          </w:p>
        </w:tc>
      </w:tr>
      <w:tr>
        <w:tc>
          <w:tcPr>
            <w:tcW w:type="dxa" w:w="2835"/>
            <w:vAlign w:val="center"/>
            <w:tcMar>
              <w:top w:w="90" w:type="dxa"/>
              <w:start w:w="120" w:type="dxa"/>
              <w:bottom w:w="90" w:type="dxa"/>
              <w:end w:w="120" w:type="dxa"/>
            </w:tcMar>
            <w:shd w:fill="D9EAF7"/>
          </w:tcPr>
          <w:p>
            <w:pPr>
              <w:spacing w:after="20" w:before="0" w:line="250" w:lineRule="auto"/>
            </w:pPr>
            <w:r>
              <w:rPr>
                <w:rFonts w:ascii="Arial" w:hAnsi="Arial"/>
                <w:b/>
                <w:i w:val="0"/>
                <w:sz w:val="20"/>
              </w:rPr>
              <w:t>Purpose of Schedule</w:t>
            </w:r>
          </w:p>
        </w:tc>
        <w:tc>
          <w:tcPr>
            <w:tcW w:type="dxa" w:w="6180"/>
            <w:vAlign w:val="center"/>
            <w:tcMar>
              <w:top w:w="90" w:type="dxa"/>
              <w:start w:w="120" w:type="dxa"/>
              <w:bottom w:w="90" w:type="dxa"/>
              <w:end w:w="120" w:type="dxa"/>
            </w:tcMar>
          </w:tcPr>
          <w:p>
            <w:pPr>
              <w:spacing w:after="20" w:before="0" w:line="250" w:lineRule="auto"/>
            </w:pPr>
            <w:r>
              <w:rPr>
                <w:rFonts w:ascii="Arial" w:hAnsi="Arial"/>
                <w:b w:val="0"/>
                <w:i w:val="0"/>
                <w:sz w:val="20"/>
              </w:rPr>
              <w:t>To identify the jurisdictions in which the Company or its affiliated entities are incorporated, licensed, registered, or otherwise qualified to conduct development, marketing, investor relations, project management, or partnership activities</w:t>
            </w:r>
          </w:p>
        </w:tc>
      </w:tr>
      <w:tr>
        <w:tc>
          <w:tcPr>
            <w:tcW w:type="dxa" w:w="2835"/>
            <w:vAlign w:val="center"/>
            <w:tcMar>
              <w:top w:w="90" w:type="dxa"/>
              <w:start w:w="120" w:type="dxa"/>
              <w:bottom w:w="90" w:type="dxa"/>
              <w:end w:w="120" w:type="dxa"/>
            </w:tcMar>
            <w:shd w:fill="D9EAF7"/>
          </w:tcPr>
          <w:p>
            <w:pPr>
              <w:spacing w:after="20" w:before="0" w:line="250" w:lineRule="auto"/>
            </w:pPr>
            <w:r>
              <w:rPr>
                <w:rFonts w:ascii="Arial" w:hAnsi="Arial"/>
                <w:b/>
                <w:i w:val="0"/>
                <w:sz w:val="20"/>
              </w:rPr>
              <w:t>Diligence Status</w:t>
            </w:r>
          </w:p>
        </w:tc>
        <w:tc>
          <w:tcPr>
            <w:tcW w:type="dxa" w:w="6180"/>
            <w:vAlign w:val="center"/>
            <w:tcMar>
              <w:top w:w="90" w:type="dxa"/>
              <w:start w:w="120" w:type="dxa"/>
              <w:bottom w:w="90" w:type="dxa"/>
              <w:end w:w="120" w:type="dxa"/>
            </w:tcMar>
          </w:tcPr>
          <w:p>
            <w:pPr>
              <w:spacing w:after="20" w:before="0" w:line="250" w:lineRule="auto"/>
            </w:pPr>
            <w:r>
              <w:rPr>
                <w:rFonts w:ascii="Arial" w:hAnsi="Arial"/>
                <w:b w:val="0"/>
                <w:i w:val="0"/>
                <w:sz w:val="20"/>
              </w:rPr>
              <w:t>Based on management records reviewed for this schedule, all material registrations listed herein are current and no material non-compliance matters have been identified</w:t>
            </w:r>
          </w:p>
        </w:tc>
      </w:tr>
    </w:tbl>
    <w:p/>
    <w:p>
      <w:pPr>
        <w:spacing w:after="80" w:before="160" w:line="240" w:lineRule="auto"/>
      </w:pPr>
      <w:r>
        <w:rPr>
          <w:rFonts w:ascii="Arial" w:hAnsi="Arial"/>
          <w:b/>
          <w:i w:val="0"/>
          <w:color w:val="1F4E79"/>
          <w:sz w:val="25"/>
        </w:rPr>
        <w:t>1. OVERVIEW</w:t>
      </w:r>
    </w:p>
    <w:p>
      <w:pPr>
        <w:spacing w:after="100" w:before="0" w:line="269" w:lineRule="auto"/>
      </w:pPr>
      <w:r>
        <w:rPr>
          <w:rFonts w:ascii="Arial" w:hAnsi="Arial"/>
          <w:b w:val="0"/>
          <w:i w:val="0"/>
          <w:sz w:val="20"/>
        </w:rPr>
        <w:t>This schedule has been prepared for the purpose of corporate legal diligence in connection with a proposed private equity investment in Aurelia Developments LLC (the “Company”). In the course of legal diligence, it is customary to confirm the jurisdictions in which a target group is incorporated, licensed, registered, or otherwise qualified to do business, particularly where the target derives revenue from regulated development activities, maintains investor-facing operations, or conducts cross-border marketing and partnership activities.</w:t>
      </w:r>
    </w:p>
    <w:p>
      <w:pPr>
        <w:spacing w:after="100" w:before="0" w:line="269" w:lineRule="auto"/>
      </w:pPr>
      <w:r>
        <w:rPr>
          <w:rFonts w:ascii="Arial" w:hAnsi="Arial"/>
          <w:b w:val="0"/>
          <w:i w:val="0"/>
          <w:sz w:val="20"/>
        </w:rPr>
        <w:t>For a Dubai-headquartered luxury real estate developer, jurisdictional qualification is material for several reasons. First, real estate development, escrow administration, off-plan sales, and project marketing are subject to local licensing and regulatory oversight in the United Arab Emirates, including by the Dubai Department of Economy and Tourism, the Dubai Land Department, and the Real Estate Regulatory Agency (“RERA”). Second, international investor outreach activities may require separate branch, representative office, marketing, or commercial registrations in the jurisdictions from which the Company sources capital or prospective buyers. Third, project-specific vehicles may be established to ring-fence land ownership, development liabilities, construction contracts, and financing arrangements for particular projects.</w:t>
      </w:r>
    </w:p>
    <w:p>
      <w:pPr>
        <w:spacing w:after="100" w:before="0" w:line="269" w:lineRule="auto"/>
      </w:pPr>
      <w:r>
        <w:rPr>
          <w:rFonts w:ascii="Arial" w:hAnsi="Arial"/>
          <w:b w:val="0"/>
          <w:i w:val="0"/>
          <w:sz w:val="20"/>
        </w:rPr>
        <w:t>As of the date of this record, the Company’s core development activities are centered in Dubai, with supplemental registrations and operating authorizations maintained in select jurisdictions to support domestic marketing, international sales coverage, investor relations, hospitality partnership development, and project-level structuring. The schedule below identifies the principal jurisdictions that are material to the Company’s current operating footprint.</w:t>
      </w:r>
    </w:p>
    <w:p>
      <w:pPr>
        <w:spacing w:after="80" w:before="160" w:line="240" w:lineRule="auto"/>
      </w:pPr>
      <w:r>
        <w:rPr>
          <w:rFonts w:ascii="Arial" w:hAnsi="Arial"/>
          <w:b/>
          <w:i w:val="0"/>
          <w:color w:val="1F4E79"/>
          <w:sz w:val="25"/>
        </w:rPr>
        <w:t>2. SCOPE OF REVIEW AND BASIS OF SCHEDULE</w:t>
      </w:r>
    </w:p>
    <w:p>
      <w:pPr>
        <w:spacing w:after="100" w:before="0" w:line="269" w:lineRule="auto"/>
      </w:pPr>
      <w:r>
        <w:rPr>
          <w:rFonts w:ascii="Arial" w:hAnsi="Arial"/>
          <w:b w:val="0"/>
          <w:i w:val="0"/>
          <w:sz w:val="20"/>
        </w:rPr>
        <w:t>This document is intended to function as a diligence support schedule rather than a legal opinion. The information presented below reflects a compilation of the Company’s corporate records, license summaries, internal compliance schedules, and management representations made available for review. The schedule is designed to allow a diligence reviewer to determine, at a glance, whether the Company’s corporate footprint is consistent with its business model and whether there are any obvious gaps between the jurisdictions in which it is actively marketing or structuring business and those in which it appears to hold the requisite registrations.</w:t>
      </w:r>
    </w:p>
    <w:p>
      <w:pPr>
        <w:pStyle w:val="ListBullet"/>
        <w:spacing w:after="40" w:before="0" w:line="259" w:lineRule="auto"/>
      </w:pPr>
      <w:r>
        <w:rPr>
          <w:rFonts w:ascii="Arial" w:hAnsi="Arial"/>
          <w:b w:val="0"/>
          <w:i w:val="0"/>
          <w:sz w:val="20"/>
        </w:rPr>
        <w:t>Primary development and project management activities have been conducted through UAE-incorporated entities, with Dubai remaining the central jurisdiction for land ownership, project approvals, and off-plan development activity.</w:t>
      </w:r>
    </w:p>
    <w:p>
      <w:pPr>
        <w:pStyle w:val="ListBullet"/>
        <w:spacing w:after="40" w:before="0" w:line="259" w:lineRule="auto"/>
      </w:pPr>
      <w:r>
        <w:rPr>
          <w:rFonts w:ascii="Arial" w:hAnsi="Arial"/>
          <w:b w:val="0"/>
          <w:i w:val="0"/>
          <w:sz w:val="20"/>
        </w:rPr>
        <w:t>International jurisdictions have been used primarily for investor relations, referral marketing, cross-border sales support, and strategic partnership development rather than for direct real property development.</w:t>
      </w:r>
    </w:p>
    <w:p>
      <w:pPr>
        <w:pStyle w:val="ListBullet"/>
        <w:spacing w:after="40" w:before="0" w:line="259" w:lineRule="auto"/>
      </w:pPr>
      <w:r>
        <w:rPr>
          <w:rFonts w:ascii="Arial" w:hAnsi="Arial"/>
          <w:b w:val="0"/>
          <w:i w:val="0"/>
          <w:sz w:val="20"/>
        </w:rPr>
        <w:t>Project-specific SPVs are used on a selective basis in Dubai to isolate individual developments and align financing, escrow, and construction contracting at the project level.</w:t>
      </w:r>
    </w:p>
    <w:p>
      <w:pPr>
        <w:pStyle w:val="ListBullet"/>
        <w:spacing w:after="40" w:before="0" w:line="259" w:lineRule="auto"/>
      </w:pPr>
      <w:r>
        <w:rPr>
          <w:rFonts w:ascii="Arial" w:hAnsi="Arial"/>
          <w:b w:val="0"/>
          <w:i w:val="0"/>
          <w:sz w:val="20"/>
        </w:rPr>
        <w:t>No jurisdiction reviewed in connection with this schedule has been identified as presenting a material current-status lapse, suspended license, or unresolved governmental strike-off action.</w:t>
      </w:r>
    </w:p>
    <w:p>
      <w:pPr>
        <w:spacing w:after="80" w:before="160" w:line="240" w:lineRule="auto"/>
      </w:pPr>
      <w:r>
        <w:rPr>
          <w:rFonts w:ascii="Arial" w:hAnsi="Arial"/>
          <w:b/>
          <w:i w:val="0"/>
          <w:color w:val="1F4E79"/>
          <w:sz w:val="25"/>
        </w:rPr>
        <w:t>3. JURISDICTIONS OF INCORPORATION, LICENSING, REGISTRATION, AND QUALIFICATION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587"/>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Jurisdiction</w:t>
            </w:r>
          </w:p>
        </w:tc>
        <w:tc>
          <w:tcPr>
            <w:tcW w:type="dxa" w:w="2268"/>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Entity Name</w:t>
            </w:r>
          </w:p>
        </w:tc>
        <w:tc>
          <w:tcPr>
            <w:tcW w:type="dxa" w:w="2381"/>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Type of Authorization</w:t>
            </w:r>
          </w:p>
        </w:tc>
        <w:tc>
          <w:tcPr>
            <w:tcW w:type="dxa" w:w="2268"/>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Regulatory Authority</w:t>
            </w:r>
          </w:p>
        </w:tc>
        <w:tc>
          <w:tcPr>
            <w:tcW w:type="dxa" w:w="2948"/>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Business Activity</w:t>
            </w:r>
          </w:p>
        </w:tc>
        <w:tc>
          <w:tcPr>
            <w:tcW w:type="dxa" w:w="1361"/>
            <w:vAlign w:val="center"/>
            <w:tcMar>
              <w:top w:w="100" w:type="dxa"/>
              <w:start w:w="120" w:type="dxa"/>
              <w:bottom w:w="100" w:type="dxa"/>
              <w:end w:w="120" w:type="dxa"/>
            </w:tcMar>
            <w:shd w:fill="1F4E79"/>
          </w:tcPr>
          <w:p>
            <w:pPr>
              <w:spacing w:after="0" w:before="0" w:line="240" w:lineRule="auto"/>
              <w:jc w:val="center"/>
            </w:pPr>
            <w:r>
              <w:rPr>
                <w:rFonts w:ascii="Arial" w:hAnsi="Arial"/>
                <w:b/>
                <w:i w:val="0"/>
                <w:color w:val="FFFFFF"/>
                <w:sz w:val="19"/>
              </w:rPr>
              <w:t>Status</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Dubai, United Arab Emirates</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Developments LLC</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Commercial registration; real estate development license; developer registration</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Dubai Department of Economy and Tourism; Dubai Land Department; RERA</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Headquarters entity; principal development activities; off-plan sales; development management; branded residences; mixed-use projects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Dubai, United Arab Emirates</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Palm Development LLC</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Project SPV registration; project-level development authorization</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Dubai Department of Economy and Tourism; Dubai Land Department; RERA</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Project-specific SPV for Palm Jumeirah branded residence development, including contracting, escrow coordination, and project finance administration</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Dubai, United Arab Emirates</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Marina Residences LLC</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Project SPV registration; project-level development authorization</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Dubai Department of Economy and Tourism; Dubai Land Department; RERA</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Project vehicle for Dubai Marina high-rise luxury residential tower, including unit sale administration and contractor engagement</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Abu Dhabi, United Arab Emirates</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Developments – Abu Dhabi Representative Office</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Domestic marketing authorization / commercial registration</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Abu Dhabi Department of Economic Development; Department of Municipalities and Transport</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Marketing of Dubai residential developments to UAE-based investors, broker engagement, and investor presentations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United Kingdom</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International Sales Ltd</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Private limited company registration; overseas sales office authorization</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Companies House</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Investor relations, sales support, roadshow coordination, and referral arrangements with UK-based international property brokers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Singapore</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Asia Pte. Ltd.</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Private company registration; international representative and investor relations platform</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Accounting and Corporate Regulatory Authority (ACRA)</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Coverage of Asian family offices, private wealth channels, institutional introductions, and sales-event coordination for Dubai projects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Kingdom of Saudi Arabia</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Development Partnership Company</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Foreign investment / commercial registration for partnership and business development activities</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Ministry of Investment of Saudi Arabia</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Strategic partnership sourcing, relationship development with regional investors, and non-project-specific business development activities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r>
        <w:tc>
          <w:tcPr>
            <w:tcW w:type="dxa" w:w="1587"/>
            <w:vAlign w:val="center"/>
            <w:tcMar>
              <w:top w:w="90" w:type="dxa"/>
              <w:start w:w="115" w:type="dxa"/>
              <w:bottom w:w="90" w:type="dxa"/>
              <w:end w:w="115" w:type="dxa"/>
            </w:tcMar>
          </w:tcPr>
          <w:p>
            <w:pPr>
              <w:spacing w:after="20" w:before="0" w:line="250" w:lineRule="auto"/>
            </w:pPr>
            <w:r>
              <w:rPr>
                <w:rFonts w:ascii="Arial" w:hAnsi="Arial"/>
                <w:b w:val="0"/>
                <w:i w:val="0"/>
                <w:sz w:val="19"/>
              </w:rPr>
              <w:t>Qatar</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Aurelia Gulf Marketing Consultancy W.L.L. (commercial representative arrangement)</w:t>
            </w:r>
          </w:p>
        </w:tc>
        <w:tc>
          <w:tcPr>
            <w:tcW w:type="dxa" w:w="2381"/>
            <w:vAlign w:val="center"/>
            <w:tcMar>
              <w:top w:w="90" w:type="dxa"/>
              <w:start w:w="115" w:type="dxa"/>
              <w:bottom w:w="90" w:type="dxa"/>
              <w:end w:w="115" w:type="dxa"/>
            </w:tcMar>
          </w:tcPr>
          <w:p>
            <w:pPr>
              <w:spacing w:after="20" w:before="0" w:line="250" w:lineRule="auto"/>
            </w:pPr>
            <w:r>
              <w:rPr>
                <w:rFonts w:ascii="Arial" w:hAnsi="Arial"/>
                <w:b w:val="0"/>
                <w:i w:val="0"/>
                <w:sz w:val="19"/>
              </w:rPr>
              <w:t>Commercial registration / marketing support arrangement</w:t>
            </w:r>
          </w:p>
        </w:tc>
        <w:tc>
          <w:tcPr>
            <w:tcW w:type="dxa" w:w="2268"/>
            <w:vAlign w:val="center"/>
            <w:tcMar>
              <w:top w:w="90" w:type="dxa"/>
              <w:start w:w="115" w:type="dxa"/>
              <w:bottom w:w="90" w:type="dxa"/>
              <w:end w:w="115" w:type="dxa"/>
            </w:tcMar>
          </w:tcPr>
          <w:p>
            <w:pPr>
              <w:spacing w:after="20" w:before="0" w:line="250" w:lineRule="auto"/>
            </w:pPr>
            <w:r>
              <w:rPr>
                <w:rFonts w:ascii="Arial" w:hAnsi="Arial"/>
                <w:b w:val="0"/>
                <w:i w:val="0"/>
                <w:sz w:val="19"/>
              </w:rPr>
              <w:t>Ministry of Commerce and Industry</w:t>
            </w:r>
          </w:p>
        </w:tc>
        <w:tc>
          <w:tcPr>
            <w:tcW w:type="dxa" w:w="2948"/>
            <w:vAlign w:val="center"/>
            <w:tcMar>
              <w:top w:w="90" w:type="dxa"/>
              <w:start w:w="115" w:type="dxa"/>
              <w:bottom w:w="90" w:type="dxa"/>
              <w:end w:w="115" w:type="dxa"/>
            </w:tcMar>
          </w:tcPr>
          <w:p>
            <w:pPr>
              <w:spacing w:after="20" w:before="0" w:line="250" w:lineRule="auto"/>
            </w:pPr>
            <w:r>
              <w:rPr>
                <w:rFonts w:ascii="Arial" w:hAnsi="Arial"/>
                <w:b w:val="0"/>
                <w:i w:val="0"/>
                <w:sz w:val="19"/>
              </w:rPr>
              <w:t>Marketing support and investor outreach for GCC-based high-net-worth buyers and private investment groups</w:t>
            </w:r>
          </w:p>
        </w:tc>
        <w:tc>
          <w:tcPr>
            <w:tcW w:type="dxa" w:w="1361"/>
            <w:vAlign w:val="center"/>
            <w:tcMar>
              <w:top w:w="90" w:type="dxa"/>
              <w:start w:w="115" w:type="dxa"/>
              <w:bottom w:w="90" w:type="dxa"/>
              <w:end w:w="115" w:type="dxa"/>
            </w:tcMar>
          </w:tcPr>
          <w:p>
            <w:pPr>
              <w:spacing w:after="20" w:before="0" w:line="250" w:lineRule="auto"/>
              <w:jc w:val="center"/>
            </w:pPr>
            <w:r>
              <w:rPr>
                <w:rFonts w:ascii="Arial" w:hAnsi="Arial"/>
                <w:b w:val="0"/>
                <w:i w:val="0"/>
                <w:sz w:val="19"/>
              </w:rPr>
              <w:t>Active / Good standing</w:t>
            </w:r>
          </w:p>
        </w:tc>
      </w:tr>
    </w:tbl>
    <w:p/>
    <w:p>
      <w:pPr>
        <w:spacing w:after="100" w:before="0" w:line="269" w:lineRule="auto"/>
      </w:pPr>
      <w:r>
        <w:rPr>
          <w:rFonts w:ascii="Arial" w:hAnsi="Arial"/>
          <w:b w:val="0"/>
          <w:i w:val="0"/>
          <w:sz w:val="20"/>
        </w:rPr>
        <w:t>The foregoing table reflects the jurisdictions considered material to the Company’s current business model. Dubai remains the only jurisdiction in which the Group undertakes direct development of owned or controlled real estate assets. The remaining jurisdictions are used to support the Group’s capital formation, buyer origination, investor coverage, and partnership sourcing strategy.</w:t>
      </w:r>
    </w:p>
    <w:p>
      <w:pPr>
        <w:spacing w:after="80" w:before="160" w:line="240" w:lineRule="auto"/>
      </w:pPr>
      <w:r>
        <w:rPr>
          <w:rFonts w:ascii="Arial" w:hAnsi="Arial"/>
          <w:b/>
          <w:i w:val="0"/>
          <w:color w:val="1F4E79"/>
          <w:sz w:val="25"/>
        </w:rPr>
        <w:t>4. DESCRIPTION OF PRINCIPAL JURISDICTIONS</w:t>
      </w:r>
    </w:p>
    <w:p>
      <w:pPr>
        <w:spacing w:after="80" w:before="80" w:line="240" w:lineRule="auto"/>
      </w:pPr>
      <w:r>
        <w:rPr>
          <w:rFonts w:ascii="Arial" w:hAnsi="Arial"/>
          <w:b/>
          <w:i w:val="0"/>
          <w:color w:val="1F1F1F"/>
          <w:sz w:val="23"/>
        </w:rPr>
        <w:t>4.1 Dubai, United Arab Emirates</w:t>
      </w:r>
    </w:p>
    <w:p>
      <w:pPr>
        <w:spacing w:after="100" w:before="0" w:line="269" w:lineRule="auto"/>
      </w:pPr>
      <w:r>
        <w:rPr>
          <w:rFonts w:ascii="Arial" w:hAnsi="Arial"/>
          <w:b w:val="0"/>
          <w:i w:val="0"/>
          <w:sz w:val="20"/>
        </w:rPr>
        <w:t>Dubai constitutes the Company’s principal place of business, place of incorporation, and primary regulatory jurisdiction. The Company’s headquarters, core executive functions, project development teams, and principal commercial operations are all based in Dubai. All six projects currently under development are managed from Dubai, and all material land development rights, unit sale administration, contractor appointments, and development finance arrangements are controlled through Dubai-registered entities.</w:t>
      </w:r>
    </w:p>
    <w:p>
      <w:pPr>
        <w:spacing w:after="100" w:before="0" w:line="269" w:lineRule="auto"/>
      </w:pPr>
      <w:r>
        <w:rPr>
          <w:rFonts w:ascii="Arial" w:hAnsi="Arial"/>
          <w:b w:val="0"/>
          <w:i w:val="0"/>
          <w:sz w:val="20"/>
        </w:rPr>
        <w:t>In practical terms, Dubai qualification is the most critical component of the Company’s compliance profile. The Company’s ability to launch and market off-plan developments, maintain escrow arrangements, contract with construction counterparties, and register developer interests depends upon continuing compliance with Dubai-specific licensing and real estate regulations. For diligence purposes, no material gaps have been identified between the Company’s reported Dubai activities and the nature of the licenses and registrations reflected in the records reviewed.</w:t>
      </w:r>
    </w:p>
    <w:p>
      <w:pPr>
        <w:spacing w:after="80" w:before="80" w:line="240" w:lineRule="auto"/>
      </w:pPr>
      <w:r>
        <w:rPr>
          <w:rFonts w:ascii="Arial" w:hAnsi="Arial"/>
          <w:b/>
          <w:i w:val="0"/>
          <w:color w:val="1F1F1F"/>
          <w:sz w:val="23"/>
        </w:rPr>
        <w:t>4.2 Abu Dhabi, United Arab Emirates</w:t>
      </w:r>
    </w:p>
    <w:p>
      <w:pPr>
        <w:spacing w:after="100" w:before="0" w:line="269" w:lineRule="auto"/>
      </w:pPr>
      <w:r>
        <w:rPr>
          <w:rFonts w:ascii="Arial" w:hAnsi="Arial"/>
          <w:b w:val="0"/>
          <w:i w:val="0"/>
          <w:sz w:val="20"/>
        </w:rPr>
        <w:t>The Company’s presence in Abu Dhabi is limited to domestic marketing and investor coverage activities. Management has indicated that this presence has been used primarily to cultivate UAE-based family offices, sovereign-related private capital channels, and high-net-worth purchasers who invest in premium Dubai residential assets. No direct development or property ownership activity has been identified in Abu Dhabi in connection with this schedule.</w:t>
      </w:r>
    </w:p>
    <w:p>
      <w:pPr>
        <w:spacing w:after="80" w:before="80" w:line="240" w:lineRule="auto"/>
      </w:pPr>
      <w:r>
        <w:rPr>
          <w:rFonts w:ascii="Arial" w:hAnsi="Arial"/>
          <w:b/>
          <w:i w:val="0"/>
          <w:color w:val="1F1F1F"/>
          <w:sz w:val="23"/>
        </w:rPr>
        <w:t>4.3 United Kingdom</w:t>
      </w:r>
    </w:p>
    <w:p>
      <w:pPr>
        <w:spacing w:after="100" w:before="0" w:line="269" w:lineRule="auto"/>
      </w:pPr>
      <w:r>
        <w:rPr>
          <w:rFonts w:ascii="Arial" w:hAnsi="Arial"/>
          <w:b w:val="0"/>
          <w:i w:val="0"/>
          <w:sz w:val="20"/>
        </w:rPr>
        <w:t>The Company’s UK platform serves as a sales and relationship office directed at European investors and broker networks. The office is used for private presentations, sales-event coordination, roadshow support, and referral arrangements with international real estate intermediaries marketing Dubai property to UK-based and European purchasers. The UK operation does not itself hold real property assets and does not appear to conduct regulated development activity; its function is commercial support and investor origination.</w:t>
      </w:r>
    </w:p>
    <w:p>
      <w:pPr>
        <w:spacing w:after="80" w:before="80" w:line="240" w:lineRule="auto"/>
      </w:pPr>
      <w:r>
        <w:rPr>
          <w:rFonts w:ascii="Arial" w:hAnsi="Arial"/>
          <w:b/>
          <w:i w:val="0"/>
          <w:color w:val="1F1F1F"/>
          <w:sz w:val="23"/>
        </w:rPr>
        <w:t>4.4 Singapore</w:t>
      </w:r>
    </w:p>
    <w:p>
      <w:pPr>
        <w:spacing w:after="100" w:before="0" w:line="269" w:lineRule="auto"/>
      </w:pPr>
      <w:r>
        <w:rPr>
          <w:rFonts w:ascii="Arial" w:hAnsi="Arial"/>
          <w:b w:val="0"/>
          <w:i w:val="0"/>
          <w:sz w:val="20"/>
        </w:rPr>
        <w:t>The Singapore platform supports investor relations and business development across Asia, with an emphasis on family offices, private wealth channels, and cross-border capital partners evaluating Dubai luxury residential opportunities. This jurisdiction is commercially consistent with the Company’s stated strategy of attracting offshore high-net-worth capital from Asia and of developing long-term relationships with capital allocators who value Dubai as a safe-haven and globally connected property market.</w:t>
      </w:r>
    </w:p>
    <w:p>
      <w:pPr>
        <w:spacing w:after="80" w:before="80" w:line="240" w:lineRule="auto"/>
      </w:pPr>
      <w:r>
        <w:rPr>
          <w:rFonts w:ascii="Arial" w:hAnsi="Arial"/>
          <w:b/>
          <w:i w:val="0"/>
          <w:color w:val="1F1F1F"/>
          <w:sz w:val="23"/>
        </w:rPr>
        <w:t>4.5 Kingdom of Saudi Arabia and wider GCC marketing footprint</w:t>
      </w:r>
    </w:p>
    <w:p>
      <w:pPr>
        <w:spacing w:after="100" w:before="0" w:line="269" w:lineRule="auto"/>
      </w:pPr>
      <w:r>
        <w:rPr>
          <w:rFonts w:ascii="Arial" w:hAnsi="Arial"/>
          <w:b w:val="0"/>
          <w:i w:val="0"/>
          <w:sz w:val="20"/>
        </w:rPr>
        <w:t>The Company’s presence in Saudi Arabia and the wider Gulf is oriented toward strategic relationship development rather than direct project execution. These registrations are commercially plausible for a Dubai-based developer seeking to cultivate regional capital partners, hospitality counterparties, and investor pools without relocating substantive development operations outside the UAE.</w:t>
      </w:r>
    </w:p>
    <w:p>
      <w:pPr>
        <w:spacing w:after="80" w:before="160" w:line="240" w:lineRule="auto"/>
      </w:pPr>
      <w:r>
        <w:rPr>
          <w:rFonts w:ascii="Arial" w:hAnsi="Arial"/>
          <w:b/>
          <w:i w:val="0"/>
          <w:color w:val="1F4E79"/>
          <w:sz w:val="25"/>
        </w:rPr>
        <w:t>5. SUBSIDIARIES, PROJECT SPVS, AND ENTITY-LEVEL STRUCTURING</w:t>
      </w:r>
    </w:p>
    <w:p>
      <w:pPr>
        <w:spacing w:after="100" w:before="0" w:line="269" w:lineRule="auto"/>
      </w:pPr>
      <w:r>
        <w:rPr>
          <w:rFonts w:ascii="Arial" w:hAnsi="Arial"/>
          <w:b w:val="0"/>
          <w:i w:val="0"/>
          <w:sz w:val="20"/>
        </w:rPr>
        <w:t>In addition to the head office entity, the Company employs special purpose vehicles (“SPVs”) for selected projects where ring-fencing is advantageous from a financing, contractual, or governance perspective. Based on the records provided, SPVs have been used principally in Dubai for marquee developments where separate treatment of land title, construction obligations, pre-sales administration, and escrow account management enhances lender visibility and project control.</w:t>
      </w:r>
    </w:p>
    <w:p>
      <w:pPr>
        <w:spacing w:after="100" w:before="0" w:line="269" w:lineRule="auto"/>
      </w:pPr>
      <w:r>
        <w:rPr>
          <w:rFonts w:ascii="Arial" w:hAnsi="Arial"/>
          <w:b w:val="0"/>
          <w:i w:val="0"/>
          <w:sz w:val="20"/>
        </w:rPr>
        <w:t>The use of project-level SPVs is consistent with common practice in the UAE real estate sector. From a diligence standpoint, such entities are relevant because they frequently sit at the intersection of several regulated activities, including title holding, contractor appointment, sales administration, escrow compliance, and project-level borrowing. A review of the Company’s structure indicates that the most material SPVs are all located in Dubai and are aligned to specific developments rather than used as unrelated offshore holding vehicles.</w:t>
      </w:r>
    </w:p>
    <w:p>
      <w:pPr>
        <w:pStyle w:val="ListBullet"/>
        <w:spacing w:after="40" w:before="0" w:line="259" w:lineRule="auto"/>
      </w:pPr>
      <w:r>
        <w:rPr>
          <w:rFonts w:ascii="Arial" w:hAnsi="Arial"/>
          <w:b w:val="0"/>
          <w:i w:val="0"/>
          <w:sz w:val="20"/>
        </w:rPr>
        <w:t>Aurelia Palm Development LLC – understood to function as the project entity for a Palm Jumeirah branded residence development, including hospitality interface arrangements and project-level financial administration.</w:t>
      </w:r>
    </w:p>
    <w:p>
      <w:pPr>
        <w:pStyle w:val="ListBullet"/>
        <w:spacing w:after="40" w:before="0" w:line="259" w:lineRule="auto"/>
      </w:pPr>
      <w:r>
        <w:rPr>
          <w:rFonts w:ascii="Arial" w:hAnsi="Arial"/>
          <w:b w:val="0"/>
          <w:i w:val="0"/>
          <w:sz w:val="20"/>
        </w:rPr>
        <w:t>Aurelia Marina Residences LLC – understood to function as the vehicle for a high-rise luxury waterfront development in Dubai Marina, including sales contracting and project contractor coordination.</w:t>
      </w:r>
    </w:p>
    <w:p>
      <w:pPr>
        <w:pStyle w:val="ListBullet"/>
        <w:spacing w:after="40" w:before="0" w:line="259" w:lineRule="auto"/>
      </w:pPr>
      <w:r>
        <w:rPr>
          <w:rFonts w:ascii="Arial" w:hAnsi="Arial"/>
          <w:b w:val="0"/>
          <w:i w:val="0"/>
          <w:sz w:val="20"/>
        </w:rPr>
        <w:t>Additional project entities may be used for future phases or mixed-use developments in Downtown Dubai or similar premium districts where financing and contractual segregation are desirable.</w:t>
      </w:r>
    </w:p>
    <w:p>
      <w:pPr>
        <w:spacing w:after="80" w:before="160" w:line="240" w:lineRule="auto"/>
      </w:pPr>
      <w:r>
        <w:rPr>
          <w:rFonts w:ascii="Arial" w:hAnsi="Arial"/>
          <w:b/>
          <w:i w:val="0"/>
          <w:color w:val="1F4E79"/>
          <w:sz w:val="25"/>
        </w:rPr>
        <w:t>6. REGULATORY CONSIDERATIONS RELEVANT TO JURISDICTIONAL QUALIFICATION</w:t>
      </w:r>
    </w:p>
    <w:p>
      <w:pPr>
        <w:spacing w:after="100" w:before="0" w:line="269" w:lineRule="auto"/>
      </w:pPr>
      <w:r>
        <w:rPr>
          <w:rFonts w:ascii="Arial" w:hAnsi="Arial"/>
          <w:b w:val="0"/>
          <w:i w:val="0"/>
          <w:sz w:val="20"/>
        </w:rPr>
        <w:t>From a private equity diligence perspective, jurisdictional qualification is not a purely formal exercise. It is closely linked to revenue recognition, enforceability of contracts, validity of marketing practices, and the company’s ability to continue operating its projects without interruption. In the case of a Dubai real estate developer with an international buyer base, diligence reviewers generally focus on whether the company is carrying on development activities solely in the jurisdictions where it is licensed to do so and whether overseas offices are limited to functions that are legally permissible within those jurisdictions.</w:t>
      </w:r>
    </w:p>
    <w:p>
      <w:pPr>
        <w:pStyle w:val="ListBullet"/>
        <w:spacing w:after="40" w:before="0" w:line="259" w:lineRule="auto"/>
      </w:pPr>
      <w:r>
        <w:rPr>
          <w:rFonts w:ascii="Arial" w:hAnsi="Arial"/>
          <w:b w:val="0"/>
          <w:i w:val="0"/>
          <w:sz w:val="20"/>
        </w:rPr>
        <w:t>Direct development and regulated project execution should remain anchored within the UAE entities holding the applicable development and real estate licenses.</w:t>
      </w:r>
    </w:p>
    <w:p>
      <w:pPr>
        <w:pStyle w:val="ListBullet"/>
        <w:spacing w:after="40" w:before="0" w:line="259" w:lineRule="auto"/>
      </w:pPr>
      <w:r>
        <w:rPr>
          <w:rFonts w:ascii="Arial" w:hAnsi="Arial"/>
          <w:b w:val="0"/>
          <w:i w:val="0"/>
          <w:sz w:val="20"/>
        </w:rPr>
        <w:t>Cross-border offices should be limited to investor relations, referral, representative, and commercial support activities unless local law permits broader regulated conduct.</w:t>
      </w:r>
    </w:p>
    <w:p>
      <w:pPr>
        <w:pStyle w:val="ListBullet"/>
        <w:spacing w:after="40" w:before="0" w:line="259" w:lineRule="auto"/>
      </w:pPr>
      <w:r>
        <w:rPr>
          <w:rFonts w:ascii="Arial" w:hAnsi="Arial"/>
          <w:b w:val="0"/>
          <w:i w:val="0"/>
          <w:sz w:val="20"/>
        </w:rPr>
        <w:t>Project SPVs should be clearly mapped to specific assets or developments, with sufficient clarity as to whether the parent entity or SPV holds the relevant contractual and regulatory obligations.</w:t>
      </w:r>
    </w:p>
    <w:p>
      <w:pPr>
        <w:pStyle w:val="ListBullet"/>
        <w:spacing w:after="40" w:before="0" w:line="259" w:lineRule="auto"/>
      </w:pPr>
      <w:r>
        <w:rPr>
          <w:rFonts w:ascii="Arial" w:hAnsi="Arial"/>
          <w:b w:val="0"/>
          <w:i w:val="0"/>
          <w:sz w:val="20"/>
        </w:rPr>
        <w:t>Any expansion into additional GCC or international jurisdictions should be accompanied by a fresh review of local licensing, broker, marketing, and promotion rules, especially where real estate sales activity is targeted at retail investors.</w:t>
      </w:r>
    </w:p>
    <w:p>
      <w:pPr>
        <w:spacing w:after="80" w:before="160" w:line="240" w:lineRule="auto"/>
      </w:pPr>
      <w:r>
        <w:rPr>
          <w:rFonts w:ascii="Arial" w:hAnsi="Arial"/>
          <w:b/>
          <w:i w:val="0"/>
          <w:color w:val="1F4E79"/>
          <w:sz w:val="25"/>
        </w:rPr>
        <w:t>7. COMPLIANCE STATUS AND GOOD STANDING SUMMARY</w:t>
      </w:r>
    </w:p>
    <w:p>
      <w:pPr>
        <w:spacing w:after="100" w:before="0" w:line="269" w:lineRule="auto"/>
      </w:pPr>
      <w:r>
        <w:rPr>
          <w:rFonts w:ascii="Arial" w:hAnsi="Arial"/>
          <w:b w:val="0"/>
          <w:i w:val="0"/>
          <w:sz w:val="20"/>
        </w:rPr>
        <w:t>Based on the corporate records and internal compliance schedules reviewed in connection with this schedule, Aurelia Developments LLC and the material affiliated entities identified above appear to be duly incorporated, registered, or otherwise qualified in the jurisdictions relevant to their disclosed business activities. All listed registrations are reported by management as current and active, and no material strike-off notices, suspended licenses, adverse regulatory correspondence, or unresolved authority actions were identified in the materials provided.</w:t>
      </w:r>
    </w:p>
    <w:p>
      <w:pPr>
        <w:spacing w:after="100" w:before="0" w:line="269" w:lineRule="auto"/>
      </w:pPr>
      <w:r>
        <w:rPr>
          <w:rFonts w:ascii="Arial" w:hAnsi="Arial"/>
          <w:b w:val="0"/>
          <w:i w:val="0"/>
          <w:sz w:val="20"/>
        </w:rPr>
        <w:t>No evidence has been noted of the Company conducting direct real estate development activities outside the UAE without an appropriate locally registered development platform. Similarly, the Company’s overseas footprint appears to be consistent with a commercial model based on international buyer origination, investor relations, and partnership development rather than foreign project ownership or foreign property development execution.</w:t>
      </w:r>
    </w:p>
    <w:p>
      <w:pPr>
        <w:spacing w:after="100" w:before="0" w:line="269" w:lineRule="auto"/>
      </w:pPr>
      <w:r>
        <w:rPr>
          <w:rFonts w:ascii="Arial" w:hAnsi="Arial"/>
          <w:b w:val="0"/>
          <w:i w:val="0"/>
          <w:sz w:val="20"/>
        </w:rPr>
        <w:t>Accordingly, and subject to customary confirmatory searches that would ordinarily be undertaken by local counsel in each jurisdiction, the Company’s jurisdictional profile appears orderly, commercially coherent, and generally consistent with the operational requirements of a Dubai-based luxury real estate developer targeting international investors.</w:t>
      </w:r>
    </w:p>
    <w:p>
      <w:pPr>
        <w:spacing w:after="80" w:before="160" w:line="240" w:lineRule="auto"/>
      </w:pPr>
      <w:r>
        <w:rPr>
          <w:rFonts w:ascii="Arial" w:hAnsi="Arial"/>
          <w:b/>
          <w:i w:val="0"/>
          <w:color w:val="1F4E79"/>
          <w:sz w:val="25"/>
        </w:rPr>
        <w:t>8. DILIGENCE CONCLUSION</w:t>
      </w:r>
    </w:p>
    <w:p>
      <w:pPr>
        <w:spacing w:after="100" w:before="0" w:line="269" w:lineRule="auto"/>
      </w:pPr>
      <w:r>
        <w:rPr>
          <w:rFonts w:ascii="Arial" w:hAnsi="Arial"/>
          <w:b w:val="0"/>
          <w:i w:val="0"/>
          <w:sz w:val="20"/>
        </w:rPr>
        <w:t>For purposes of the present diligence exercise, the Company’s jurisdictional qualification profile is supportive of its stated business strategy. The center of gravity of the business remains in Dubai, where the Group holds the key registrations required to develop and market premium real estate projects. Supplemental registrations in Abu Dhabi, the United Kingdom, Singapore, Saudi Arabia, and other GCC jurisdictions are directionally consistent with investor outreach and partnership development activities. No material compliance exceptions have been identified on the face of the records reviewed.</w:t>
      </w:r>
    </w:p>
    <w:p/>
    <w:p>
      <w:pPr>
        <w:spacing w:after="0" w:before="160" w:line="240" w:lineRule="auto"/>
        <w:jc w:val="center"/>
      </w:pPr>
      <w:r>
        <w:rPr>
          <w:rFonts w:ascii="Arial" w:hAnsi="Arial"/>
          <w:b w:val="0"/>
          <w:i/>
          <w:color w:val="666666"/>
          <w:sz w:val="19"/>
        </w:rPr>
        <w:t>End of Corporate Compliance Record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