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Rights of First Refusal and Co-Sale Agreements – Aurelia Developments LLC</w:t>
      </w:r>
    </w:p>
    <w:p>
      <w:pPr>
        <w:jc w:val="center"/>
      </w:pPr>
      <w:r>
        <w:rPr>
          <w:i/>
        </w:rPr>
        <w:t>Share Transfer Restrictions and Investor Liquidity Rights</w:t>
        <w:br/>
        <w:t>Private Equity Legal Diligence Report</w:t>
      </w:r>
    </w:p>
    <w:p>
      <w:pPr>
        <w:pStyle w:val="Heading1"/>
      </w:pPr>
      <w:r>
        <w:t>1. Executive Summary</w:t>
      </w:r>
    </w:p>
    <w:p>
      <w:r>
        <w:t>During legal diligence of Aurelia Developments LLC (the 'Company'), several shareholder transfer restriction mechanisms were identified within the Company’s shareholders’ agreement and ancillary governance documentation. These mechanisms include Rights of First Refusal (ROFR), Co-Sale (Tag-Along) rights, and related transfer approval provisions designed to regulate shareholder liquidity and preserve the strategic composition of the shareholder base.</w:t>
      </w:r>
    </w:p>
    <w:p>
      <w:r>
        <w:t>These provisions primarily benefit institutional and strategic investors including Meridian Global Real Estate Ltd and Al Noor Capital Investments LLC, as well as the Founder shareholder Aurelia Holdings FZ‑LLC. The provisions ensure that shareholders cannot transfer shares to third parties without first offering such shares to existing investors and, where applicable, allowing other shareholders to participate proportionally in the sale.</w:t>
      </w:r>
    </w:p>
    <w:p>
      <w:r>
        <w:t>For a potential private equity investor evaluating an acquisition or minority investment in the Company, these provisions are significant because they influence shareholder exit mechanics, investor protection rights, and transaction execution timing.</w:t>
      </w:r>
    </w:p>
    <w:p>
      <w:pPr>
        <w:pStyle w:val="Heading1"/>
      </w:pPr>
      <w:r>
        <w:t>2. Overview of Share Transfer Restrictions</w:t>
      </w:r>
    </w:p>
    <w:p>
      <w:r>
        <w:t>Private companies typically implement share transfer restrictions to maintain stability in the shareholder base and protect existing investors from unwanted third‑party ownership changes.</w:t>
      </w:r>
    </w:p>
    <w:p>
      <w:r>
        <w:t>Common mechanisms include Rights of First Refusal (ROFR), which require a selling shareholder to first offer shares to existing investors; Co‑Sale (Tag‑Along) rights, which allow minority investors to participate in sales by other shareholders; and Drag‑Along rights, which allow majority shareholders to compel minority shareholders to participate in certain exit transactions.</w:t>
      </w:r>
    </w:p>
    <w:p>
      <w:pPr>
        <w:pStyle w:val="Heading1"/>
      </w:pPr>
      <w:r>
        <w:t>3. Rights of First Refusal (ROFR) Agreement</w:t>
      </w:r>
    </w:p>
    <w:p>
      <w:r>
        <w:t>Parties: Aurelia Holdings FZ‑LLC, Meridian Global Real Estate Ltd, Al Noor Capital Investments LLC, Crescent Strategic Investments Ltd, and any subsequent permitted transferee shareholders.</w:t>
      </w:r>
    </w:p>
    <w:p>
      <w:r>
        <w:t>Transfer Notice Requirement: Any shareholder intending to transfer shares must deliver a written Transfer Notice to the Company and other shareholders specifying the number of shares, the proposed purchaser, and the purchase price.</w:t>
      </w:r>
    </w:p>
    <w:p>
      <w:r>
        <w:t>Exercise Period: Following receipt of the Transfer Notice, each eligible shareholder shall have twenty (20) business days to elect to purchase its pro‑rata portion of the offered shares.</w:t>
      </w:r>
    </w:p>
    <w:p>
      <w:r>
        <w:t>Allocation of Shares: If multiple shareholders elect to exercise their ROFR rights, the shares shall be allocated pro‑rata based on each exercising shareholder’s existing ownership percentage.</w:t>
      </w:r>
    </w:p>
    <w:p>
      <w:r>
        <w:t>Closing Procedures: Closing of any ROFR purchase must occur within thirty (30) days following expiration of the exercise period.</w:t>
      </w:r>
    </w:p>
    <w:p>
      <w:pPr>
        <w:pStyle w:val="Heading1"/>
      </w:pPr>
      <w:r>
        <w:t>4. Co‑Sale (Tag‑Along) Rights</w:t>
      </w:r>
    </w:p>
    <w:p>
      <w:r>
        <w:t>Eligible Investors: Institutional and minority investors including Meridian Global Real Estate Ltd, Al Noor Capital Investments LLC, and Crescent Strategic Investments Ltd are granted co‑sale participation rights.</w:t>
      </w:r>
    </w:p>
    <w:p>
      <w:r>
        <w:t>Triggering Event: If the Founder shareholder proposes to sell more than 10% of its holdings to a third‑party purchaser, minority investors may elect to participate in the transaction on a proportional basis.</w:t>
      </w:r>
    </w:p>
    <w:p>
      <w:r>
        <w:t>Participation Mechanics: Each participating investor may sell a portion of its shares equivalent to the ratio of shares proposed to be sold by the Founder relative to total Founder ownership.</w:t>
      </w:r>
    </w:p>
    <w:p>
      <w:pPr>
        <w:pStyle w:val="Heading1"/>
      </w:pPr>
      <w:r>
        <w:t>5. Interaction with Other Shareholder Rights</w:t>
      </w:r>
    </w:p>
    <w:p>
      <w:r>
        <w:t>The Company’s ROFR and co‑sale rights interact with additional governance provisions including drag‑along rights and investor consent rights. These provisions collectively create a balanced governance structure protecting minority investors while preserving the founder’s operational control.</w:t>
      </w:r>
    </w:p>
    <w:p>
      <w:pPr>
        <w:pStyle w:val="Heading1"/>
      </w:pPr>
      <w:r>
        <w:t>6. Legal and Governance Implications</w:t>
      </w:r>
    </w:p>
    <w:p>
      <w:r>
        <w:t>ROFR provisions restrict shareholder liquidity but protect investors against unwanted ownership dilution by external parties.</w:t>
      </w:r>
    </w:p>
    <w:p>
      <w:r>
        <w:t>Co‑sale rights ensure that minority investors may participate in liquidity events initiated by controlling shareholders.</w:t>
      </w:r>
    </w:p>
    <w:p>
      <w:pPr>
        <w:pStyle w:val="Heading1"/>
      </w:pPr>
      <w:r>
        <w:t>7. Change of Control Analysis</w:t>
      </w:r>
    </w:p>
    <w:p>
      <w:r>
        <w:t>In the event of a sale of the Company to a private equity sponsor or strategic acquirer, drag‑along provisions within the shareholders’ agreement would typically override ROFR and co‑sale mechanics, requiring all shareholders to participate in the sale under identical economic terms.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