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Rights of First Refusal and Co-Sale Agreement – Aurelia Developments LLC</w:t>
      </w:r>
    </w:p>
    <w:p>
      <w:pPr>
        <w:jc w:val="center"/>
      </w:pPr>
      <w:r>
        <w:rPr>
          <w:i/>
        </w:rPr>
        <w:t>Shareholder Transfer Restrictions and Investor Liquidity Rights</w:t>
        <w:br/>
        <w:t>Institutional Legal Agreement Package</w:t>
      </w:r>
    </w:p>
    <w:p>
      <w:pPr>
        <w:pStyle w:val="Heading1"/>
      </w:pPr>
      <w:r>
        <w:t>1. Executive Summary</w:t>
      </w:r>
    </w:p>
    <w:p>
      <w:r>
        <w:t>This Rights of First Refusal and Co-Sale Agreement (the 'Agreement') governs transfers of equity securities of Aurelia Developments LLC (the 'Company'). The Agreement is intended to preserve the stability of the Company’s shareholder base while protecting the economic and governance interests of institutional and minority investors.</w:t>
      </w:r>
    </w:p>
    <w:p>
      <w:r>
        <w:t>The provisions summarized herein grant existing shareholders priority rights to acquire shares proposed to be sold by another shareholder before such shares may be transferred to a third party. In addition, co-sale (tag-along) rights allow minority investors to participate proportionally in certain liquidity events initiated by controlling shareholders.</w:t>
      </w:r>
    </w:p>
    <w:p>
      <w:r>
        <w:t>In the context of a potential private equity investment or acquisition transaction, these provisions ensure that existing investors maintain participation rights and prevent unauthorized changes to the shareholder structure.</w:t>
      </w:r>
    </w:p>
    <w:p>
      <w:pPr>
        <w:pStyle w:val="Heading1"/>
      </w:pPr>
      <w:r>
        <w:t>2. Definitions</w:t>
      </w:r>
    </w:p>
    <w:p>
      <w:r>
        <w:t>"Company Securities" means all shares, membership interests, or other equity securities of Aurelia Developments LLC, including any securities convertible into or exercisable for such equity.</w:t>
      </w:r>
    </w:p>
    <w:p>
      <w:r>
        <w:t>"Transfer" means any sale, assignment, pledge, hypothecation, encumbrance, or other disposition of Company Securities, whether voluntary or involuntary.</w:t>
      </w:r>
    </w:p>
    <w:p>
      <w:r>
        <w:t>"Selling Shareholder" means any shareholder proposing to Transfer Company Securities.</w:t>
      </w:r>
    </w:p>
    <w:p>
      <w:r>
        <w:t>"Offered Shares" means the Company Securities proposed to be transferred pursuant to a Transfer Notice.</w:t>
      </w:r>
    </w:p>
    <w:p>
      <w:r>
        <w:t>"Third-Party Purchaser" means a bona fide purchaser of Company Securities who is not an existing shareholder or permitted transferee.</w:t>
      </w:r>
    </w:p>
    <w:p>
      <w:r>
        <w:t>"Eligible Investors" means shareholders entitled to exercise ROFR or co-sale rights pursuant to this Agreement.</w:t>
      </w:r>
    </w:p>
    <w:p>
      <w:r>
        <w:t>"Co-Sale Participants" means Eligible Investors electing to participate in a co-sale transaction.</w:t>
      </w:r>
    </w:p>
    <w:p>
      <w:pPr>
        <w:pStyle w:val="Heading1"/>
      </w:pPr>
      <w:r>
        <w:t>3. Rights of First Refusal (ROFR)</w:t>
      </w:r>
    </w:p>
    <w:p>
      <w:r>
        <w:t>Notice of Proposed Transfer: Prior to transferring any Company Securities to a Third-Party Purchaser, a Selling Shareholder must deliver a written Transfer Notice to the Company and all Eligible Investors specifying the number of Offered Shares, the identity of the proposed purchaser, and the proposed purchase price.</w:t>
      </w:r>
    </w:p>
    <w:p>
      <w:r>
        <w:t>ROFR Exercise Period: Eligible Investors shall have a period of twenty (20) business days following receipt of the Transfer Notice to elect to purchase all or a portion of the Offered Shares on the same terms and conditions.</w:t>
      </w:r>
    </w:p>
    <w:p>
      <w:r>
        <w:t>Allocation of Shares: If more than one Eligible Investor elects to purchase the Offered Shares, such shares shall be allocated among the exercising investors on a pro-rata basis based on their existing ownership percentages.</w:t>
      </w:r>
    </w:p>
    <w:p>
      <w:r>
        <w:t>Closing Procedures: The closing of the purchase of Offered Shares pursuant to ROFR shall occur within thirty (30) days following expiration of the exercise period.</w:t>
      </w:r>
    </w:p>
    <w:p>
      <w:r>
        <w:t>Failure to Exercise: If Eligible Investors do not elect to purchase the Offered Shares within the exercise period, the Selling Shareholder may transfer such shares to the Third-Party Purchaser on terms no more favorable than those specified in the Transfer Notice.</w:t>
      </w:r>
    </w:p>
    <w:p>
      <w:r>
        <w:t>Exceptions: The ROFR provisions shall not apply to Transfers to affiliates, estate planning vehicles, intra-family transfers, or Transfers between existing shareholders.</w:t>
      </w:r>
    </w:p>
    <w:p>
      <w:pPr>
        <w:pStyle w:val="Heading1"/>
      </w:pPr>
      <w:r>
        <w:t>4. Co-Sale Rights (Tag-Along Rights)</w:t>
      </w:r>
    </w:p>
    <w:p>
      <w:r>
        <w:t>Triggering Events: If a Selling Shareholder proposes to Transfer more than ten percent (10%) of its Company Securities to a Third-Party Purchaser, Eligible Investors shall have the right to participate in such Transfer.</w:t>
      </w:r>
    </w:p>
    <w:p>
      <w:r>
        <w:t>Participation Mechanics: Each Co-Sale Participant may elect to include in the proposed sale a number of shares equal to the proportion of Offered Shares relative to the Selling Shareholder’s total holdings.</w:t>
      </w:r>
    </w:p>
    <w:p>
      <w:r>
        <w:t>Investor Election Period: Eligible Investors must notify the Company and Selling Shareholder of their election to participate within fifteen (15) business days following receipt of the Transfer Notice.</w:t>
      </w:r>
    </w:p>
    <w:p>
      <w:r>
        <w:t>Closing Mechanics: The Third-Party Purchaser shall purchase the participating investors’ shares on the same terms and conditions as those applicable to the Selling Shareholder.</w:t>
      </w:r>
    </w:p>
    <w:p>
      <w:pPr>
        <w:pStyle w:val="Heading1"/>
      </w:pPr>
      <w:r>
        <w:t>5. Interaction With Other Shareholder Rights</w:t>
      </w:r>
    </w:p>
    <w:p>
      <w:r>
        <w:t>These ROFR and Co-Sale provisions operate alongside other governance mechanisms including drag-along rights, voting agreements, and board approval provisions.</w:t>
      </w:r>
    </w:p>
    <w:p>
      <w:r>
        <w:t>In the event of a drag-along transaction approved by the requisite shareholder majority, the ROFR and co-sale rights described herein shall be waived to permit completion of the sale transaction.</w:t>
      </w:r>
    </w:p>
    <w:p>
      <w:pPr>
        <w:pStyle w:val="Heading1"/>
      </w:pPr>
      <w:r>
        <w:t>6. Change of Control Provisions</w:t>
      </w:r>
    </w:p>
    <w:p>
      <w:r>
        <w:t>In connection with a Change of Control transaction involving a sale of the Company, merger, recapitalization, or private equity acquisition, drag-along rights typically override ROFR and co-sale provisions to ensure that all shareholders participate in the transaction.</w:t>
      </w:r>
    </w:p>
    <w:p>
      <w:r>
        <w:t>Minority investors are protected through tag-along rights if the controlling shareholder proposes to sell a significant portion of its holdings outside a drag-along context.</w:t>
      </w:r>
    </w:p>
    <w:p>
      <w:pPr>
        <w:pStyle w:val="Heading1"/>
      </w:pPr>
      <w:r>
        <w:t>7. Enforcement and Remedies</w:t>
      </w:r>
    </w:p>
    <w:p>
      <w:r>
        <w:t>Any breach of this Agreement may result in equitable relief, including specific performance, injunctions preventing unauthorized share transfers, and monetary damages.</w:t>
      </w:r>
    </w:p>
    <w:p>
      <w:r>
        <w:t>The parties acknowledge that damages alone may be insufficient and therefore agree that courts may grant specific performance to enforce the terms of this Agreement.</w:t>
      </w:r>
    </w:p>
    <w:p>
      <w:pPr>
        <w:pStyle w:val="Heading1"/>
      </w:pPr>
      <w:r>
        <w:t>8. Termination Provisions</w:t>
      </w:r>
    </w:p>
    <w:p>
      <w:r>
        <w:t>This Agreement shall terminate upon the earliest occurrence of: (i) completion of an initial public offering of the Company’s securities, (ii) consummation of a sale of the Company pursuant to drag-along rights, or (iii) written agreement of shareholders holding at least eighty percent (80%) of the Company’s outstanding voting securities.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