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Registration Rights Agreement – Aurelia Developments LLC</w:t>
      </w:r>
    </w:p>
    <w:p>
      <w:pPr>
        <w:jc w:val="center"/>
      </w:pPr>
      <w:r>
        <w:rPr>
          <w:i/>
        </w:rPr>
        <w:t>Institutional Registration Rights Agreement</w:t>
        <w:br/>
        <w:t>Prepared for Private Equity and Capital Markets Diligence</w:t>
      </w:r>
    </w:p>
    <w:p>
      <w:pPr>
        <w:pStyle w:val="Heading1"/>
      </w:pPr>
      <w:r>
        <w:t>1. Executive Overview</w:t>
      </w:r>
    </w:p>
    <w:p>
      <w:r>
        <w:t>This Registration Rights Agreement (the 'Agreement') governs the registration of equity securities of Aurelia Developments LLC (the 'Company') held by certain institutional, strategic, and founder investors. The purpose of this Agreement is to provide investors with liquidity rights in connection with public offerings or other registered securities transactions.</w:t>
      </w:r>
    </w:p>
    <w:p>
      <w:r>
        <w:t>Registration rights agreements are commonly executed in connection with private equity investments and late-stage venture financings to ensure that investors have the ability to participate in public offerings and secondary liquidity events.</w:t>
      </w:r>
    </w:p>
    <w:p>
      <w:r>
        <w:t>Under this Agreement, certain investors have been granted demand registration rights, piggyback registration rights, and shelf registration rights designed to facilitate the orderly disposition of shares following a public offering or registered securities transaction.</w:t>
      </w:r>
    </w:p>
    <w:p>
      <w:pPr>
        <w:pStyle w:val="Heading1"/>
      </w:pPr>
      <w:r>
        <w:t>2. Definitions</w:t>
      </w:r>
    </w:p>
    <w:p>
      <w:r>
        <w:t>"Registrable Securities" means any equity securities of the Company held by investors entitled to registration rights under this Agreement, including shares issued upon conversion of convertible securities.</w:t>
      </w:r>
    </w:p>
    <w:p>
      <w:r>
        <w:t>"Holder" means any shareholder owning Registrable Securities who is a party to this Agreement or any permitted transferee.</w:t>
      </w:r>
    </w:p>
    <w:p>
      <w:r>
        <w:t>"Demand Registration" means a registration of Registrable Securities requested by Initiating Holders pursuant to Section 3 of this Agreement.</w:t>
      </w:r>
    </w:p>
    <w:p>
      <w:r>
        <w:t>"Piggyback Registration" means the inclusion of Registrable Securities in a registration statement initiated by the Company.</w:t>
      </w:r>
    </w:p>
    <w:p>
      <w:r>
        <w:t>"Shelf Registration" means a registration statement filed to permit ongoing resale of securities over time.</w:t>
      </w:r>
    </w:p>
    <w:p>
      <w:r>
        <w:t>"Underwritten Offering" means a registered offering in which securities are sold through one or more underwriters.</w:t>
      </w:r>
    </w:p>
    <w:p>
      <w:r>
        <w:t>"Registration Statement" means a filing with the applicable securities regulator covering the public resale of Company securities.</w:t>
      </w:r>
    </w:p>
    <w:p>
      <w:pPr>
        <w:pStyle w:val="Heading1"/>
      </w:pPr>
      <w:r>
        <w:t>3. Demand Registration Rights</w:t>
      </w:r>
    </w:p>
    <w:p>
      <w:r>
        <w:t>Holders representing at least 20% of the outstanding Registrable Securities may require the Company to file a Registration Statement covering the resale of their shares.</w:t>
      </w:r>
    </w:p>
    <w:p>
      <w:r>
        <w:t>The Company shall be obligated to effect up to three (3) demand registrations during the term of this Agreement.</w:t>
      </w:r>
    </w:p>
    <w:p>
      <w:r>
        <w:t>The Company shall file the Registration Statement within sixty (60) days following receipt of a written demand request.</w:t>
      </w:r>
    </w:p>
    <w:p>
      <w:pPr>
        <w:pStyle w:val="Heading1"/>
      </w:pPr>
      <w:r>
        <w:t>4. Piggyback Registration Rights</w:t>
      </w:r>
    </w:p>
    <w:p>
      <w:r>
        <w:t>If the Company proposes to file a Registration Statement for its own account or for the account of other security holders, the Company shall provide written notice to all Holders of Registrable Securities.</w:t>
      </w:r>
    </w:p>
    <w:p>
      <w:r>
        <w:t>Holders shall have the right to include their Registrable Securities in such registration subject to customary underwriting cutback provisions.</w:t>
      </w:r>
    </w:p>
    <w:p>
      <w:pPr>
        <w:pStyle w:val="Heading1"/>
      </w:pPr>
      <w:r>
        <w:t>5. Shelf Registration Rights</w:t>
      </w:r>
    </w:p>
    <w:p>
      <w:r>
        <w:t>Following the completion of an initial public offering, Holders representing at least 15% of Registrable Securities may require the Company to maintain an effective shelf registration statement.</w:t>
      </w:r>
    </w:p>
    <w:p>
      <w:r>
        <w:t>The Company shall use commercially reasonable efforts to maintain such registration statement for a period of not less than two years.</w:t>
      </w:r>
    </w:p>
    <w:p>
      <w:pPr>
        <w:pStyle w:val="Heading1"/>
      </w:pPr>
      <w:r>
        <w:t>6. Underwriting Procedures</w:t>
      </w:r>
    </w:p>
    <w:p>
      <w:r>
        <w:t>In the event of an underwritten offering, the Company and participating investors shall enter into customary underwriting agreements with one or more investment banks acting as underwriters.</w:t>
      </w:r>
    </w:p>
    <w:p>
      <w:r>
        <w:t>If the managing underwriter determines that the number of securities requested to be included exceeds the amount that can be sold without materially affecting the offering price, the number of shares shall be reduced on a pro-rata basis.</w:t>
      </w:r>
    </w:p>
    <w:p>
      <w:pPr>
        <w:pStyle w:val="Heading1"/>
      </w:pPr>
      <w:r>
        <w:t>7. Registration Expenses</w:t>
      </w:r>
    </w:p>
    <w:p>
      <w:r>
        <w:t>The Company shall bear all expenses associated with registration including filing fees, legal expenses of the Company, accounting fees, and printing costs.</w:t>
      </w:r>
    </w:p>
    <w:p>
      <w:r>
        <w:t>Selling shareholders shall bear underwriting discounts and commissions associated with the sale of their securities.</w:t>
      </w:r>
    </w:p>
    <w:p>
      <w:pPr>
        <w:pStyle w:val="Heading1"/>
      </w:pPr>
      <w:r>
        <w:t>8. Lock-Up Agreements</w:t>
      </w:r>
    </w:p>
    <w:p>
      <w:r>
        <w:t>In connection with any public offering of securities, each Holder agrees not to sell or transfer any Registrable Securities for a period of 180 days following the effective date of the Registration Statement, unless otherwise approved by the managing underwriter.</w:t>
      </w:r>
    </w:p>
    <w:p>
      <w:pPr>
        <w:pStyle w:val="Heading1"/>
      </w:pPr>
      <w:r>
        <w:t>9. Indemnification</w:t>
      </w:r>
    </w:p>
    <w:p>
      <w:r>
        <w:t>The Company shall indemnify each Holder against any losses arising from untrue statements or omissions in the Registration Statement.</w:t>
      </w:r>
    </w:p>
    <w:p>
      <w:r>
        <w:t>Each Holder agrees to indemnify the Company against any misstatements provided by such Holder for inclusion in the Registration Statement.</w:t>
      </w:r>
    </w:p>
    <w:p>
      <w:pPr>
        <w:pStyle w:val="Heading1"/>
      </w:pPr>
      <w:r>
        <w:t>10. Termination</w:t>
      </w:r>
    </w:p>
    <w:p>
      <w:r>
        <w:t>The registration rights granted under this Agreement shall terminate upon the earliest of: (i) five years following the Company’s IPO, (ii) the date when all Registrable Securities may be sold without restriction under applicable securities laws, or (iii) the consummation of a merger or acquisition of the Company.</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