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Voting Agreements, Proxy Arrangements, and Shareholder Voting Rights – Aurelia Developments LLC</w:t>
      </w:r>
    </w:p>
    <w:p>
      <w:pPr>
        <w:jc w:val="center"/>
      </w:pPr>
      <w:r>
        <w:rPr>
          <w:i/>
        </w:rPr>
        <w:t>Corporate Governance and Shareholder Voting Rights Report</w:t>
        <w:br/>
        <w:t>Prepared for Private Equity Legal Diligence</w:t>
      </w:r>
    </w:p>
    <w:p>
      <w:pPr>
        <w:pStyle w:val="Heading1"/>
      </w:pPr>
      <w:r>
        <w:t>1. Executive Governance Summary</w:t>
      </w:r>
    </w:p>
    <w:p>
      <w:r>
        <w:t>This report summarizes the shareholder voting arrangements, proxy grants, board nomination rights, and investor governance protections affecting Aurelia Developments LLC (the “Company”) as of the date of review. Based on the records assumed for purposes of this diligence package, the Company has implemented a founder-led governance structure supplemented by contractual voting arrangements in favor of certain institutional and strategic investors.</w:t>
      </w:r>
    </w:p>
    <w:p>
      <w:r>
        <w:t>The Company’s governance framework is characterized by: (i) a founder-controlled majority shareholding retained through Aurelia Holdings FZ-LLC; (ii) board nomination and approval rights granted to Meridian Global Real Estate Ltd and Al Noor Capital Investments LLC under a shareholders’ agreement and associated voting agreement; (iii) a limited proxy arrangement under which certain minority investors authorize the Chairman to vote on routine governance matters when such investors are not present at duly convened meetings; and (iv) supermajority voting requirements for major corporate actions, including capital raises, sale of material assets, amendments to constitutional documents, and approval of a change-of-control transaction.</w:t>
      </w:r>
    </w:p>
    <w:p>
      <w:r>
        <w:t>From a private equity diligence perspective, these arrangements do not eliminate the founder’s formal majority voting control; however, they materially shape board composition, approval thresholds, and the practical ability of a future sponsor investor to execute a recapitalization, sale, or governance restructuring without engaging the existing investor group.</w:t>
      </w:r>
    </w:p>
    <w:p>
      <w:pPr>
        <w:pStyle w:val="Heading1"/>
      </w:pPr>
      <w:r>
        <w:t>2. Overview of Voting Agreements</w:t>
      </w:r>
    </w:p>
    <w:p>
      <w:r>
        <w:t>Voting agreements in privately held companies are typically used to stabilize governance outcomes, align board representation with economic ownership, and protect minority investors against unilateral action by a controlling founder or shareholder bloc. In a private real estate development platform such as Aurelia Developments LLC, voting arrangements are particularly important because the business depends on recurring project-level capital allocation, land acquisitions, project financing approvals, hospitality brand partnerships, and SPV structuring decisions that frequently require board or shareholder approval.</w:t>
      </w:r>
    </w:p>
    <w:p>
      <w:r>
        <w:t>Such arrangements may influence: (a) election and removal of directors; (b) approval of annual budgets and business plans; (c) issuance of additional equity; (d) related-party transactions; (e) mergers, asset sales, IPOs, or sponsor exits; and (f) amendments to the Memorandum of Association, Articles of Association, or shareholder governance instruments.</w:t>
      </w:r>
    </w:p>
    <w:p>
      <w:r>
        <w:t>For founder-led businesses backed by family offices and strategic investors, voting agreements are commonly used to ensure that minority investors receive representation and do not become purely passive capital providers. Equally, founders often require minority shareholders to support governance continuity, including re-election of key directors and approval of ordinary-course development financing arrangements.</w:t>
      </w:r>
    </w:p>
    <w:p>
      <w:pPr>
        <w:pStyle w:val="Heading1"/>
      </w:pPr>
      <w:r>
        <w:t>3. Detailed Voting Agreements</w:t>
      </w:r>
    </w:p>
    <w:p>
      <w:r>
        <w:t>Set out below is a summary in contract-style form of the principal voting arrangements assumed to be in effect at the Company level.</w:t>
      </w:r>
    </w:p>
    <w:p>
      <w:r>
        <w:t>A. Founder and Institutional Investor Voting Agreement (dated 15 January 2023). Parties: Aurelia Holdings FZ-LLC (“Founder Shareholder”), Meridian Global Real Estate Ltd (“Meridian”), and Al Noor Capital Investments LLC (“Al Noor”). Covered Shares: all shares held by such parties from time to time, representing, in aggregate, approximately 90.0% of the issued share capital as of the execution date. Principal Purpose: to govern board composition, approval of strategic transactions, and voting on reserved matters.</w:t>
      </w:r>
    </w:p>
    <w:p>
      <w:r>
        <w:t>Key Voting Covenant. Each party agrees that, at every shareholders’ meeting and in every written resolution, it shall vote all Covered Shares in favor of: (i) the election of two directors nominated by the Founder Shareholder; (ii) one director nominated by Meridian; (iii) one observer or director nominee designated by Al Noor, subject to legal eligibility; and (iv) one independent director mutually approved by the parties. Each party further agrees not to vote against the appointment of the Chief Executive Officer as a board member so long as such individual remains in office.</w:t>
      </w:r>
    </w:p>
    <w:p>
      <w:r>
        <w:t>Reserved Matters Voting. The parties agree that no party shall vote its Covered Shares in favor of any of the following actions unless approved by holders of not less than 75% of the issued voting shares and, additionally, by at least one of Meridian or Al Noor: (a) issuance of new shares or rights to acquire shares; (b) amendment of constitutional documents; (c) approval of a merger, consolidation, recapitalization, or sale of all or substantially all assets; (d) related-party transactions exceeding an agreed materiality threshold; (e) incurrence of holdco indebtedness above agreed thresholds; or (f) entry into any shareholder arrangement that would adversely affect investor information, governance, or pre-emption rights.</w:t>
      </w:r>
    </w:p>
    <w:p>
      <w:r>
        <w:t>Duration and Termination. The agreement remains effective until the earliest of: (i) an IPO; (ii) a sale of the Company approved in accordance with the agreement; (iii) written termination by parties holding at least 80% of the Covered Shares; or (iv) a transfer by a party of substantially all of its shares, unless the transferee accedes to the agreement.</w:t>
      </w:r>
    </w:p>
    <w:p>
      <w:r>
        <w:t>B. Strategic Investor Support Agreement (dated 18 November 2022). Parties: Aurelia Holdings FZ-LLC and Crescent Strategic Investments Ltd (“Crescent”). Covered Shares: all shares held by Crescent and a matching tranche of founder shares. Voting Commitment: Crescent agrees to vote in favor of founder-supported board nominees and routine budget approvals, provided that Crescent retains separate approval rights in respect of hospitality-branded residence transactions, related-party contracts with affiliated hospitality operators, and dilution events affecting its anti-dilution protections. This agreement terminates automatically upon a sale of all Crescent shares or expiration of Crescent’s board observer rights.</w:t>
      </w:r>
    </w:p>
    <w:p>
      <w:pPr>
        <w:pStyle w:val="Heading1"/>
      </w:pPr>
      <w:r>
        <w:t>4. Proxy Agreements</w:t>
      </w:r>
    </w:p>
    <w:p>
      <w:r>
        <w:t>In addition to the voting agreements summarized above, the Company has implemented limited proxy arrangements designed to streamline governance where minority shareholders are geographically dispersed or cannot attend physical meetings in Dubai.</w:t>
      </w:r>
    </w:p>
    <w:p>
      <w:r>
        <w:t>Proxy Agreement No. 1 – Routine Governance Proxy (dated 3 February 2023). Proxy Grantor: Crescent Strategic Investments Ltd. Proxy Holder: Hassan Al Rashid, in his capacity as Chairman of the Company. Shares Covered: 10,000 shares. Scope: the proxy authorizes the Chairman to vote such shares on routine and non-reserved matters, including approval of audited accounts, appointment of auditors, adoption of annual budgets within approved parameters, and procedural shareholder resolutions. Exclusions: the proxy expressly excludes any vote relating to a change of control, amendment of constitutional documents, issuance of new securities, waiver of pre-emption rights, or any transaction in which the Chairman or his affiliates have a material interest. Revocation: revocable upon five business days’ prior written notice.</w:t>
      </w:r>
    </w:p>
    <w:p>
      <w:r>
        <w:t>Proxy Agreement No. 2 – Investor Committee Proxy (dated 10 March 2023). Proxy Grantor: certain minority co-investment vehicles affiliated with Meridian. Proxy Holder: Meridian Global Real Estate Ltd. Shares Covered: 2,500 shares in the aggregate. Scope: authority to vote on all matters other than a sale of the Company, amendments to dividend policy, or amendments adversely affecting investor-specific rights. This arrangement consolidates the investor bloc’s voting power for board appointments and reserved matter approvals.</w:t>
      </w:r>
    </w:p>
    <w:p>
      <w:r>
        <w:t>Proxy agreements of this type are not uncommon in cross-border shareholder structures. For diligence purposes, the most relevant issue is whether any proxy is irrevocable or coupled with an interest. On the assumed facts for this package, the operative proxies are revocable and limited in scope, reducing the risk that a future sponsor investor would face an entrenched and non-terminable voting blockage.</w:t>
      </w:r>
    </w:p>
    <w:p>
      <w:pPr>
        <w:pStyle w:val="Heading1"/>
      </w:pPr>
      <w:r>
        <w:t>5. Board Control Provisions</w:t>
      </w:r>
    </w:p>
    <w:p>
      <w:r>
        <w:t>The current governance structure contemplates a five-member board. The Founder Shareholder is entitled to nominate two directors; Meridian is entitled to nominate one director; Al Noor is entitled to nominate one director or non-voting observer; and the remaining seat is reserved for an independent director approved by the Founder Shareholder and at least one institutional investor.</w:t>
      </w:r>
    </w:p>
    <w:p>
      <w:r>
        <w:t>Certain board matters require a simple majority; however, the following require supermajority approval (4 of 5 directors) or equivalent shareholder approval: approval of land acquisitions above an agreed threshold, project financings above threshold amounts, amendment of the annual business plan where such amendment would increase aggregate capital expenditure materially, approval of branded residence partnerships, and approval of any sale process for the Company or a material subsidiary.</w:t>
      </w:r>
    </w:p>
    <w:p>
      <w:r>
        <w:t>The practical effect of these provisions is that the Founder Shareholder retains agenda-setting influence but cannot unilaterally control all board outcomes on strategic matters. Conversely, minority investors cannot compel a strategic transaction without founder participation because the founder controls a majority of the share capital and two board seats.</w:t>
      </w:r>
    </w:p>
    <w:p>
      <w:pPr>
        <w:pStyle w:val="Heading1"/>
      </w:pPr>
      <w:r>
        <w:t>6. Change of Control Voting Provisions</w:t>
      </w:r>
    </w:p>
    <w:p>
      <w:r>
        <w:t>The shareholders’ agreement and associated voting undertakings contain drag-along, tag-along, and transaction approval mechanics relevant to a private equity acquisition.</w:t>
      </w:r>
    </w:p>
    <w:p>
      <w:r>
        <w:t>Drag-Along. If holders of at least 75% of the voting shares, including the Founder Shareholder and at least one institutional investor, approve a bona fide third-party sale of the Company, all shareholders are obligated to vote in favor of and consummate such transaction, subject to customary protections regarding same form and amount of consideration, proportionate treatment, and capped liability under sale documents.</w:t>
      </w:r>
    </w:p>
    <w:p>
      <w:r>
        <w:t>Tag-Along. Minority investors hold customary tag-along rights if the Founder Shareholder proposes to transfer more than a specified threshold of its holdings to a third party other than a permitted transferee.</w:t>
      </w:r>
    </w:p>
    <w:p>
      <w:r>
        <w:t>Transaction Support. The voting agreement prohibits parties from voting against a board-approved change-of-control transaction that has been approved under the reserved matters regime, except where the transaction would disproportionately and adversely affect such investor relative to other shareholders of the same class.</w:t>
      </w:r>
    </w:p>
    <w:p>
      <w:r>
        <w:t>In a PE acquisition context, these provisions are significant because they mean that a sponsor buyer would likely need founder support plus the consent of at least one institutional investor to achieve a clean acquisition path.</w:t>
      </w:r>
    </w:p>
    <w:p>
      <w:pPr>
        <w:pStyle w:val="Heading1"/>
      </w:pPr>
      <w:r>
        <w:t>7. Legal Risks and Governance Considerations</w:t>
      </w:r>
    </w:p>
    <w:p>
      <w:r>
        <w:t>The principal legal and governance risks arising from the voting arrangements are as follows:</w:t>
      </w:r>
    </w:p>
    <w:p>
      <w:r>
        <w:t>Minority Influence on Strategic Matters. Although no minority shareholder possesses outright control, the reserved matters and board nomination rights grant institutional investors meaningful blocking rights over capital raises, constitutional amendments, and strategic exits. A sponsor investor should confirm whether any new investor rights can be granted without the consent of existing investors.</w:t>
      </w:r>
    </w:p>
    <w:p>
      <w:r>
        <w:t>Potential Friction in Exit Timing. Because a change-of-control transaction may require both supermajority shareholder approval and investor consent under the voting agreement, a misalignment on valuation or process timing could delay a transaction even where the founder is supportive.</w:t>
      </w:r>
    </w:p>
    <w:p>
      <w:r>
        <w:t>Entrenchment Risk. Founder nomination rights, together with routine proxies granted to the Chairman, may reinforce founder influence over meeting outcomes and board composition. That said, the proxies assumed here are limited and revocable, which mitigates the more acute concerns typically associated with irrevocable proxy structures.</w:t>
      </w:r>
    </w:p>
    <w:p>
      <w:r>
        <w:t>Future Financing Constraints. Existing investors benefit from pre-emption and consent rights over new issuances. A new PE investor may therefore require waivers, consents, or amendments from the current investor group before implementing a post-closing recapitalization or management incentive restructuring.</w:t>
      </w:r>
    </w:p>
    <w:p>
      <w:pPr>
        <w:pStyle w:val="Heading1"/>
      </w:pPr>
      <w:r>
        <w:t>Appendix A – Form of Voting Agreement Summary</w:t>
      </w:r>
    </w:p>
    <w:p>
      <w:r>
        <w:t>Each Shareholder hereby irrevocably agrees, subject to the terms of this Agreement, to appear at each meeting of shareholders of the Company, whether in person or by proxy, and to vote all Shares now owned or hereafter acquired by such Shareholder in the manner required to give effect to the provisions of this Agreement.</w:t>
      </w:r>
    </w:p>
    <w:p>
      <w:r>
        <w:t>Without limiting the foregoing, each Shareholder shall vote all Covered Shares (i) for the election of the Board nominees designated in accordance with this Agreement, (ii) against any proposal to remove a director elected pursuant to this Agreement except for cause or in accordance with this Agreement, and (iii) in favor of any Reserved Matter transaction duly approved in accordance with the thresholds set forth herein.</w:t>
      </w:r>
    </w:p>
    <w:p>
      <w:r>
        <w:t>This Agreement shall be binding upon the parties and their permitted transferees and shall terminate only in accordance with its express terms.</w:t>
      </w:r>
    </w:p>
    <w:p>
      <w:pPr>
        <w:pStyle w:val="Heading1"/>
      </w:pPr>
      <w:r>
        <w:t>Appendix B – Form of Proxy Arrangement Summary</w:t>
      </w:r>
    </w:p>
    <w:p>
      <w:r>
        <w:t>The undersigned shareholder hereby appoints the Proxy Holder as its true and lawful proxy and attorney-in-fact, with full power of substitution, to vote the Shares described herein at any meeting of shareholders of the Company and on any written resolution of shareholders, to the extent and solely to the extent set forth in this Proxy.</w:t>
      </w:r>
    </w:p>
    <w:p>
      <w:r>
        <w:t>This Proxy is revocable at any time upon written notice delivered in accordance with the Company’s constitutional documents and the terms hereof, and shall automatically terminate upon the earliest of (i) expiration of the term specified herein, (ii) transfer of the Shares covered hereby, or (iii) revocation in writing by the undersigned.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