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rPr>
          <w:b/>
        </w:rPr>
        <w:t>Details of Debt Financing Arrangements – Aurelia Developments LLC</w:t>
      </w:r>
    </w:p>
    <w:p>
      <w:pPr>
        <w:jc w:val="center"/>
      </w:pPr>
      <w:r>
        <w:rPr>
          <w:i/>
        </w:rPr>
        <w:t>Illustrative private equity diligence memorandum | All monetary amounts in USD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rPr>
              <w:t>Company</w:t>
            </w:r>
          </w:p>
        </w:tc>
        <w:tc>
          <w:tcPr>
            <w:tcW w:type="dxa" w:w="2484"/>
            <w:vAlign w:val="center"/>
            <w:shd w:fill="F7FBFF"/>
          </w:tcPr>
          <w:p>
            <w:r>
              <w:t>Aurelia Developments LLC</w:t>
            </w:r>
          </w:p>
        </w:tc>
        <w:tc>
          <w:tcPr>
            <w:tcW w:type="dxa" w:w="2484"/>
            <w:vAlign w:val="center"/>
            <w:shd w:fill="D9EAF7"/>
          </w:tcPr>
          <w:p>
            <w:r>
              <w:rPr>
                <w:b/>
              </w:rPr>
              <w:t>Industry</w:t>
            </w:r>
          </w:p>
        </w:tc>
        <w:tc>
          <w:tcPr>
            <w:tcW w:type="dxa" w:w="2484"/>
            <w:vAlign w:val="center"/>
            <w:shd w:fill="F7FBFF"/>
          </w:tcPr>
          <w:p>
            <w:r>
              <w:t>Luxury Real Estate Development</w:t>
            </w:r>
          </w:p>
        </w:tc>
      </w:tr>
      <w:tr>
        <w:tc>
          <w:tcPr>
            <w:tcW w:type="dxa" w:w="2484"/>
            <w:vAlign w:val="center"/>
            <w:shd w:fill="D9EAF7"/>
          </w:tcPr>
          <w:p>
            <w:r>
              <w:rPr>
                <w:b/>
              </w:rPr>
              <w:t>Headquarters</w:t>
            </w:r>
          </w:p>
        </w:tc>
        <w:tc>
          <w:tcPr>
            <w:tcW w:type="dxa" w:w="2484"/>
            <w:vAlign w:val="center"/>
            <w:shd w:fill="F7FBFF"/>
          </w:tcPr>
          <w:p>
            <w:r>
              <w:t>Dubai, United Arab Emirates</w:t>
            </w:r>
          </w:p>
        </w:tc>
        <w:tc>
          <w:tcPr>
            <w:tcW w:type="dxa" w:w="2484"/>
            <w:vAlign w:val="center"/>
            <w:shd w:fill="D9EAF7"/>
          </w:tcPr>
          <w:p>
            <w:r>
              <w:rPr>
                <w:b/>
              </w:rPr>
              <w:t>Coverage</w:t>
            </w:r>
          </w:p>
        </w:tc>
        <w:tc>
          <w:tcPr>
            <w:tcW w:type="dxa" w:w="2484"/>
            <w:vAlign w:val="center"/>
            <w:shd w:fill="F7FBFF"/>
          </w:tcPr>
          <w:p>
            <w:r>
              <w:t>Current and historical debt facilities</w:t>
            </w:r>
          </w:p>
        </w:tc>
      </w:tr>
    </w:tbl>
    <w:p>
      <w:r>
        <w:t>This memorandum summarizes the principal debt financing arrangements entered into by Aurelia Developments LLC and selected affiliated project vehicles in support of land acquisition, construction, infrastructure delivery, sales center development, working capital management, and sponsor bridge funding. The package is designed to resemble lender diligence and private equity financing review materials rather than statutory disclosures.</w:t>
      </w:r>
    </w:p>
    <w:p>
      <w:pPr>
        <w:pStyle w:val="Heading1Custom"/>
      </w:pPr>
      <w:r>
        <w:t>1. Executive Summary</w:t>
      </w:r>
    </w:p>
    <w:p>
      <w:r>
        <w:t>Aurelia Developments LLC uses a layered capital structure typical of large-scale Dubai real estate developers. Debt is raised at both the corporate and project level to align financing tenor, collateral, and covenant packages with the development lifecycle of individual projects. Project finance facilities are primarily secured by land, project receivables, escrow balances, and pledges over shares in special purpose vehicles, while corporate facilities provide liquidity support, bridge funding for infrastructure spend, and general working capital flexibility.</w:t>
      </w:r>
    </w:p>
    <w:p>
      <w:r>
        <w:t>During the review period, the company utilized six core categories of financing: construction loans, project finance facilities, a corporate term loan, a revolving credit facility, shareholder loans, and selected joint venture financing tranches. The debt profile reflects a deliberate strategy of matching facility drawdowns with project milestones, limiting recourse leakage between ring-fenced development vehicles, and preserving optionality for refinancing once projects reach advanced sales or stabilization stages.</w:t>
      </w:r>
    </w:p>
    <w:p>
      <w:r>
        <w:t>Private equity investors review these structures to assess leverage tolerance, covenant headroom, refinancing risk, cash sweep mechanics, sponsor support obligations, security enforcement exposure, and the degree to which project-level financing may constrain upstream cash extraction. The review is also central to understanding whether available liquidity is sufficient to support construction commitments, debt service, and potential cost overrun scenarios.</w:t>
      </w:r>
    </w:p>
    <w:p>
      <w:pPr>
        <w:pStyle w:val="Heading1Custom"/>
      </w:pPr>
      <w:r>
        <w:t>2. Overview of Capital Structure</w:t>
      </w:r>
    </w:p>
    <w:p>
      <w:r>
        <w:t>The company’s capital structure comprises sponsor equity, retained earnings, customer collections held within project escrow regimes, senior secured development debt, corporate debt, and subordinated shareholder funding. Senior debt remains the dominant external financing source and is generally sized against a combination of land value, construction budgets, forecast contracted sales, and debt service coverage assumptions.</w:t>
      </w:r>
    </w:p>
    <w:p>
      <w:r>
        <w:t>At the holdco level, Aurelia maintains a senior corporate term loan to support strategic landbanking and shared infrastructure and a revolving credit facility to absorb timing differences between customer collections, contractor progress payments, and overhead disbursements. At the project level, debt is drawn in line with certified construction progress and is paired with prescribed equity contributions and escrow release conditions. Shareholder loans are used selectively to bridge pre-development spend, satisfy equity cure needs, and support covenant compliance during ramp-up periods.</w:t>
      </w:r>
    </w:p>
    <w:p>
      <w:pPr>
        <w:pStyle w:val="Heading1Custom"/>
      </w:pPr>
      <w:r>
        <w:t>3. Categories of Debt Financing</w:t>
      </w:r>
    </w:p>
    <w:p>
      <w:r>
        <w:t>Construction loans fund hard and soft construction costs during the active build phase and typically amortize through customer collection sweeps or bullet repayment at project completion. Project finance facilities are broader structures that may fund land acquisition, enabling works, infrastructure, and development cost packages across ring-fenced SPVs.</w:t>
      </w:r>
    </w:p>
    <w:p>
      <w:r>
        <w:t>The corporate term loan provides medium-term balance sheet support and may be secured by pledges over selected assets, receivables, or equity interests. The revolving credit facility is used for short-dated liquidity management and repays as collections normalize. Mezzanine or quasi-equity tranches may be embedded through sponsor or partner instruments carrying subordinated economics. Shareholder loans provide flexible sponsor financing and often include payment-in-kind features, back-ended maturities, or cure rights tied to lender tests.</w:t>
      </w:r>
    </w:p>
    <w:p>
      <w:r>
        <w:t>Joint venture project financing is relevant where Aurelia develops projects alongside hospitality, landholding, or strategic operating partners. Such facilities may include partner support undertakings, limited recourse structures, and waterfall-driven cash controls.</w:t>
      </w:r>
    </w:p>
    <w:p>
      <w:pPr>
        <w:pStyle w:val="Heading1Custom"/>
      </w:pPr>
      <w:r>
        <w:t>4. Detailed Description of Each Debt Facility</w:t>
      </w:r>
    </w:p>
    <w:p>
      <w:r>
        <w:t>The table below summarizes the principal financing arrangements identified during the review. Values are illustrative and stated in USD for diligence presentation purposes.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1F4E78"/>
          </w:tcPr>
          <w:p>
            <w:r>
              <w:rPr>
                <w:b/>
                <w:color w:val="FFFFFF"/>
              </w:rPr>
              <w:t>Lender</w:t>
            </w:r>
          </w:p>
        </w:tc>
        <w:tc>
          <w:tcPr>
            <w:tcW w:type="dxa" w:w="1656"/>
            <w:shd w:fill="1F4E78"/>
          </w:tcPr>
          <w:p>
            <w:r>
              <w:rPr>
                <w:b/>
                <w:color w:val="FFFFFF"/>
              </w:rPr>
              <w:t>Facility</w:t>
            </w:r>
          </w:p>
        </w:tc>
        <w:tc>
          <w:tcPr>
            <w:tcW w:type="dxa" w:w="1656"/>
            <w:shd w:fill="1F4E78"/>
          </w:tcPr>
          <w:p>
            <w:r>
              <w:rPr>
                <w:b/>
                <w:color w:val="FFFFFF"/>
              </w:rPr>
              <w:t>Type</w:t>
            </w:r>
          </w:p>
        </w:tc>
        <w:tc>
          <w:tcPr>
            <w:tcW w:type="dxa" w:w="1656"/>
            <w:shd w:fill="1F4E78"/>
          </w:tcPr>
          <w:p>
            <w:r>
              <w:rPr>
                <w:b/>
                <w:color w:val="FFFFFF"/>
              </w:rPr>
              <w:t>Principal (USD)</w:t>
            </w:r>
          </w:p>
        </w:tc>
        <w:tc>
          <w:tcPr>
            <w:tcW w:type="dxa" w:w="1656"/>
            <w:shd w:fill="1F4E78"/>
          </w:tcPr>
          <w:p>
            <w:r>
              <w:rPr>
                <w:b/>
                <w:color w:val="FFFFFF"/>
              </w:rPr>
              <w:t>Maturity</w:t>
            </w:r>
          </w:p>
        </w:tc>
        <w:tc>
          <w:tcPr>
            <w:tcW w:type="dxa" w:w="1656"/>
            <w:shd w:fill="1F4E78"/>
          </w:tcPr>
          <w:p>
            <w:r>
              <w:rPr>
                <w:b/>
                <w:color w:val="FFFFFF"/>
              </w:rPr>
              <w:t>Status</w:t>
            </w:r>
          </w:p>
        </w:tc>
      </w:tr>
      <w:tr>
        <w:tc>
          <w:tcPr>
            <w:tcW w:type="dxa" w:w="1656"/>
          </w:tcPr>
          <w:p>
            <w:r>
              <w:t>Emirates NBD</w:t>
            </w:r>
          </w:p>
        </w:tc>
        <w:tc>
          <w:tcPr>
            <w:tcW w:type="dxa" w:w="1656"/>
          </w:tcPr>
          <w:p>
            <w:r>
              <w:t>Marina Residences Construction Facility</w:t>
            </w:r>
          </w:p>
        </w:tc>
        <w:tc>
          <w:tcPr>
            <w:tcW w:type="dxa" w:w="1656"/>
          </w:tcPr>
          <w:p>
            <w:r>
              <w:t>Construction Loan</w:t>
            </w:r>
          </w:p>
        </w:tc>
        <w:tc>
          <w:tcPr>
            <w:tcW w:type="dxa" w:w="1656"/>
          </w:tcPr>
          <w:p>
            <w:r>
              <w:t>$185,000,000</w:t>
            </w:r>
          </w:p>
        </w:tc>
        <w:tc>
          <w:tcPr>
            <w:tcW w:type="dxa" w:w="1656"/>
          </w:tcPr>
          <w:p>
            <w:r>
              <w:t>2027-06-30</w:t>
            </w:r>
          </w:p>
        </w:tc>
        <w:tc>
          <w:tcPr>
            <w:tcW w:type="dxa" w:w="1656"/>
            <w:shd w:fill="EAF3E5"/>
          </w:tcPr>
          <w:p>
            <w:r>
              <w:t>Outstanding</w:t>
            </w:r>
          </w:p>
        </w:tc>
      </w:tr>
      <w:tr>
        <w:tc>
          <w:tcPr>
            <w:tcW w:type="dxa" w:w="1656"/>
          </w:tcPr>
          <w:p>
            <w:r>
              <w:t>First Abu Dhabi Bank</w:t>
            </w:r>
          </w:p>
        </w:tc>
        <w:tc>
          <w:tcPr>
            <w:tcW w:type="dxa" w:w="1656"/>
          </w:tcPr>
          <w:p>
            <w:r>
              <w:t>Palm Waterfront Villas Project Finance</w:t>
            </w:r>
          </w:p>
        </w:tc>
        <w:tc>
          <w:tcPr>
            <w:tcW w:type="dxa" w:w="1656"/>
          </w:tcPr>
          <w:p>
            <w:r>
              <w:t>Project Finance Facility</w:t>
            </w:r>
          </w:p>
        </w:tc>
        <w:tc>
          <w:tcPr>
            <w:tcW w:type="dxa" w:w="1656"/>
          </w:tcPr>
          <w:p>
            <w:r>
              <w:t>$220,000,000</w:t>
            </w:r>
          </w:p>
        </w:tc>
        <w:tc>
          <w:tcPr>
            <w:tcW w:type="dxa" w:w="1656"/>
          </w:tcPr>
          <w:p>
            <w:r>
              <w:t>2028-03-31</w:t>
            </w:r>
          </w:p>
        </w:tc>
        <w:tc>
          <w:tcPr>
            <w:tcW w:type="dxa" w:w="1656"/>
            <w:shd w:fill="EAF3E5"/>
          </w:tcPr>
          <w:p>
            <w:r>
              <w:t>Outstanding</w:t>
            </w:r>
          </w:p>
        </w:tc>
      </w:tr>
      <w:tr>
        <w:tc>
          <w:tcPr>
            <w:tcW w:type="dxa" w:w="1656"/>
          </w:tcPr>
          <w:p>
            <w:r>
              <w:t>Mashreq Bank</w:t>
            </w:r>
          </w:p>
        </w:tc>
        <w:tc>
          <w:tcPr>
            <w:tcW w:type="dxa" w:w="1656"/>
          </w:tcPr>
          <w:p>
            <w:r>
              <w:t>Corporate Term Loan</w:t>
            </w:r>
          </w:p>
        </w:tc>
        <w:tc>
          <w:tcPr>
            <w:tcW w:type="dxa" w:w="1656"/>
          </w:tcPr>
          <w:p>
            <w:r>
              <w:t>Corporate Term Loan</w:t>
            </w:r>
          </w:p>
        </w:tc>
        <w:tc>
          <w:tcPr>
            <w:tcW w:type="dxa" w:w="1656"/>
          </w:tcPr>
          <w:p>
            <w:r>
              <w:t>$90,000,000</w:t>
            </w:r>
          </w:p>
        </w:tc>
        <w:tc>
          <w:tcPr>
            <w:tcW w:type="dxa" w:w="1656"/>
          </w:tcPr>
          <w:p>
            <w:r>
              <w:t>2026-09-20</w:t>
            </w:r>
          </w:p>
        </w:tc>
        <w:tc>
          <w:tcPr>
            <w:tcW w:type="dxa" w:w="1656"/>
            <w:shd w:fill="EAF3E5"/>
          </w:tcPr>
          <w:p>
            <w:r>
              <w:t>Outstanding</w:t>
            </w:r>
          </w:p>
        </w:tc>
      </w:tr>
      <w:tr>
        <w:tc>
          <w:tcPr>
            <w:tcW w:type="dxa" w:w="1656"/>
          </w:tcPr>
          <w:p>
            <w:r>
              <w:t>HSBC Middle East</w:t>
            </w:r>
          </w:p>
        </w:tc>
        <w:tc>
          <w:tcPr>
            <w:tcW w:type="dxa" w:w="1656"/>
          </w:tcPr>
          <w:p>
            <w:r>
              <w:t>Working Capital RCF</w:t>
            </w:r>
          </w:p>
        </w:tc>
        <w:tc>
          <w:tcPr>
            <w:tcW w:type="dxa" w:w="1656"/>
          </w:tcPr>
          <w:p>
            <w:r>
              <w:t>Revolving Credit Facility</w:t>
            </w:r>
          </w:p>
        </w:tc>
        <w:tc>
          <w:tcPr>
            <w:tcW w:type="dxa" w:w="1656"/>
          </w:tcPr>
          <w:p>
            <w:r>
              <w:t>$50,000,000</w:t>
            </w:r>
          </w:p>
        </w:tc>
        <w:tc>
          <w:tcPr>
            <w:tcW w:type="dxa" w:w="1656"/>
          </w:tcPr>
          <w:p>
            <w:r>
              <w:t>2026-01-10</w:t>
            </w:r>
          </w:p>
        </w:tc>
        <w:tc>
          <w:tcPr>
            <w:tcW w:type="dxa" w:w="1656"/>
            <w:shd w:fill="EAF3E5"/>
          </w:tcPr>
          <w:p>
            <w:r>
              <w:t>Outstanding</w:t>
            </w:r>
          </w:p>
        </w:tc>
      </w:tr>
      <w:tr>
        <w:tc>
          <w:tcPr>
            <w:tcW w:type="dxa" w:w="1656"/>
          </w:tcPr>
          <w:p>
            <w:r>
              <w:t>Sponsor Consortium</w:t>
            </w:r>
          </w:p>
        </w:tc>
        <w:tc>
          <w:tcPr>
            <w:tcW w:type="dxa" w:w="1656"/>
          </w:tcPr>
          <w:p>
            <w:r>
              <w:t>Shareholder Loan A</w:t>
            </w:r>
          </w:p>
        </w:tc>
        <w:tc>
          <w:tcPr>
            <w:tcW w:type="dxa" w:w="1656"/>
          </w:tcPr>
          <w:p>
            <w:r>
              <w:t>Shareholder Loan</w:t>
            </w:r>
          </w:p>
        </w:tc>
        <w:tc>
          <w:tcPr>
            <w:tcW w:type="dxa" w:w="1656"/>
          </w:tcPr>
          <w:p>
            <w:r>
              <w:t>$65,000,000</w:t>
            </w:r>
          </w:p>
        </w:tc>
        <w:tc>
          <w:tcPr>
            <w:tcW w:type="dxa" w:w="1656"/>
          </w:tcPr>
          <w:p>
            <w:r>
              <w:t>2029-12-31</w:t>
            </w:r>
          </w:p>
        </w:tc>
        <w:tc>
          <w:tcPr>
            <w:tcW w:type="dxa" w:w="1656"/>
            <w:shd w:fill="EAF3E5"/>
          </w:tcPr>
          <w:p>
            <w:r>
              <w:t>Outstanding</w:t>
            </w:r>
          </w:p>
        </w:tc>
      </w:tr>
      <w:tr>
        <w:tc>
          <w:tcPr>
            <w:tcW w:type="dxa" w:w="1656"/>
          </w:tcPr>
          <w:p>
            <w:r>
              <w:t>ADCB / Syndicate</w:t>
            </w:r>
          </w:p>
        </w:tc>
        <w:tc>
          <w:tcPr>
            <w:tcW w:type="dxa" w:w="1656"/>
          </w:tcPr>
          <w:p>
            <w:r>
              <w:t>Jumeirah Branded Residences Facility</w:t>
            </w:r>
          </w:p>
        </w:tc>
        <w:tc>
          <w:tcPr>
            <w:tcW w:type="dxa" w:w="1656"/>
          </w:tcPr>
          <w:p>
            <w:r>
              <w:t>Project Finance Facility</w:t>
            </w:r>
          </w:p>
        </w:tc>
        <w:tc>
          <w:tcPr>
            <w:tcW w:type="dxa" w:w="1656"/>
          </w:tcPr>
          <w:p>
            <w:r>
              <w:t>$175,000,000</w:t>
            </w:r>
          </w:p>
        </w:tc>
        <w:tc>
          <w:tcPr>
            <w:tcW w:type="dxa" w:w="1656"/>
          </w:tcPr>
          <w:p>
            <w:r>
              <w:t>2028-12-31</w:t>
            </w:r>
          </w:p>
        </w:tc>
        <w:tc>
          <w:tcPr>
            <w:tcW w:type="dxa" w:w="1656"/>
            <w:shd w:fill="EAF3E5"/>
          </w:tcPr>
          <w:p>
            <w:r>
              <w:t>Outstanding</w:t>
            </w:r>
          </w:p>
        </w:tc>
      </w:tr>
      <w:tr>
        <w:tc>
          <w:tcPr>
            <w:tcW w:type="dxa" w:w="1656"/>
          </w:tcPr>
          <w:p>
            <w:r>
              <w:t>Standard Chartered</w:t>
            </w:r>
          </w:p>
        </w:tc>
        <w:tc>
          <w:tcPr>
            <w:tcW w:type="dxa" w:w="1656"/>
          </w:tcPr>
          <w:p>
            <w:r>
              <w:t>Downtown Mixed-Use Bridge</w:t>
            </w:r>
          </w:p>
        </w:tc>
        <w:tc>
          <w:tcPr>
            <w:tcW w:type="dxa" w:w="1656"/>
          </w:tcPr>
          <w:p>
            <w:r>
              <w:t>Bridge / Construction Loan</w:t>
            </w:r>
          </w:p>
        </w:tc>
        <w:tc>
          <w:tcPr>
            <w:tcW w:type="dxa" w:w="1656"/>
          </w:tcPr>
          <w:p>
            <w:r>
              <w:t>$80,000,000</w:t>
            </w:r>
          </w:p>
        </w:tc>
        <w:tc>
          <w:tcPr>
            <w:tcW w:type="dxa" w:w="1656"/>
          </w:tcPr>
          <w:p>
            <w:r>
              <w:t>2023-11-15</w:t>
            </w:r>
          </w:p>
        </w:tc>
        <w:tc>
          <w:tcPr>
            <w:tcW w:type="dxa" w:w="1656"/>
            <w:shd w:fill="FFF2CC"/>
          </w:tcPr>
          <w:p>
            <w:r>
              <w:t>Refinanced in 2023</w:t>
            </w:r>
          </w:p>
        </w:tc>
      </w:tr>
    </w:tbl>
    <w:p>
      <w:pPr>
        <w:pStyle w:val="Heading2Custom"/>
      </w:pPr>
      <w:r>
        <w:t>Each facility is summarized below with emphasis on economic terms, security package, covenant framework, and historical compliance observations.</w:t>
      </w:r>
    </w:p>
    <w:p>
      <w:pPr>
        <w:pStyle w:val="Heading2Custom"/>
      </w:pPr>
      <w:r>
        <w:t>Marina Residences Construction Facility</w:t>
      </w:r>
    </w:p>
    <w:p>
      <w:r>
        <w:t>Marina Residences Construction Facility was entered into with Emirates NBD on 2021-04-15 with an original committed principal amount of $185,000,000. The facility is categorized as a construction loan and bears pricing on a SOFR + 250 bps basis, resulting in an indicative all-in rate of approximately 6.75% at current reference settings.</w:t>
      </w:r>
    </w:p>
    <w:p>
      <w:r>
        <w:t>The contractual maturity date is 2027-06-30. The repayment profile provides for quarterly interest; 20% cash sweep; bullet at maturity. The security package includes first ranking mortgage over project land; escrow assignment; spv share pledge.</w:t>
      </w:r>
    </w:p>
    <w:p>
      <w:r>
        <w:t>From a diligence perspective, the principal considerations for this facility are the degree of collateral concentration, sweep or cash trap mechanics, any reliance on forward sales absorption, and the extent to which covenant headroom depends on sponsor support or continued access to the revolving liquidity line. Current status: Outstanding.</w:t>
      </w:r>
    </w:p>
    <w:p>
      <w:pPr>
        <w:pStyle w:val="Heading2Custom"/>
      </w:pPr>
      <w:r>
        <w:t>Palm Waterfront Villas Project Finance</w:t>
      </w:r>
    </w:p>
    <w:p>
      <w:r>
        <w:t>Palm Waterfront Villas Project Finance was entered into with First Abu Dhabi Bank on 2022-02-01 with an original committed principal amount of $220,000,000. The facility is categorized as a project finance facility and bears pricing on a SOFR + 225 bps basis, resulting in an indicative all-in rate of approximately 6.50% at current reference settings.</w:t>
      </w:r>
    </w:p>
    <w:p>
      <w:r>
        <w:t>The contractual maturity date is 2028-03-31. The repayment profile provides for interest-only during build; staged principal from handovers. The security package includes mortgage over land and villas inventory; receivables assignment; dsra.</w:t>
      </w:r>
    </w:p>
    <w:p>
      <w:r>
        <w:t>From a diligence perspective, the principal considerations for this facility are the degree of collateral concentration, sweep or cash trap mechanics, any reliance on forward sales absorption, and the extent to which covenant headroom depends on sponsor support or continued access to the revolving liquidity line. Current status: Outstanding.</w:t>
      </w:r>
    </w:p>
    <w:p>
      <w:pPr>
        <w:pStyle w:val="Heading2Custom"/>
      </w:pPr>
      <w:r>
        <w:t>Corporate Term Loan</w:t>
      </w:r>
    </w:p>
    <w:p>
      <w:r>
        <w:t>Corporate Term Loan was entered into with Mashreq Bank on 2021-09-20 with an original committed principal amount of $90,000,000. The facility is categorized as a corporate term loan and bears pricing on a Fixed / hedged equivalent basis, resulting in an indicative all-in rate of approximately 7.25% at current reference settings.</w:t>
      </w:r>
    </w:p>
    <w:p>
      <w:r>
        <w:t>The contractual maturity date is 2026-09-20. The repayment profile provides for semi-annual amortization after 18-month grace. The security package includes corporate guarantee; share pledge over holding entities.</w:t>
      </w:r>
    </w:p>
    <w:p>
      <w:r>
        <w:t>From a diligence perspective, the principal considerations for this facility are the degree of collateral concentration, sweep or cash trap mechanics, any reliance on forward sales absorption, and the extent to which covenant headroom depends on sponsor support or continued access to the revolving liquidity line. Current status: Outstanding.</w:t>
      </w:r>
    </w:p>
    <w:p>
      <w:pPr>
        <w:pStyle w:val="Heading2Custom"/>
      </w:pPr>
      <w:r>
        <w:t>Working Capital RCF</w:t>
      </w:r>
    </w:p>
    <w:p>
      <w:r>
        <w:t>Working Capital RCF was entered into with HSBC Middle East on 2023-01-10 with an original committed principal amount of $50,000,000. The facility is categorized as a revolving credit facility and bears pricing on a SOFR + 300 bps basis, resulting in an indicative all-in rate of approximately 7.00% at current reference settings.</w:t>
      </w:r>
    </w:p>
    <w:p>
      <w:r>
        <w:t>The contractual maturity date is 2026-01-10. The repayment profile provides for clean-down 15 days annually. The security package includes receivables debenture; negative pledge.</w:t>
      </w:r>
    </w:p>
    <w:p>
      <w:r>
        <w:t>From a diligence perspective, the principal considerations for this facility are the degree of collateral concentration, sweep or cash trap mechanics, any reliance on forward sales absorption, and the extent to which covenant headroom depends on sponsor support or continued access to the revolving liquidity line. Current status: Outstanding.</w:t>
      </w:r>
    </w:p>
    <w:p>
      <w:pPr>
        <w:pStyle w:val="Heading2Custom"/>
      </w:pPr>
      <w:r>
        <w:t>Shareholder Loan A</w:t>
      </w:r>
    </w:p>
    <w:p>
      <w:r>
        <w:t>Shareholder Loan A was entered into with Sponsor Consortium on 2022-07-01 with an original committed principal amount of $65,000,000. The facility is categorized as a shareholder loan and bears pricing on a PIK / cash toggle basis, resulting in an indicative all-in rate of approximately 9.00% at current reference settings.</w:t>
      </w:r>
    </w:p>
    <w:p>
      <w:r>
        <w:t>The contractual maturity date is 2029-12-31. The repayment profile provides for bullet repayment; subordinated. The security package includes unsecured; subordinated by intercreditor deed.</w:t>
      </w:r>
    </w:p>
    <w:p>
      <w:r>
        <w:t>From a diligence perspective, the principal considerations for this facility are the degree of collateral concentration, sweep or cash trap mechanics, any reliance on forward sales absorption, and the extent to which covenant headroom depends on sponsor support or continued access to the revolving liquidity line. Current status: Outstanding.</w:t>
      </w:r>
    </w:p>
    <w:p>
      <w:pPr>
        <w:pStyle w:val="Heading2Custom"/>
      </w:pPr>
      <w:r>
        <w:t>Jumeirah Branded Residences Facility</w:t>
      </w:r>
    </w:p>
    <w:p>
      <w:r>
        <w:t>Jumeirah Branded Residences Facility was entered into with ADCB / Syndicate on 2023-05-01 with an original committed principal amount of $175,000,000. The facility is categorized as a project finance facility and bears pricing on a SOFR + 260 bps basis, resulting in an indicative all-in rate of approximately 6.85% at current reference settings.</w:t>
      </w:r>
    </w:p>
    <w:p>
      <w:r>
        <w:t>The contractual maturity date is 2028-12-31. The repayment profile provides for quarterly interest; principal from closing collections. The security package includes mortgage, escrow pledge, assignment of hotel operator receivables.</w:t>
      </w:r>
    </w:p>
    <w:p>
      <w:r>
        <w:t>From a diligence perspective, the principal considerations for this facility are the degree of collateral concentration, sweep or cash trap mechanics, any reliance on forward sales absorption, and the extent to which covenant headroom depends on sponsor support or continued access to the revolving liquidity line. Current status: Outstanding.</w:t>
      </w:r>
    </w:p>
    <w:p>
      <w:pPr>
        <w:pStyle w:val="Heading2Custom"/>
      </w:pPr>
      <w:r>
        <w:t>Downtown Mixed-Use Bridge</w:t>
      </w:r>
    </w:p>
    <w:p>
      <w:r>
        <w:t>Downtown Mixed-Use Bridge was entered into with Standard Chartered on 2020-11-15 with an original committed principal amount of $80,000,000. The facility is categorized as a bridge / construction loan and bears pricing on a LIBOR/SOFR linked basis, resulting in an indicative all-in rate of approximately 6.10% at current reference settings.</w:t>
      </w:r>
    </w:p>
    <w:p>
      <w:r>
        <w:t>The contractual maturity date is 2023-11-15. The repayment profile provides for monthly interest; bullet at refinance. The security package includes land mortgage; completion support.</w:t>
      </w:r>
    </w:p>
    <w:p>
      <w:r>
        <w:t>From a diligence perspective, the principal considerations for this facility are the degree of collateral concentration, sweep or cash trap mechanics, any reliance on forward sales absorption, and the extent to which covenant headroom depends on sponsor support or continued access to the revolving liquidity line. Current status: Refinanced in 2023.</w:t>
      </w:r>
    </w:p>
    <w:p>
      <w:pPr>
        <w:pStyle w:val="Heading1Custom"/>
      </w:pPr>
      <w:r>
        <w:t>5. Security and Collateral</w:t>
      </w:r>
    </w:p>
    <w:p>
      <w:r>
        <w:t>Security packages across the financing portfolio are consistent with UAE real estate development practice. Project lenders typically benefit from first ranking mortgages over underlying development plots and improvements, assignments of material project agreements, pledges over project bank accounts and escrow balances, and pledges over equity interests in project SPVs. These packages are designed to give lenders direct control over cash flows and project-level enforcement rights in downside scenarios.</w:t>
      </w:r>
    </w:p>
    <w:p>
      <w:r>
        <w:t>In addition, assignment of receivables from sold units and commercial leases supports repayment predictability, while debt service reserve accounts provide limited liquidity buffering. Where branded residences or hospitality components are present, lenders may also require assignment of operator receivables, insurance proceeds, and step-in rights under hotel or property management agreements. Corporate facilities rely more heavily on negative pledges, debentures over receivables, and sponsor undertakings than on real estate mortgages alone.</w:t>
      </w:r>
    </w:p>
    <w:p>
      <w:pPr>
        <w:pStyle w:val="Heading1Custom"/>
      </w:pPr>
      <w:r>
        <w:t>6. Financial Covenants</w:t>
      </w:r>
    </w:p>
    <w:p>
      <w:r>
        <w:t>Financial covenants are the primary mechanism through which lenders monitor ongoing project viability and borrower discipline. Typical tests include a minimum unrestricted liquidity threshold at the corporate level, debt service coverage ratio tests once projects enter repayment periods, maximum loan-to-cost and loan-to-value tests, minimum contracted sales levels before drawdown of certain tranches, and project completion milestones supported by independent engineer certifications.</w:t>
      </w:r>
    </w:p>
    <w:p>
      <w:r>
        <w:t>Selected project facilities also include minimum escrow balances, minimum equity contribution requirements, restrictions on cost-to-complete deterioration, and cash sweep triggers if pre-sales or collections underperform plan. The corporate term loan includes a consolidated leverage test and interest cover test. Shareholder loans remain structurally subordinated and are restricted from repayment while senior facilities remain outstanding unless intercreditor conditions are satisfied.</w:t>
      </w:r>
    </w:p>
    <w:p>
      <w:pPr>
        <w:pStyle w:val="Heading1Custom"/>
      </w:pPr>
      <w:r>
        <w:t>7. Operational Covenants</w:t>
      </w:r>
    </w:p>
    <w:p>
      <w:r>
        <w:t>Operational covenants include restrictions on additional indebtedness, limitations on disposals outside the ordinary course, prohibitions on dividend leakage above agreed thresholds, mandatory lender consent for material project changes, and reporting requirements covering budgets, sales absorption, cost-to-complete reports, and monthly cash flow forecasts. For development facilities, lenders also require compliance with project escrow regulations, maintenance of key permits, and evidence that contractor appointments remain in force.</w:t>
      </w:r>
    </w:p>
    <w:p>
      <w:r>
        <w:t>These undertakings are particularly important in the Dubai development market because off-plan sales, handover timing, and escrow release mechanics directly affect the source of debt service. Lenders therefore retain broad visibility over construction and commercial execution rather than relying solely on historical financial statements.</w:t>
      </w:r>
    </w:p>
    <w:p>
      <w:pPr>
        <w:pStyle w:val="Heading1Custom"/>
      </w:pPr>
      <w:r>
        <w:t>8. Debt Service Requirements</w:t>
      </w:r>
    </w:p>
    <w:p>
      <w:r>
        <w:t>Debt service obligations vary by facility and are sequenced around the development cycle. Construction and project finance facilities are typically interest-only during the build phase, with principal amortization commencing upon achievement of handover milestones or receipt of customer closing collections. Corporate debt follows a more conventional amortizing schedule, while the revolving credit facility requires periodic clean-downs to confirm that it is not being used as permanent capital.</w:t>
      </w:r>
    </w:p>
    <w:p>
      <w:r>
        <w:t>Debt service modeling therefore depends on accurate phasing of customer collections, construction certification, and handover timing. Balloon maturities remain a relevant refinancing consideration for facilities that contemplate repayment through asset sales, refinance proceeds, or large closing collection events. Shareholder instruments are typically back-ended and may accrue interest on a payment-in-kind basis while senior debt remains outstanding.</w:t>
      </w:r>
    </w:p>
    <w:p>
      <w:pPr>
        <w:pStyle w:val="Heading1Custom"/>
      </w:pPr>
      <w:r>
        <w:t>9. Compliance with Loan Covenants</w:t>
      </w:r>
    </w:p>
    <w:p>
      <w:r>
        <w:t>Based on management representations and the illustrative schedule prepared for diligence, Aurelia has historically maintained compliance with core financial and operational covenants, subject to limited amendments and waivers in connection with construction timetable shifts, documentation refreshes, and benchmark rate transition matters. Covenant testing is performed monthly at the management reporting level and quarterly for formal lender certification.</w:t>
      </w:r>
    </w:p>
    <w:p>
      <w:r>
        <w:t>Where covenant headroom narrowed, management relied on equity cures, acceleration of customer collection efforts, and temporary restrictions on discretionary capex and distributions. The diligence implication is that formal covenant breach history appears limited, but ongoing compliance remains sensitive to cost overruns, slower unit absorption, and the timing mismatch between escrow-restricted cash and unrestricted corporate liquidity.</w:t>
      </w:r>
    </w:p>
    <w:p>
      <w:pPr>
        <w:pStyle w:val="Heading1Custom"/>
      </w:pPr>
      <w:r>
        <w:t>10. Debt Refinancing and Amendments</w:t>
      </w:r>
    </w:p>
    <w:p>
      <w:r>
        <w:t>Historical financing activity shows an active pattern of amendments and refinancings. The Downtown Mixed-Use Bridge facility was refinanced during 2023 into a longer-dated project finance structure as the project moved from landbanking and enabling works into main construction. Benchmark transition amendments were also required across floating-rate facilities to move from LIBOR-based pricing references toward SOFR or equivalent replacement benchmarks.</w:t>
      </w:r>
    </w:p>
    <w:p>
      <w:r>
        <w:t>Amendments have generally addressed maturity extensions, revised drawdown conditions, covenant recalibration, and updates to permitted distributions. From a diligence perspective, such amendments are not inherently adverse; however, repeated covenant resets or material maturity pushes may indicate underlying execution stress and should be evaluated alongside project cost-to-complete and sales performance.</w:t>
      </w:r>
    </w:p>
    <w:p>
      <w:pPr>
        <w:pStyle w:val="Heading1Custom"/>
      </w:pPr>
      <w:r>
        <w:t>11. Debt Risk Assessment</w:t>
      </w:r>
    </w:p>
    <w:p>
      <w:r>
        <w:t>The principal risks associated with Aurelia’s financing profile are refinancing risk on bullet structures, interest rate exposure on floating-rate tranches, covenant breach risk under downside sales or cost inflation scenarios, and ring-fencing constraints that may limit the availability of project cash to support corporate obligations. Facilities secured by escrow-linked receivables may also face timing risk if regulatory release conditions delay upstream cash access.</w:t>
      </w:r>
    </w:p>
    <w:p>
      <w:r>
        <w:t>Private equity investors should also evaluate concentration risk by lender group, cross-default provisions, reliance on sponsor support, and the extent to which joint venture partners can constrain refinancing flexibility. In an adverse scenario, cost overruns, delayed handovers, or reduced sales velocity could simultaneously increase leverage, compress debt service coverage, and create requests for waivers, cure funding, or recapitalization.</w:t>
      </w:r>
    </w:p>
    <w:p>
      <w:pPr>
        <w:pStyle w:val="Heading1Custom"/>
      </w:pPr>
      <w:r>
        <w:t>Appendix A – Illustrative Covenant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Facility</w:t>
            </w:r>
          </w:p>
        </w:tc>
        <w:tc>
          <w:tcPr>
            <w:tcW w:type="dxa" w:w="2484"/>
            <w:shd w:fill="D9EAF7"/>
          </w:tcPr>
          <w:p>
            <w:r>
              <w:rPr>
                <w:b/>
              </w:rPr>
              <w:t>Key Covenant</w:t>
            </w:r>
          </w:p>
        </w:tc>
        <w:tc>
          <w:tcPr>
            <w:tcW w:type="dxa" w:w="2484"/>
            <w:shd w:fill="D9EAF7"/>
          </w:tcPr>
          <w:p>
            <w:r>
              <w:rPr>
                <w:b/>
              </w:rPr>
              <w:t>Threshold</w:t>
            </w:r>
          </w:p>
        </w:tc>
        <w:tc>
          <w:tcPr>
            <w:tcW w:type="dxa" w:w="2484"/>
            <w:shd w:fill="D9EAF7"/>
          </w:tcPr>
          <w:p>
            <w:r>
              <w:rPr>
                <w:b/>
              </w:rPr>
              <w:t>Current Indicative Status</w:t>
            </w:r>
          </w:p>
        </w:tc>
      </w:tr>
      <w:tr>
        <w:tc>
          <w:tcPr>
            <w:tcW w:type="dxa" w:w="2484"/>
          </w:tcPr>
          <w:p>
            <w:r>
              <w:t>Corporate Term Loan</w:t>
            </w:r>
          </w:p>
        </w:tc>
        <w:tc>
          <w:tcPr>
            <w:tcW w:type="dxa" w:w="2484"/>
          </w:tcPr>
          <w:p>
            <w:r>
              <w:t>Minimum liquidity</w:t>
            </w:r>
          </w:p>
        </w:tc>
        <w:tc>
          <w:tcPr>
            <w:tcW w:type="dxa" w:w="2484"/>
          </w:tcPr>
          <w:p>
            <w:r>
              <w:t>$25.0m unrestricted cash</w:t>
            </w:r>
          </w:p>
        </w:tc>
        <w:tc>
          <w:tcPr>
            <w:tcW w:type="dxa" w:w="2484"/>
          </w:tcPr>
          <w:p>
            <w:r>
              <w:t>Compliant</w:t>
            </w:r>
          </w:p>
        </w:tc>
      </w:tr>
      <w:tr>
        <w:tc>
          <w:tcPr>
            <w:tcW w:type="dxa" w:w="2484"/>
          </w:tcPr>
          <w:p>
            <w:r>
              <w:t>Corporate Term Loan</w:t>
            </w:r>
          </w:p>
        </w:tc>
        <w:tc>
          <w:tcPr>
            <w:tcW w:type="dxa" w:w="2484"/>
          </w:tcPr>
          <w:p>
            <w:r>
              <w:t>Net leverage</w:t>
            </w:r>
          </w:p>
        </w:tc>
        <w:tc>
          <w:tcPr>
            <w:tcW w:type="dxa" w:w="2484"/>
          </w:tcPr>
          <w:p>
            <w:r>
              <w:t>Maximum 3.5x</w:t>
            </w:r>
          </w:p>
        </w:tc>
        <w:tc>
          <w:tcPr>
            <w:tcW w:type="dxa" w:w="2484"/>
          </w:tcPr>
          <w:p>
            <w:r>
              <w:t>Compliant</w:t>
            </w:r>
          </w:p>
        </w:tc>
      </w:tr>
      <w:tr>
        <w:tc>
          <w:tcPr>
            <w:tcW w:type="dxa" w:w="2484"/>
          </w:tcPr>
          <w:p>
            <w:r>
              <w:t>Marina Residences Construction Facility</w:t>
            </w:r>
          </w:p>
        </w:tc>
        <w:tc>
          <w:tcPr>
            <w:tcW w:type="dxa" w:w="2484"/>
          </w:tcPr>
          <w:p>
            <w:r>
              <w:t>Loan-to-cost</w:t>
            </w:r>
          </w:p>
        </w:tc>
        <w:tc>
          <w:tcPr>
            <w:tcW w:type="dxa" w:w="2484"/>
          </w:tcPr>
          <w:p>
            <w:r>
              <w:t>Maximum 70%</w:t>
            </w:r>
          </w:p>
        </w:tc>
        <w:tc>
          <w:tcPr>
            <w:tcW w:type="dxa" w:w="2484"/>
          </w:tcPr>
          <w:p>
            <w:r>
              <w:t>Compliant</w:t>
            </w:r>
          </w:p>
        </w:tc>
      </w:tr>
      <w:tr>
        <w:tc>
          <w:tcPr>
            <w:tcW w:type="dxa" w:w="2484"/>
          </w:tcPr>
          <w:p>
            <w:r>
              <w:t>Palm Waterfront Villas Project Finance</w:t>
            </w:r>
          </w:p>
        </w:tc>
        <w:tc>
          <w:tcPr>
            <w:tcW w:type="dxa" w:w="2484"/>
          </w:tcPr>
          <w:p>
            <w:r>
              <w:t>Debt service coverage</w:t>
            </w:r>
          </w:p>
        </w:tc>
        <w:tc>
          <w:tcPr>
            <w:tcW w:type="dxa" w:w="2484"/>
          </w:tcPr>
          <w:p>
            <w:r>
              <w:t>Minimum 1.20x once amortizing</w:t>
            </w:r>
          </w:p>
        </w:tc>
        <w:tc>
          <w:tcPr>
            <w:tcW w:type="dxa" w:w="2484"/>
          </w:tcPr>
          <w:p>
            <w:r>
              <w:t>Compliant</w:t>
            </w:r>
          </w:p>
        </w:tc>
      </w:tr>
      <w:tr>
        <w:tc>
          <w:tcPr>
            <w:tcW w:type="dxa" w:w="2484"/>
          </w:tcPr>
          <w:p>
            <w:r>
              <w:t>Jumeirah Branded Residences Facility</w:t>
            </w:r>
          </w:p>
        </w:tc>
        <w:tc>
          <w:tcPr>
            <w:tcW w:type="dxa" w:w="2484"/>
          </w:tcPr>
          <w:p>
            <w:r>
              <w:t>Minimum contracted sales before tranche B</w:t>
            </w:r>
          </w:p>
        </w:tc>
        <w:tc>
          <w:tcPr>
            <w:tcW w:type="dxa" w:w="2484"/>
          </w:tcPr>
          <w:p>
            <w:r>
              <w:t>55% of GDV</w:t>
            </w:r>
          </w:p>
        </w:tc>
        <w:tc>
          <w:tcPr>
            <w:tcW w:type="dxa" w:w="2484"/>
            <w:shd w:fill="FFF2CC"/>
          </w:tcPr>
          <w:p>
            <w:r>
              <w:t>Watchlist / close to trigger</w:t>
            </w:r>
          </w:p>
        </w:tc>
      </w:tr>
      <w:tr>
        <w:tc>
          <w:tcPr>
            <w:tcW w:type="dxa" w:w="2484"/>
          </w:tcPr>
          <w:p>
            <w:r>
              <w:t>Working Capital RCF</w:t>
            </w:r>
          </w:p>
        </w:tc>
        <w:tc>
          <w:tcPr>
            <w:tcW w:type="dxa" w:w="2484"/>
          </w:tcPr>
          <w:p>
            <w:r>
              <w:t>Annual clean-down</w:t>
            </w:r>
          </w:p>
        </w:tc>
        <w:tc>
          <w:tcPr>
            <w:tcW w:type="dxa" w:w="2484"/>
          </w:tcPr>
          <w:p>
            <w:r>
              <w:t>15 consecutive days</w:t>
            </w:r>
          </w:p>
        </w:tc>
        <w:tc>
          <w:tcPr>
            <w:tcW w:type="dxa" w:w="2484"/>
          </w:tcPr>
          <w:p>
            <w:r>
              <w:t>Compliant</w:t>
            </w:r>
          </w:p>
        </w:tc>
      </w:tr>
    </w:tbl>
    <w:p>
      <w:pPr>
        <w:pStyle w:val="Heading2Custom"/>
      </w:pPr>
      <w:r>
        <w:t>Prepared for illustrative diligence purposes. This memorandum is not legal advice and does not substitute for review of executed loan documentation, intercreditor deeds, security registrations, lender certificates, or direct confirmations.</w:t>
      </w:r>
    </w:p>
    <w:sectPr w:rsidR="00FC693F" w:rsidRPr="0006063C" w:rsidSect="00034616">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120" w:before="160"/>
    </w:pPr>
    <w:rPr>
      <w:rFonts w:ascii="Aptos" w:hAnsi="Aptos"/>
      <w:b/>
      <w:color w:val="1F4E78"/>
      <w:sz w:val="40"/>
    </w:rPr>
  </w:style>
  <w:style w:type="paragraph" w:customStyle="1" w:styleId="Heading1Custom">
    <w:name w:val="Heading1Custom"/>
    <w:pPr>
      <w:spacing w:after="120" w:before="160"/>
    </w:pPr>
    <w:rPr>
      <w:rFonts w:ascii="Aptos" w:hAnsi="Aptos"/>
      <w:b/>
      <w:color w:val="1F1F1F"/>
      <w:sz w:val="26"/>
    </w:rPr>
  </w:style>
  <w:style w:type="paragraph" w:customStyle="1" w:styleId="Heading2Custom">
    <w:name w:val="Heading2Custom"/>
    <w:pPr>
      <w:spacing w:after="120" w:before="160"/>
    </w:pPr>
    <w:rPr>
      <w:rFonts w:ascii="Aptos" w:hAnsi="Aptos"/>
      <w:b/>
      <w:color w:val="1F4E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