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Details of Related Party Transactions</w:t>
        <w:br/>
        <w:t>Aurelia Developments LLC</w:t>
      </w:r>
    </w:p>
    <w:p>
      <w:pPr>
        <w:jc w:val="center"/>
      </w:pPr>
      <w:r>
        <w:rPr>
          <w:b/>
          <w:color w:val="595959"/>
          <w:sz w:val="22"/>
        </w:rPr>
        <w:t>Comprehensive diligence memorandum prepared in a Big 4–style format</w:t>
      </w:r>
    </w:p>
    <w:p>
      <w:pPr>
        <w:pStyle w:val="SmallNote"/>
        <w:jc w:val="center"/>
      </w:pPr>
      <w:r>
        <w:t>Illustrative related party disclosure package for private equity due diligence, external audit support, lender review, and governance assessment.</w:t>
      </w:r>
    </w:p>
    <w:tbl>
      <w:tblPr>
        <w:tblW w:type="auto" w:w="0"/>
        <w:jc w:val="center"/>
        <w:tblLayout w:type="fixed"/>
        <w:tblLook w:firstColumn="1" w:firstRow="1" w:lastColumn="0" w:lastRow="0" w:noHBand="0" w:noVBand="1" w:val="04A0"/>
      </w:tblPr>
      <w:tblGrid>
        <w:gridCol w:w="4968"/>
        <w:gridCol w:w="4968"/>
      </w:tblGrid>
      <w:tr>
        <w:tc>
          <w:tcPr>
            <w:tcW w:type="dxa" w:w="2880"/>
            <w:shd w:fill="D9E2F3"/>
            <w:tcMar>
              <w:top w:w="100" w:type="dxa"/>
              <w:start w:w="120" w:type="dxa"/>
              <w:bottom w:w="100" w:type="dxa"/>
              <w:end w:w="120" w:type="dxa"/>
            </w:tcMar>
          </w:tcPr>
          <w:p>
            <w:r>
              <w:rPr>
                <w:b/>
                <w:color w:val="1F4E79"/>
              </w:rPr>
              <w:t>Company</w:t>
            </w:r>
          </w:p>
        </w:tc>
        <w:tc>
          <w:tcPr>
            <w:tcW w:type="dxa" w:w="6480"/>
            <w:shd w:fill="F7F9FC"/>
            <w:tcMar>
              <w:top w:w="100" w:type="dxa"/>
              <w:start w:w="120" w:type="dxa"/>
              <w:bottom w:w="100" w:type="dxa"/>
              <w:end w:w="120" w:type="dxa"/>
            </w:tcMar>
          </w:tcPr>
          <w:p>
            <w:r>
              <w:t>Aurelia Developments LLC</w:t>
            </w:r>
          </w:p>
        </w:tc>
      </w:tr>
      <w:tr>
        <w:tc>
          <w:tcPr>
            <w:tcW w:type="dxa" w:w="2880"/>
            <w:shd w:fill="D9E2F3"/>
            <w:tcMar>
              <w:top w:w="100" w:type="dxa"/>
              <w:start w:w="120" w:type="dxa"/>
              <w:bottom w:w="100" w:type="dxa"/>
              <w:end w:w="120" w:type="dxa"/>
            </w:tcMar>
          </w:tcPr>
          <w:p>
            <w:r>
              <w:rPr>
                <w:b/>
                <w:color w:val="1F4E79"/>
              </w:rPr>
              <w:t>Industry</w:t>
            </w:r>
          </w:p>
        </w:tc>
        <w:tc>
          <w:tcPr>
            <w:tcW w:type="dxa" w:w="6480"/>
            <w:shd w:fill="F7F9FC"/>
            <w:tcMar>
              <w:top w:w="100" w:type="dxa"/>
              <w:start w:w="120" w:type="dxa"/>
              <w:bottom w:w="100" w:type="dxa"/>
              <w:end w:w="120" w:type="dxa"/>
            </w:tcMar>
          </w:tcPr>
          <w:p>
            <w:r>
              <w:t>Luxury real estate development and mixed-use projects</w:t>
            </w:r>
          </w:p>
        </w:tc>
      </w:tr>
      <w:tr>
        <w:tc>
          <w:tcPr>
            <w:tcW w:type="dxa" w:w="2880"/>
            <w:shd w:fill="D9E2F3"/>
            <w:tcMar>
              <w:top w:w="100" w:type="dxa"/>
              <w:start w:w="120" w:type="dxa"/>
              <w:bottom w:w="100" w:type="dxa"/>
              <w:end w:w="120" w:type="dxa"/>
            </w:tcMar>
          </w:tcPr>
          <w:p>
            <w:r>
              <w:rPr>
                <w:b/>
                <w:color w:val="1F4E79"/>
              </w:rPr>
              <w:t>Period covered</w:t>
            </w:r>
          </w:p>
        </w:tc>
        <w:tc>
          <w:tcPr>
            <w:tcW w:type="dxa" w:w="6480"/>
            <w:shd w:fill="F7F9FC"/>
            <w:tcMar>
              <w:top w:w="100" w:type="dxa"/>
              <w:start w:w="120" w:type="dxa"/>
              <w:bottom w:w="100" w:type="dxa"/>
              <w:end w:w="120" w:type="dxa"/>
            </w:tcMar>
          </w:tcPr>
          <w:p>
            <w:r>
              <w:t>Past three fiscal years</w:t>
            </w:r>
          </w:p>
        </w:tc>
      </w:tr>
      <w:tr>
        <w:tc>
          <w:tcPr>
            <w:tcW w:type="dxa" w:w="2880"/>
            <w:shd w:fill="D9E2F3"/>
            <w:tcMar>
              <w:top w:w="100" w:type="dxa"/>
              <w:start w:w="120" w:type="dxa"/>
              <w:bottom w:w="100" w:type="dxa"/>
              <w:end w:w="120" w:type="dxa"/>
            </w:tcMar>
          </w:tcPr>
          <w:p>
            <w:r>
              <w:rPr>
                <w:b/>
                <w:color w:val="1F4E79"/>
              </w:rPr>
              <w:t>Primary frameworks considered</w:t>
            </w:r>
          </w:p>
        </w:tc>
        <w:tc>
          <w:tcPr>
            <w:tcW w:type="dxa" w:w="6480"/>
            <w:shd w:fill="F7F9FC"/>
            <w:tcMar>
              <w:top w:w="100" w:type="dxa"/>
              <w:start w:w="120" w:type="dxa"/>
              <w:bottom w:w="100" w:type="dxa"/>
              <w:end w:w="120" w:type="dxa"/>
            </w:tcMar>
          </w:tcPr>
          <w:p>
            <w:r>
              <w:t>IAS 24 Related Party Disclosures, IFRS-based presentation, and comparable GAAP concepts</w:t>
            </w:r>
          </w:p>
        </w:tc>
      </w:tr>
      <w:tr>
        <w:tc>
          <w:tcPr>
            <w:tcW w:type="dxa" w:w="2880"/>
            <w:shd w:fill="D9E2F3"/>
            <w:tcMar>
              <w:top w:w="100" w:type="dxa"/>
              <w:start w:w="120" w:type="dxa"/>
              <w:bottom w:w="100" w:type="dxa"/>
              <w:end w:w="120" w:type="dxa"/>
            </w:tcMar>
          </w:tcPr>
          <w:p>
            <w:r>
              <w:rPr>
                <w:b/>
                <w:color w:val="1F4E79"/>
              </w:rPr>
              <w:t>Deliverables</w:t>
            </w:r>
          </w:p>
        </w:tc>
        <w:tc>
          <w:tcPr>
            <w:tcW w:type="dxa" w:w="6480"/>
            <w:shd w:fill="F7F9FC"/>
            <w:tcMar>
              <w:top w:w="100" w:type="dxa"/>
              <w:start w:w="120" w:type="dxa"/>
              <w:bottom w:w="100" w:type="dxa"/>
              <w:end w:w="120" w:type="dxa"/>
            </w:tcMar>
          </w:tcPr>
          <w:p>
            <w:r>
              <w:t>Narrative memorandum and structured schedules for diligence review</w:t>
            </w:r>
          </w:p>
        </w:tc>
      </w:tr>
    </w:tbl>
    <w:p/>
    <w:tbl>
      <w:tblPr>
        <w:tblW w:type="auto" w:w="0"/>
        <w:jc w:val="center"/>
        <w:tblLook w:firstColumn="1" w:firstRow="1" w:lastColumn="0" w:lastRow="0" w:noHBand="0" w:noVBand="1" w:val="04A0"/>
      </w:tblPr>
      <w:tblGrid>
        <w:gridCol w:w="9936"/>
      </w:tblGrid>
      <w:tr>
        <w:tc>
          <w:tcPr>
            <w:tcW w:type="dxa" w:w="9936"/>
            <w:shd w:fill="1F4E79"/>
            <w:tcMar>
              <w:top w:w="140" w:type="dxa"/>
              <w:start w:w="140" w:type="dxa"/>
              <w:bottom w:w="140" w:type="dxa"/>
              <w:end w:w="140" w:type="dxa"/>
            </w:tcMar>
          </w:tcPr>
          <w:p>
            <w:r>
              <w:rPr>
                <w:b/>
                <w:color w:val="FFFFFF"/>
                <w:sz w:val="20"/>
              </w:rPr>
              <w:t>Important note: The transaction names, parties, and values set out in this package are illustrative and are designed to emulate a diligence-ready disclosure set for a large Dubai-based developer. They are not intended to represent audited historical fact.</w:t>
            </w:r>
          </w:p>
        </w:tc>
      </w:tr>
    </w:tbl>
    <w:p>
      <w:r>
        <w:br w:type="page"/>
      </w:r>
    </w:p>
    <w:p>
      <w:pPr>
        <w:pStyle w:val="Heading1"/>
      </w:pPr>
      <w:r>
        <w:t>1. Executive Summary</w:t>
      </w:r>
    </w:p>
    <w:p>
      <w:pPr/>
      <w:r>
        <w:t>Related party transactions are transactions, arrangements, balances, or commitments between an entity and parties that are not independent of it in the ordinary arm’s-length sense. In a privately held real estate developer, these relationships often arise through common ownership structures, board representation, shared management, affiliated service entities, development SPVs, co-investment vehicles, and family office structures. Although such transactions may be commercially legitimate and strategically useful, they also create heightened diligence sensitivity because pricing, timing, recoverability, and governance controls may differ from transactions negotiated with unrelated third parties.</w:t>
      </w:r>
    </w:p>
    <w:p>
      <w:pPr/>
      <w:r>
        <w:t>Private equity investors review related party transactions intensively because they can influence normalized EBITDA, working capital, cash conversion, leverage, and headline revenue quality. A transaction with a related party may accelerate cash collections, defer liabilities, distort operating margins, or embed support undertakings that are not obvious from the face of the primary financial statements. In addition, an aggressive use of affiliated counterparties may raise concerns about transfer pricing, fair value, independence of decision-making, and the sustainability of recurring earnings after an acquisition or IPO.</w:t>
      </w:r>
    </w:p>
    <w:p>
      <w:pPr/>
      <w:r>
        <w:t>For Aurelia Developments LLC, the relevant diligence universe includes shareholder loans and capital support arrangements, management service agreements with affiliated entities, land transactions with shareholder-controlled vehicles, development or procurement contracts involving entities linked to directors or affiliates, joint venture funding flows, leasing arrangements with related landlords, and balances outstanding with key management personnel and related entities. The objective of this memorandum is to identify the principal relationship categories, summarize the significant transactions and balances over the past three fiscal years, explain how such items would ordinarily be disclosed under IFRS-style related party guidance, and highlight the governance and risk implications that a financial sponsor or external auditor would typically evaluate.</w:t>
      </w:r>
    </w:p>
    <w:p>
      <w:pPr>
        <w:pStyle w:val="Heading1"/>
      </w:pPr>
      <w:r>
        <w:t>2. Applicable Accounting Standards</w:t>
      </w:r>
    </w:p>
    <w:p>
      <w:pPr/>
      <w:r>
        <w:t>The principal disclosure standard governing related party transactions under IFRS is IAS 24, Related Party Disclosures. IAS 24 requires an entity to disclose relationships with related parties, including the existence of control, joint control, or significant influence, compensation of key management personnel, and material transactions and balances with related parties. The objective is to ensure that financial statement users understand the potential effect of related party relationships on the entity’s financial position and performance, even when no transaction has occurred.</w:t>
      </w:r>
    </w:p>
    <w:p>
      <w:pPr/>
      <w:r>
        <w:t>Under IAS 24, disclosure is required for transactions, commitments, and outstanding balances with related parties, together with the terms and conditions of those balances, whether they are secured, and the nature of consideration to be provided in settlement. The standard also requires disclosure of key management compensation by category and emphasizes that transactions with related parties may not occur on the same terms as with unrelated parties. Accordingly, management should avoid implying arm’s-length terms unless it can substantiate that assertion.</w:t>
      </w:r>
    </w:p>
    <w:p>
      <w:pPr/>
      <w:r>
        <w:t>In diligence practice, related party analysis does not stop at accounting disclosure minimums. Review teams also consider governance standards, company law, stock exchange or regulator expectations, and transaction-specific matters such as conflict-of-interest policy compliance, board approvals, independence of pricing, and whether balances may need to be settled, novated, or normalized on change of control. For multinational investors, comparison with U.S. GAAP concepts under ASC 850 can also be relevant, even where the company reports under IFRS, because both frameworks share the objective of transparency around non-independent relationships and transactions.</w:t>
      </w:r>
    </w:p>
    <w:p>
      <w:pPr>
        <w:pStyle w:val="Heading1"/>
      </w:pPr>
      <w:r>
        <w:t>3. Definition of Related Parties</w:t>
      </w:r>
    </w:p>
    <w:p>
      <w:pPr/>
      <w:r>
        <w:t>For purposes of this memorandum, related parties include shareholders and beneficial owners with direct or indirect control; entities under common control; directors, officers, and other members of key management personnel; close family members of such individuals; joint ventures and associates; entities that are controlled or significantly influenced by key individuals; and vehicles established for the benefit of related persons. The analysis also captures practical relatedness, such as long-standing affiliated service companies used repeatedly across projects where common governance, economic dependency, or common ownership creates a non-arm’s-length relationship.</w:t>
      </w:r>
    </w:p>
    <w:p>
      <w:pPr/>
      <w:r>
        <w:t>Shareholders and beneficial owners are considered related parties when they control or jointly control the Company, either directly or through holding companies, trusts, or family office arrangements. Directors and senior officers are related parties because they participate in planning, directing, and controlling the Company’s activities. Subsidiaries, SPVs, and affiliates may be related parties through direct ownership or common management. Joint venture partners become relevant not only because of shared ownership, but also because they may transact with the Company through management fees, reimbursements, guarantees, land access agreements, or funding arrangements. Family members of key executives are included where they control or significantly influence entities that transact with the Company, or where the family relationship could affect commercial terms or approval processes.</w:t>
      </w:r>
    </w:p>
    <w:p>
      <w:pPr/>
      <w:r>
        <w:t>From a transaction diligence standpoint, the definition is intentionally broader than a narrow legal form analysis. Reviewers typically capture any arrangement where commercial independence may be impaired, whether through ownership, governance, economic dependence, common financing sources, or personal relationships among decision-makers.</w:t>
      </w:r>
    </w:p>
    <w:p>
      <w:pPr>
        <w:pStyle w:val="Heading1"/>
      </w:pPr>
      <w:r>
        <w:t>4. Overview of Related Party Relationships</w:t>
      </w:r>
    </w:p>
    <w:p>
      <w:pPr/>
      <w:r>
        <w:t>Aurelia Developments LLC operates within a broader ecosystem of shareholder-aligned vehicles, affiliated development platforms, project SPVs, and co-investment partnerships. The most significant related party relationship categories assumed for this package are: (i) shareholder-controlled entities that provide funding, land access, strategic services, or administrative support; (ii) affiliated development entities that share resources, procurement channels, project management teams, or branding relationships; (iii) joint venture platforms with common governance rights and recurring fee-based interactions; and (iv) entities owned or influenced by directors and senior management, including advisory, leasing, and service counterparties.</w:t>
      </w:r>
    </w:p>
    <w:p>
      <w:pPr/>
      <w:r>
        <w:t>Within this structure, related party transactions may arise for commercially valid reasons. For example, a shareholder-owned landholding vehicle may contribute or lease project land to the Company because it originally assembled the site. A shareholder or affiliate may also provide transitional working capital, completion support, or guarantee capacity where external financing is limited or priced expensively. Similarly, a management-owned advisory or service vehicle may historically have provided specialized design, branding, or project supervision services, particularly where the founder group built the business before institutionalizing those functions internally.</w:t>
      </w:r>
    </w:p>
    <w:p>
      <w:pPr/>
      <w:r>
        <w:t>However, these same structures create diligence sensitivities. Related party pricing may not be benchmarked in the same way as third-party pricing. Settlement patterns may be informal or rolled over rather than enforced. Contract terms may be amended without the same commercial friction present in an arm’s-length negotiation. Accordingly, investors and auditors generally require a complete map of relationships before relying on historical profitability or governance representations.</w:t>
      </w:r>
    </w:p>
    <w:p>
      <w:pPr>
        <w:pStyle w:val="Heading1"/>
      </w:pPr>
      <w:r>
        <w:t>5. Categories of Related Party Transactions</w:t>
      </w:r>
    </w:p>
    <w:p>
      <w:pPr/>
      <w:r>
        <w:t>The Company’s principal categories of related party transactions over the past three fiscal years include development management agreements, land acquisition and land access arrangements, intercompany or affiliated service agreements, financing arrangements with shareholders or affiliates, leasing and occupancy arrangements, construction or project support contracts with affiliated entities, reimbursements and expense allocations across SPVs, and compensation or benefit transactions involving directors and senior management.</w:t>
      </w:r>
    </w:p>
    <w:p>
      <w:pPr/>
      <w:r>
        <w:t>Development management agreements may arise where Aurelia provides project planning, design coordination, procurement oversight, sales management, or execution support to an affiliated SPV or joint venture. Land acquisition transactions may include purchases, deferred consideration, land swaps, or long-term access rights from a shareholder-controlled landholding entity. Consulting and advisory agreements may involve affiliated entities providing brand strategy, permitting support, legal coordination, technical design review, or owner’s representative functions. Leasing arrangements may involve office premises, sales galleries, warehousing, or temporary staff accommodation owned by shareholder- or director-linked entities.</w:t>
      </w:r>
    </w:p>
    <w:p>
      <w:pPr/>
      <w:r>
        <w:t>Financing arrangements are particularly important in real estate groups and may include shareholder loans, subordinated funding, interest-free bridge support, capital contribution settlements, debt service reserve support, or guarantees reimbursed through management accounts rather than formal invoices. Each category has different accounting, disclosure, and governance implications and therefore requires separate documentation of pricing, authorization, and settlement terms.</w:t>
      </w:r>
    </w:p>
    <w:p>
      <w:pPr>
        <w:pStyle w:val="Heading2"/>
      </w:pPr>
      <w:r>
        <w:t>Relationship matrix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Mar>
              <w:top w:w="90" w:type="dxa"/>
              <w:start w:w="100" w:type="dxa"/>
              <w:bottom w:w="90" w:type="dxa"/>
              <w:end w:w="100" w:type="dxa"/>
            </w:tcMar>
          </w:tcPr>
          <w:p>
            <w:r>
              <w:rPr>
                <w:b/>
                <w:color w:val="1F4E79"/>
              </w:rPr>
              <w:t>Related Party Group</w:t>
            </w:r>
          </w:p>
        </w:tc>
        <w:tc>
          <w:tcPr>
            <w:tcW w:type="dxa" w:w="2484"/>
            <w:shd w:fill="D9EAF7"/>
            <w:tcMar>
              <w:top w:w="90" w:type="dxa"/>
              <w:start w:w="100" w:type="dxa"/>
              <w:bottom w:w="90" w:type="dxa"/>
              <w:end w:w="100" w:type="dxa"/>
            </w:tcMar>
          </w:tcPr>
          <w:p>
            <w:r>
              <w:rPr>
                <w:b/>
                <w:color w:val="1F4E79"/>
              </w:rPr>
              <w:t>Illustrative Relationship</w:t>
            </w:r>
          </w:p>
        </w:tc>
        <w:tc>
          <w:tcPr>
            <w:tcW w:type="dxa" w:w="2484"/>
            <w:shd w:fill="D9EAF7"/>
            <w:tcMar>
              <w:top w:w="90" w:type="dxa"/>
              <w:start w:w="100" w:type="dxa"/>
              <w:bottom w:w="90" w:type="dxa"/>
              <w:end w:w="100" w:type="dxa"/>
            </w:tcMar>
          </w:tcPr>
          <w:p>
            <w:r>
              <w:rPr>
                <w:b/>
                <w:color w:val="1F4E79"/>
              </w:rPr>
              <w:t>Typical Transaction Flow</w:t>
            </w:r>
          </w:p>
        </w:tc>
        <w:tc>
          <w:tcPr>
            <w:tcW w:type="dxa" w:w="2484"/>
            <w:shd w:fill="D9EAF7"/>
            <w:tcMar>
              <w:top w:w="90" w:type="dxa"/>
              <w:start w:w="100" w:type="dxa"/>
              <w:bottom w:w="90" w:type="dxa"/>
              <w:end w:w="100" w:type="dxa"/>
            </w:tcMar>
          </w:tcPr>
          <w:p>
            <w:r>
              <w:rPr>
                <w:b/>
                <w:color w:val="1F4E79"/>
              </w:rPr>
              <w:t>Primary Diligence Focus</w:t>
            </w:r>
          </w:p>
        </w:tc>
      </w:tr>
      <w:tr>
        <w:tc>
          <w:tcPr>
            <w:tcW w:type="dxa" w:w="2484"/>
            <w:tcMar>
              <w:top w:w="90" w:type="dxa"/>
              <w:start w:w="100" w:type="dxa"/>
              <w:bottom w:w="90" w:type="dxa"/>
              <w:end w:w="100" w:type="dxa"/>
            </w:tcMar>
          </w:tcPr>
          <w:p>
            <w:r>
              <w:t>Shareholder-controlled vehicles</w:t>
            </w:r>
          </w:p>
        </w:tc>
        <w:tc>
          <w:tcPr>
            <w:tcW w:type="dxa" w:w="2484"/>
            <w:tcMar>
              <w:top w:w="90" w:type="dxa"/>
              <w:start w:w="100" w:type="dxa"/>
              <w:bottom w:w="90" w:type="dxa"/>
              <w:end w:w="100" w:type="dxa"/>
            </w:tcMar>
          </w:tcPr>
          <w:p>
            <w:r>
              <w:t>Common ownership / control</w:t>
            </w:r>
          </w:p>
        </w:tc>
        <w:tc>
          <w:tcPr>
            <w:tcW w:type="dxa" w:w="2484"/>
            <w:tcMar>
              <w:top w:w="90" w:type="dxa"/>
              <w:start w:w="100" w:type="dxa"/>
              <w:bottom w:w="90" w:type="dxa"/>
              <w:end w:w="100" w:type="dxa"/>
            </w:tcMar>
          </w:tcPr>
          <w:p>
            <w:r>
              <w:t>Land access, shareholder loans, admin support</w:t>
            </w:r>
          </w:p>
        </w:tc>
        <w:tc>
          <w:tcPr>
            <w:tcW w:type="dxa" w:w="2484"/>
            <w:tcMar>
              <w:top w:w="90" w:type="dxa"/>
              <w:start w:w="100" w:type="dxa"/>
              <w:bottom w:w="90" w:type="dxa"/>
              <w:end w:w="100" w:type="dxa"/>
            </w:tcMar>
          </w:tcPr>
          <w:p>
            <w:r>
              <w:t>Terms, pricing fairness, repayment expectations</w:t>
            </w:r>
          </w:p>
        </w:tc>
      </w:tr>
      <w:tr>
        <w:tc>
          <w:tcPr>
            <w:tcW w:type="dxa" w:w="2484"/>
            <w:tcMar>
              <w:top w:w="90" w:type="dxa"/>
              <w:start w:w="100" w:type="dxa"/>
              <w:bottom w:w="90" w:type="dxa"/>
              <w:end w:w="100" w:type="dxa"/>
            </w:tcMar>
          </w:tcPr>
          <w:p>
            <w:r>
              <w:t>Director- or officer-linked entities</w:t>
            </w:r>
          </w:p>
        </w:tc>
        <w:tc>
          <w:tcPr>
            <w:tcW w:type="dxa" w:w="2484"/>
            <w:tcMar>
              <w:top w:w="90" w:type="dxa"/>
              <w:start w:w="100" w:type="dxa"/>
              <w:bottom w:w="90" w:type="dxa"/>
              <w:end w:w="100" w:type="dxa"/>
            </w:tcMar>
          </w:tcPr>
          <w:p>
            <w:r>
              <w:t>Personal ownership or influence</w:t>
            </w:r>
          </w:p>
        </w:tc>
        <w:tc>
          <w:tcPr>
            <w:tcW w:type="dxa" w:w="2484"/>
            <w:tcMar>
              <w:top w:w="90" w:type="dxa"/>
              <w:start w:w="100" w:type="dxa"/>
              <w:bottom w:w="90" w:type="dxa"/>
              <w:end w:w="100" w:type="dxa"/>
            </w:tcMar>
          </w:tcPr>
          <w:p>
            <w:r>
              <w:t>Consulting, leasing, specialist project services</w:t>
            </w:r>
          </w:p>
        </w:tc>
        <w:tc>
          <w:tcPr>
            <w:tcW w:type="dxa" w:w="2484"/>
            <w:tcMar>
              <w:top w:w="90" w:type="dxa"/>
              <w:start w:w="100" w:type="dxa"/>
              <w:bottom w:w="90" w:type="dxa"/>
              <w:end w:w="100" w:type="dxa"/>
            </w:tcMar>
          </w:tcPr>
          <w:p>
            <w:r>
              <w:t>Conflict management, approval evidence, arm’s-length benchmarking</w:t>
            </w:r>
          </w:p>
        </w:tc>
      </w:tr>
      <w:tr>
        <w:tc>
          <w:tcPr>
            <w:tcW w:type="dxa" w:w="2484"/>
            <w:tcMar>
              <w:top w:w="90" w:type="dxa"/>
              <w:start w:w="100" w:type="dxa"/>
              <w:bottom w:w="90" w:type="dxa"/>
              <w:end w:w="100" w:type="dxa"/>
            </w:tcMar>
          </w:tcPr>
          <w:p>
            <w:r>
              <w:t>Affiliated development entities</w:t>
            </w:r>
          </w:p>
        </w:tc>
        <w:tc>
          <w:tcPr>
            <w:tcW w:type="dxa" w:w="2484"/>
            <w:tcMar>
              <w:top w:w="90" w:type="dxa"/>
              <w:start w:w="100" w:type="dxa"/>
              <w:bottom w:w="90" w:type="dxa"/>
              <w:end w:w="100" w:type="dxa"/>
            </w:tcMar>
          </w:tcPr>
          <w:p>
            <w:r>
              <w:t>Common control / common management</w:t>
            </w:r>
          </w:p>
        </w:tc>
        <w:tc>
          <w:tcPr>
            <w:tcW w:type="dxa" w:w="2484"/>
            <w:tcMar>
              <w:top w:w="90" w:type="dxa"/>
              <w:start w:w="100" w:type="dxa"/>
              <w:bottom w:w="90" w:type="dxa"/>
              <w:end w:w="100" w:type="dxa"/>
            </w:tcMar>
          </w:tcPr>
          <w:p>
            <w:r>
              <w:t>Management fees, cost allocations, staff recharge</w:t>
            </w:r>
          </w:p>
        </w:tc>
        <w:tc>
          <w:tcPr>
            <w:tcW w:type="dxa" w:w="2484"/>
            <w:tcMar>
              <w:top w:w="90" w:type="dxa"/>
              <w:start w:w="100" w:type="dxa"/>
              <w:bottom w:w="90" w:type="dxa"/>
              <w:end w:w="100" w:type="dxa"/>
            </w:tcMar>
          </w:tcPr>
          <w:p>
            <w:r>
              <w:t>Revenue quality, transfer pricing, balance recoverability</w:t>
            </w:r>
          </w:p>
        </w:tc>
      </w:tr>
      <w:tr>
        <w:tc>
          <w:tcPr>
            <w:tcW w:type="dxa" w:w="2484"/>
            <w:tcMar>
              <w:top w:w="90" w:type="dxa"/>
              <w:start w:w="100" w:type="dxa"/>
              <w:bottom w:w="90" w:type="dxa"/>
              <w:end w:w="100" w:type="dxa"/>
            </w:tcMar>
          </w:tcPr>
          <w:p>
            <w:r>
              <w:t>Joint ventures and SPVs</w:t>
            </w:r>
          </w:p>
        </w:tc>
        <w:tc>
          <w:tcPr>
            <w:tcW w:type="dxa" w:w="2484"/>
            <w:tcMar>
              <w:top w:w="90" w:type="dxa"/>
              <w:start w:w="100" w:type="dxa"/>
              <w:bottom w:w="90" w:type="dxa"/>
              <w:end w:w="100" w:type="dxa"/>
            </w:tcMar>
          </w:tcPr>
          <w:p>
            <w:r>
              <w:t>Shared governance / ownership</w:t>
            </w:r>
          </w:p>
        </w:tc>
        <w:tc>
          <w:tcPr>
            <w:tcW w:type="dxa" w:w="2484"/>
            <w:tcMar>
              <w:top w:w="90" w:type="dxa"/>
              <w:start w:w="100" w:type="dxa"/>
              <w:bottom w:w="90" w:type="dxa"/>
              <w:end w:w="100" w:type="dxa"/>
            </w:tcMar>
          </w:tcPr>
          <w:p>
            <w:r>
              <w:t>Capital calls, fee income, reimbursements, support</w:t>
            </w:r>
          </w:p>
        </w:tc>
        <w:tc>
          <w:tcPr>
            <w:tcW w:type="dxa" w:w="2484"/>
            <w:tcMar>
              <w:top w:w="90" w:type="dxa"/>
              <w:start w:w="100" w:type="dxa"/>
              <w:bottom w:w="90" w:type="dxa"/>
              <w:end w:w="100" w:type="dxa"/>
            </w:tcMar>
          </w:tcPr>
          <w:p>
            <w:r>
              <w:t>Classification, eliminations, economic recourse</w:t>
            </w:r>
          </w:p>
        </w:tc>
      </w:tr>
    </w:tbl>
    <w:p>
      <w:pPr>
        <w:pStyle w:val="Heading1"/>
      </w:pPr>
      <w:r>
        <w:t>6. Detailed Transaction Descriptions</w:t>
      </w:r>
    </w:p>
    <w:p>
      <w:pPr>
        <w:pStyle w:val="Heading2"/>
      </w:pPr>
      <w:r>
        <w:t>6.1 Shareholder working capital and subordinated funding support</w:t>
      </w:r>
    </w:p>
    <w:p>
      <w:pPr/>
      <w:r>
        <w:t>During the review period, Aurelia received and repaid a series of short- and medium-term funding advances from Aurelia Holdings FZ LLC, the principal shareholder vehicle. These balances functioned as subordinated working capital support during periods of heightened land and construction expenditure or delayed customer collections. The advances were used to bridge development spending, escrow timing mismatches, and selected debt service reserve requirements at project level.</w:t>
      </w:r>
    </w:p>
    <w:p>
      <w:pPr/>
      <w:r>
        <w:t>The core diligence issues relate to whether the balances were formal debt, quasi-equity, or temporary settlement accounts; whether interest was charged consistently; whether the terms were documented contemporaneously; and whether repayment would remain optional or become mandatory upon a change of control. Private equity investors typically normalize these balances into debt-like items unless they are irrevocably converted to equity or waived before closing.</w:t>
      </w:r>
    </w:p>
    <w:p>
      <w:pPr>
        <w:pStyle w:val="Heading2"/>
      </w:pPr>
      <w:r>
        <w:t>6.2 Land acquisition and access arrangements with shareholder-controlled entities</w:t>
      </w:r>
    </w:p>
    <w:p>
      <w:pPr/>
      <w:r>
        <w:t>The Company entered into land-related arrangements with shareholder-controlled vehicles that had historically assembled land parcels or held strategic development rights. These included a deferred consideration land transfer for a villa community, a long-term land access agreement over a mixed-use parcel, and option-style rights to acquire or co-develop future phases subject to approvals and infrastructure completion.</w:t>
      </w:r>
    </w:p>
    <w:p>
      <w:pPr/>
      <w:r>
        <w:t>The accounting and diligence sensitivity centers on whether the original pricing was market-based, whether deferred payments embedded financing or contingent consideration features, whether future minimum commitments exist, and whether the Company remains economically dependent on related parties for critical future project phases. These arrangements can materially affect land carrying values, contingent liabilities, and feasibility assumptions.</w:t>
      </w:r>
    </w:p>
    <w:p>
      <w:pPr>
        <w:pStyle w:val="Heading2"/>
      </w:pPr>
      <w:r>
        <w:t>6.3 Development management and project services between affiliated entities</w:t>
      </w:r>
    </w:p>
    <w:p>
      <w:pPr/>
      <w:r>
        <w:t>Aurelia provided development management, procurement supervision, sales coordination, and project reporting services to selected affiliated SPVs and joint ventures over the period. Conversely, in earlier periods, certain design review and owner’s representative functions were provided by affiliated entities linked to founding shareholders or directors. Fees were settled through invoices, intercompany recharge mechanisms, or current account balances depending on the arrangement.</w:t>
      </w:r>
    </w:p>
    <w:p>
      <w:pPr/>
      <w:r>
        <w:t>The principal diligence questions are whether the services were priced on a reasonable basis, whether margins embedded in the charges are sustainable on an arm’s-length basis, whether reciprocal services could distort gross versus net presentation, and whether the balances remain collectible and free from circular funding behavior.</w:t>
      </w:r>
    </w:p>
    <w:p>
      <w:pPr>
        <w:pStyle w:val="Heading2"/>
      </w:pPr>
      <w:r>
        <w:t>6.4 Leasing arrangements with director- and shareholder-linked counterparties</w:t>
      </w:r>
    </w:p>
    <w:p>
      <w:pPr/>
      <w:r>
        <w:t>The Company used related party premises for head office overflow, project site offices, and selected sales galleries during the review period. These arrangements varied from short-term occupation licenses to multi-year lease contracts and often included fit-out contributions, service charges, reinstatement obligations, and renewal options.</w:t>
      </w:r>
    </w:p>
    <w:p>
      <w:pPr/>
      <w:r>
        <w:t>Although such leases may be economically efficient, they are diligence-sensitive because rental rates, security deposits, renewal mechanics, and operating service charges may not mirror market terms. Related party leasing can also create reputational issues if founder-owned assets benefit from the corporate footprint without appropriate governance or benchmarking.</w:t>
      </w:r>
    </w:p>
    <w:p>
      <w:pPr>
        <w:pStyle w:val="Heading2"/>
      </w:pPr>
      <w:r>
        <w:t>6.5 Joint venture funding flows and reimbursement balances</w:t>
      </w:r>
    </w:p>
    <w:p>
      <w:pPr/>
      <w:r>
        <w:t>The Company participated in several joint venture projects under which it both paid and received amounts from related joint venture partners and affiliated vehicles, including capital contributions, management fee reimbursements, staffing recharges, marketing support, and infrastructure cost-sharing transfers. In some cases, funding deficits were covered through temporary sponsor advances later settled through capital accounts.</w:t>
      </w:r>
    </w:p>
    <w:p>
      <w:pPr/>
      <w:r>
        <w:t>The main diligence issue is whether balances described as trade or service items are, in substance, quasi-equity or contingent funding support. This matters for net debt, working capital, and the sustainability of cash conversion metrics. Reviewers also consider whether reimbursements are supported by contracts and whether profits are being shifted through fees between related entities.</w:t>
      </w:r>
    </w:p>
    <w:p>
      <w:pPr>
        <w:pStyle w:val="Heading2"/>
      </w:pPr>
      <w:r>
        <w:t>6.6 Transactions with directors and senior officers</w:t>
      </w:r>
    </w:p>
    <w:p>
      <w:pPr/>
      <w:r>
        <w:t>The Company had a limited number of transactions involving directors or senior officers directly or through controlled entities. These included advisory fees, leasing of temporary premises, reimbursement of personally advanced project costs later settled by the Company, and the use of director-owned vehicles for specialist market research or permit coordination in the early stage of selected projects.</w:t>
      </w:r>
    </w:p>
    <w:p>
      <w:pPr/>
      <w:r>
        <w:t>Such transactions are not inherently improper but require enhanced governance controls because of the risk of conflicts of interest, perceived self-dealing, and inadequate price benchmarking. They also require careful segregation from ordinary compensation disclosures and clear evidence of board-level approval and abstention by conflicted individuals.</w:t>
      </w:r>
    </w:p>
    <w:p>
      <w:pPr>
        <w:pStyle w:val="Heading1"/>
      </w:pPr>
      <w:r>
        <w:t>7. Governance and Approval Process</w:t>
      </w:r>
    </w:p>
    <w:p>
      <w:pPr/>
      <w:r>
        <w:t>A robust related party governance framework typically requires annual declarations of interests from directors and senior management, maintenance of a related party register by legal and finance, and mandatory escalation of proposed transactions with identified related parties before commercial execution. For a developer of Aurelia’s scale, best practice would also include a standard checklist requiring confirmation of the relationship, commercial rationale, pricing basis, approval authority, and accounting implications.</w:t>
      </w:r>
    </w:p>
    <w:p>
      <w:pPr/>
      <w:r>
        <w:t>Board or audit committee approval is generally expected for material related party transactions or for classes of transactions involving directors, significant shareholders, or entities under common control. Conflicted parties should be excluded from decision-making, and the minutes should reflect the nature of the conflict, the basis of approval, and any benchmarking or fairness analysis obtained. Management should also document whether a transaction is one-off, recurring, or part of a broader framework agreement.</w:t>
      </w:r>
    </w:p>
    <w:p>
      <w:pPr/>
      <w:r>
        <w:t>In diligence, weak governance around related party transactions often matters as much as the transactions themselves. Even economically fair arrangements may be viewed negatively if approval evidence is missing, contracts were finalized after performance commenced, or balances rolled forward informally without clear settlement expectations.</w:t>
      </w:r>
    </w:p>
    <w:p>
      <w:pPr>
        <w:pStyle w:val="Heading1"/>
      </w:pPr>
      <w:r>
        <w:t>8. Financial Impact Analysis</w:t>
      </w:r>
    </w:p>
    <w:p>
      <w:pPr/>
      <w:r>
        <w:t>Related party transactions can affect both the income statement and balance sheet in material ways. Development management fees or affiliated service charges may increase or reduce reported revenue depending on whether the Company is acting as principal or merely recharging costs. Land transactions and affiliated lease terms affect gross margin and operating expenses. Shareholder financing and unrecovered balances affect net debt, liquidity, and the apparent cost of capital.</w:t>
      </w:r>
    </w:p>
    <w:p>
      <w:pPr/>
      <w:r>
        <w:t>From a diligence perspective, a major analytical step is to distinguish recurring, economically sustainable related party transactions from transitional, non-recurring, or non-arm’s-length items that should be normalized in valuation and debt calculations. For example, below-market rent paid to a shareholder-owned landlord may overstate EBITDA, while unpaid shareholder loans or rolled-up interest may understate leverage. Conversely, arm’s-length support services or market-priced financing may be acceptable if well documented and transferable to a post-deal structure.</w:t>
      </w:r>
    </w:p>
    <w:p>
      <w:pPr/>
      <w:r>
        <w:t>Outstanding balances with related parties also affect working capital quality. Long-dated receivables from affiliated entities may not be equivalent to trade receivables from external counterparties, and payables to shareholder entities may in practice function as quasi-permanent capital if settlement has historically been discretionary. These classification and recoverability issues are often central to purchase price negotiation and SPA drafting.</w:t>
      </w:r>
    </w:p>
    <w:p>
      <w:pPr>
        <w:pStyle w:val="Heading1"/>
      </w:pPr>
      <w:r>
        <w:t>9. Risk Assessment</w:t>
      </w:r>
    </w:p>
    <w:p>
      <w:pPr/>
      <w:r>
        <w:t>The most significant risks associated with related party transactions are conflicts of interest, pricing fairness concerns, regulatory and reputational scrutiny, recoverability of balances, and post-transaction separation risk. Conflicts arise when individuals with authority to approve transactions also benefit directly or indirectly from the counterparties involved. Pricing risk arises when the absence of an independent negotiation process leads to terms that are either favorable to the Company in a way that depresses future sustainable costs, or favorable to the related party in a way that extracts value from the Company.</w:t>
      </w:r>
    </w:p>
    <w:p>
      <w:pPr/>
      <w:r>
        <w:t>A further diligence concern is that historical arrangements may not be replicable once ownership changes. A founder-controlled service entity may not continue to provide services on the same terms after a private equity acquisition. Likewise, a shareholder may have historically tolerated delayed settlement of balances or waived covenants in a way that cannot be assumed post-closing. The investor should therefore assess each material related party transaction for separability, replaceability, and potential one-time clean-up requirements.</w:t>
      </w:r>
    </w:p>
    <w:p>
      <w:pPr/>
      <w:r>
        <w:t>Regulatory and audit risk increases where related party transactions are not fully disclosed, not approved under formal policy, or are structured through informal side agreements. This is particularly significant if the Company is expected to raise project finance, issue listed debt, or prepare for IPO readiness, because governance and disclosure standards rise materially in those contexts.</w:t>
      </w:r>
    </w:p>
    <w:p>
      <w:pPr>
        <w:pStyle w:val="Heading1"/>
      </w:pPr>
      <w:r>
        <w:t>10. Auditor Review</w:t>
      </w:r>
    </w:p>
    <w:p>
      <w:pPr/>
      <w:r>
        <w:t>External auditors typically review related party transactions by performing legal entity and ownership inquiries, obtaining management representations, inspecting board minutes, reviewing conflict-of-interest declarations, tracing significant balances and transactions to supporting contracts, and evaluating whether disclosures are complete and appropriately categorized under IAS 24. Auditors also assess whether the transactions were entered into on terms that management has appropriately described, and whether impairment or collectability concerns exist for outstanding balances with related parties.</w:t>
      </w:r>
    </w:p>
    <w:p>
      <w:pPr/>
      <w:r>
        <w:t>For a real estate developer, auditors are likely to focus particularly on shareholder funding, land transactions with affiliated entities, guarantees or side arrangements embedded in SPV and joint venture documentation, intercompany fee flows, and any director-linked service or leasing transactions. They may also test whether eliminations have been correctly performed for consolidated entities and whether balances with unconsolidated but related counterparties are appropriately presented and disclosed.</w:t>
      </w:r>
    </w:p>
    <w:p>
      <w:pPr/>
      <w:r>
        <w:t>A complete diligence package therefore benefits from a supporting workbook that ties transaction populations to balances, counterparties, relationship categories, risk assessments, and year-by-year values. Such a package assists not only external audit review but also buyer-side financial diligence, lender transparency, and governance remediation planning.</w:t>
      </w:r>
    </w:p>
    <w:p>
      <w:pPr>
        <w:pStyle w:val="Heading1"/>
      </w:pPr>
      <w:r>
        <w:t>Appendix A — Illustrative related party transaction map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2F3"/>
            <w:tcMar>
              <w:top w:w="90" w:type="dxa"/>
              <w:start w:w="90" w:type="dxa"/>
              <w:bottom w:w="90" w:type="dxa"/>
              <w:end w:w="90" w:type="dxa"/>
            </w:tcMar>
          </w:tcPr>
          <w:p>
            <w:r>
              <w:rPr>
                <w:b/>
                <w:color w:val="1F4E79"/>
              </w:rPr>
              <w:t>Party</w:t>
            </w:r>
          </w:p>
        </w:tc>
        <w:tc>
          <w:tcPr>
            <w:tcW w:type="dxa" w:w="1987"/>
            <w:shd w:fill="D9E2F3"/>
            <w:tcMar>
              <w:top w:w="90" w:type="dxa"/>
              <w:start w:w="90" w:type="dxa"/>
              <w:bottom w:w="90" w:type="dxa"/>
              <w:end w:w="90" w:type="dxa"/>
            </w:tcMar>
          </w:tcPr>
          <w:p>
            <w:r>
              <w:rPr>
                <w:b/>
                <w:color w:val="1F4E79"/>
              </w:rPr>
              <w:t>Relationship type</w:t>
            </w:r>
          </w:p>
        </w:tc>
        <w:tc>
          <w:tcPr>
            <w:tcW w:type="dxa" w:w="1987"/>
            <w:shd w:fill="D9E2F3"/>
            <w:tcMar>
              <w:top w:w="90" w:type="dxa"/>
              <w:start w:w="90" w:type="dxa"/>
              <w:bottom w:w="90" w:type="dxa"/>
              <w:end w:w="90" w:type="dxa"/>
            </w:tcMar>
          </w:tcPr>
          <w:p>
            <w:r>
              <w:rPr>
                <w:b/>
                <w:color w:val="1F4E79"/>
              </w:rPr>
              <w:t>Principal transaction type</w:t>
            </w:r>
          </w:p>
        </w:tc>
        <w:tc>
          <w:tcPr>
            <w:tcW w:type="dxa" w:w="1987"/>
            <w:shd w:fill="D9E2F3"/>
            <w:tcMar>
              <w:top w:w="90" w:type="dxa"/>
              <w:start w:w="90" w:type="dxa"/>
              <w:bottom w:w="90" w:type="dxa"/>
              <w:end w:w="90" w:type="dxa"/>
            </w:tcMar>
          </w:tcPr>
          <w:p>
            <w:r>
              <w:rPr>
                <w:b/>
                <w:color w:val="1F4E79"/>
              </w:rPr>
              <w:t>Estimated 3-year value (AED m)</w:t>
            </w:r>
          </w:p>
        </w:tc>
        <w:tc>
          <w:tcPr>
            <w:tcW w:type="dxa" w:w="1987"/>
            <w:shd w:fill="D9E2F3"/>
            <w:tcMar>
              <w:top w:w="90" w:type="dxa"/>
              <w:start w:w="90" w:type="dxa"/>
              <w:bottom w:w="90" w:type="dxa"/>
              <w:end w:w="90" w:type="dxa"/>
            </w:tcMar>
          </w:tcPr>
          <w:p>
            <w:r>
              <w:rPr>
                <w:b/>
                <w:color w:val="1F4E79"/>
              </w:rPr>
              <w:t>Primary diligence note</w:t>
            </w:r>
          </w:p>
        </w:tc>
      </w:tr>
      <w:tr>
        <w:tc>
          <w:tcPr>
            <w:tcW w:type="dxa" w:w="1987"/>
            <w:tcMar>
              <w:top w:w="90" w:type="dxa"/>
              <w:start w:w="90" w:type="dxa"/>
              <w:bottom w:w="90" w:type="dxa"/>
              <w:end w:w="90" w:type="dxa"/>
            </w:tcMar>
          </w:tcPr>
          <w:p>
            <w:r>
              <w:t>Aurelia Holdings FZ LLC</w:t>
            </w:r>
          </w:p>
        </w:tc>
        <w:tc>
          <w:tcPr>
            <w:tcW w:type="dxa" w:w="1987"/>
            <w:tcMar>
              <w:top w:w="90" w:type="dxa"/>
              <w:start w:w="90" w:type="dxa"/>
              <w:bottom w:w="90" w:type="dxa"/>
              <w:end w:w="90" w:type="dxa"/>
            </w:tcMar>
          </w:tcPr>
          <w:p>
            <w:r>
              <w:t>Shareholder / ultimate owner vehicle</w:t>
            </w:r>
          </w:p>
        </w:tc>
        <w:tc>
          <w:tcPr>
            <w:tcW w:type="dxa" w:w="1987"/>
            <w:tcMar>
              <w:top w:w="90" w:type="dxa"/>
              <w:start w:w="90" w:type="dxa"/>
              <w:bottom w:w="90" w:type="dxa"/>
              <w:end w:w="90" w:type="dxa"/>
            </w:tcMar>
          </w:tcPr>
          <w:p>
            <w:r>
              <w:t>Shareholder loans and support funding</w:t>
            </w:r>
          </w:p>
        </w:tc>
        <w:tc>
          <w:tcPr>
            <w:tcW w:type="dxa" w:w="1987"/>
            <w:tcMar>
              <w:top w:w="90" w:type="dxa"/>
              <w:start w:w="90" w:type="dxa"/>
              <w:bottom w:w="90" w:type="dxa"/>
              <w:end w:w="90" w:type="dxa"/>
            </w:tcMar>
          </w:tcPr>
          <w:p>
            <w:r>
              <w:t>145.0</w:t>
            </w:r>
          </w:p>
        </w:tc>
        <w:tc>
          <w:tcPr>
            <w:tcW w:type="dxa" w:w="1987"/>
            <w:tcMar>
              <w:top w:w="90" w:type="dxa"/>
              <w:start w:w="90" w:type="dxa"/>
              <w:bottom w:w="90" w:type="dxa"/>
              <w:end w:w="90" w:type="dxa"/>
            </w:tcMar>
          </w:tcPr>
          <w:p>
            <w:r>
              <w:t>Debt-like unless formally settled or capitalized</w:t>
            </w:r>
          </w:p>
        </w:tc>
      </w:tr>
      <w:tr>
        <w:tc>
          <w:tcPr>
            <w:tcW w:type="dxa" w:w="1987"/>
            <w:tcMar>
              <w:top w:w="90" w:type="dxa"/>
              <w:start w:w="90" w:type="dxa"/>
              <w:bottom w:w="90" w:type="dxa"/>
              <w:end w:w="90" w:type="dxa"/>
            </w:tcMar>
          </w:tcPr>
          <w:p>
            <w:r>
              <w:t>Aurelia Land Bank Holdings Ltd.</w:t>
            </w:r>
          </w:p>
        </w:tc>
        <w:tc>
          <w:tcPr>
            <w:tcW w:type="dxa" w:w="1987"/>
            <w:tcMar>
              <w:top w:w="90" w:type="dxa"/>
              <w:start w:w="90" w:type="dxa"/>
              <w:bottom w:w="90" w:type="dxa"/>
              <w:end w:w="90" w:type="dxa"/>
            </w:tcMar>
          </w:tcPr>
          <w:p>
            <w:r>
              <w:t>Common-control land vehicle</w:t>
            </w:r>
          </w:p>
        </w:tc>
        <w:tc>
          <w:tcPr>
            <w:tcW w:type="dxa" w:w="1987"/>
            <w:tcMar>
              <w:top w:w="90" w:type="dxa"/>
              <w:start w:w="90" w:type="dxa"/>
              <w:bottom w:w="90" w:type="dxa"/>
              <w:end w:w="90" w:type="dxa"/>
            </w:tcMar>
          </w:tcPr>
          <w:p>
            <w:r>
              <w:t>Land access and deferred acquisition arrangements</w:t>
            </w:r>
          </w:p>
        </w:tc>
        <w:tc>
          <w:tcPr>
            <w:tcW w:type="dxa" w:w="1987"/>
            <w:tcMar>
              <w:top w:w="90" w:type="dxa"/>
              <w:start w:w="90" w:type="dxa"/>
              <w:bottom w:w="90" w:type="dxa"/>
              <w:end w:w="90" w:type="dxa"/>
            </w:tcMar>
          </w:tcPr>
          <w:p>
            <w:r>
              <w:t>92.0</w:t>
            </w:r>
          </w:p>
        </w:tc>
        <w:tc>
          <w:tcPr>
            <w:tcW w:type="dxa" w:w="1987"/>
            <w:tcMar>
              <w:top w:w="90" w:type="dxa"/>
              <w:start w:w="90" w:type="dxa"/>
              <w:bottom w:w="90" w:type="dxa"/>
              <w:end w:w="90" w:type="dxa"/>
            </w:tcMar>
          </w:tcPr>
          <w:p>
            <w:r>
              <w:t>Assess market pricing and deferred consideration terms</w:t>
            </w:r>
          </w:p>
        </w:tc>
      </w:tr>
      <w:tr>
        <w:tc>
          <w:tcPr>
            <w:tcW w:type="dxa" w:w="1987"/>
            <w:tcMar>
              <w:top w:w="90" w:type="dxa"/>
              <w:start w:w="90" w:type="dxa"/>
              <w:bottom w:w="90" w:type="dxa"/>
              <w:end w:w="90" w:type="dxa"/>
            </w:tcMar>
          </w:tcPr>
          <w:p>
            <w:r>
              <w:t>Bluewater Project Services LLC</w:t>
            </w:r>
          </w:p>
        </w:tc>
        <w:tc>
          <w:tcPr>
            <w:tcW w:type="dxa" w:w="1987"/>
            <w:tcMar>
              <w:top w:w="90" w:type="dxa"/>
              <w:start w:w="90" w:type="dxa"/>
              <w:bottom w:w="90" w:type="dxa"/>
              <w:end w:w="90" w:type="dxa"/>
            </w:tcMar>
          </w:tcPr>
          <w:p>
            <w:r>
              <w:t>Affiliate under common influence</w:t>
            </w:r>
          </w:p>
        </w:tc>
        <w:tc>
          <w:tcPr>
            <w:tcW w:type="dxa" w:w="1987"/>
            <w:tcMar>
              <w:top w:w="90" w:type="dxa"/>
              <w:start w:w="90" w:type="dxa"/>
              <w:bottom w:w="90" w:type="dxa"/>
              <w:end w:w="90" w:type="dxa"/>
            </w:tcMar>
          </w:tcPr>
          <w:p>
            <w:r>
              <w:t>Development management and project support services</w:t>
            </w:r>
          </w:p>
        </w:tc>
        <w:tc>
          <w:tcPr>
            <w:tcW w:type="dxa" w:w="1987"/>
            <w:tcMar>
              <w:top w:w="90" w:type="dxa"/>
              <w:start w:w="90" w:type="dxa"/>
              <w:bottom w:w="90" w:type="dxa"/>
              <w:end w:w="90" w:type="dxa"/>
            </w:tcMar>
          </w:tcPr>
          <w:p>
            <w:r>
              <w:t>36.5</w:t>
            </w:r>
          </w:p>
        </w:tc>
        <w:tc>
          <w:tcPr>
            <w:tcW w:type="dxa" w:w="1987"/>
            <w:tcMar>
              <w:top w:w="90" w:type="dxa"/>
              <w:start w:w="90" w:type="dxa"/>
              <w:bottom w:w="90" w:type="dxa"/>
              <w:end w:w="90" w:type="dxa"/>
            </w:tcMar>
          </w:tcPr>
          <w:p>
            <w:r>
              <w:t>Review margin and transfer pricing support</w:t>
            </w:r>
          </w:p>
        </w:tc>
      </w:tr>
      <w:tr>
        <w:tc>
          <w:tcPr>
            <w:tcW w:type="dxa" w:w="1987"/>
            <w:tcMar>
              <w:top w:w="90" w:type="dxa"/>
              <w:start w:w="90" w:type="dxa"/>
              <w:bottom w:w="90" w:type="dxa"/>
              <w:end w:w="90" w:type="dxa"/>
            </w:tcMar>
          </w:tcPr>
          <w:p>
            <w:r>
              <w:t>Horizon Executive Advisory DMCC</w:t>
            </w:r>
          </w:p>
        </w:tc>
        <w:tc>
          <w:tcPr>
            <w:tcW w:type="dxa" w:w="1987"/>
            <w:tcMar>
              <w:top w:w="90" w:type="dxa"/>
              <w:start w:w="90" w:type="dxa"/>
              <w:bottom w:w="90" w:type="dxa"/>
              <w:end w:w="90" w:type="dxa"/>
            </w:tcMar>
          </w:tcPr>
          <w:p>
            <w:r>
              <w:t>Director-linked entity</w:t>
            </w:r>
          </w:p>
        </w:tc>
        <w:tc>
          <w:tcPr>
            <w:tcW w:type="dxa" w:w="1987"/>
            <w:tcMar>
              <w:top w:w="90" w:type="dxa"/>
              <w:start w:w="90" w:type="dxa"/>
              <w:bottom w:w="90" w:type="dxa"/>
              <w:end w:w="90" w:type="dxa"/>
            </w:tcMar>
          </w:tcPr>
          <w:p>
            <w:r>
              <w:t>Specialist advisory and market research</w:t>
            </w:r>
          </w:p>
        </w:tc>
        <w:tc>
          <w:tcPr>
            <w:tcW w:type="dxa" w:w="1987"/>
            <w:tcMar>
              <w:top w:w="90" w:type="dxa"/>
              <w:start w:w="90" w:type="dxa"/>
              <w:bottom w:w="90" w:type="dxa"/>
              <w:end w:w="90" w:type="dxa"/>
            </w:tcMar>
          </w:tcPr>
          <w:p>
            <w:r>
              <w:t>8.5</w:t>
            </w:r>
          </w:p>
        </w:tc>
        <w:tc>
          <w:tcPr>
            <w:tcW w:type="dxa" w:w="1987"/>
            <w:tcMar>
              <w:top w:w="90" w:type="dxa"/>
              <w:start w:w="90" w:type="dxa"/>
              <w:bottom w:w="90" w:type="dxa"/>
              <w:end w:w="90" w:type="dxa"/>
            </w:tcMar>
          </w:tcPr>
          <w:p>
            <w:r>
              <w:t>Enhanced conflict review required</w:t>
            </w:r>
          </w:p>
        </w:tc>
      </w:tr>
      <w:tr>
        <w:tc>
          <w:tcPr>
            <w:tcW w:type="dxa" w:w="1987"/>
            <w:tcMar>
              <w:top w:w="90" w:type="dxa"/>
              <w:start w:w="90" w:type="dxa"/>
              <w:bottom w:w="90" w:type="dxa"/>
              <w:end w:w="90" w:type="dxa"/>
            </w:tcMar>
          </w:tcPr>
          <w:p>
            <w:r>
              <w:t>Jumeirah Hospitality Residences JV</w:t>
            </w:r>
          </w:p>
        </w:tc>
        <w:tc>
          <w:tcPr>
            <w:tcW w:type="dxa" w:w="1987"/>
            <w:tcMar>
              <w:top w:w="90" w:type="dxa"/>
              <w:start w:w="90" w:type="dxa"/>
              <w:bottom w:w="90" w:type="dxa"/>
              <w:end w:w="90" w:type="dxa"/>
            </w:tcMar>
          </w:tcPr>
          <w:p>
            <w:r>
              <w:t>Joint venture</w:t>
            </w:r>
          </w:p>
        </w:tc>
        <w:tc>
          <w:tcPr>
            <w:tcW w:type="dxa" w:w="1987"/>
            <w:tcMar>
              <w:top w:w="90" w:type="dxa"/>
              <w:start w:w="90" w:type="dxa"/>
              <w:bottom w:w="90" w:type="dxa"/>
              <w:end w:w="90" w:type="dxa"/>
            </w:tcMar>
          </w:tcPr>
          <w:p>
            <w:r>
              <w:t>Management fee, reimbursements, and capital support flows</w:t>
            </w:r>
          </w:p>
        </w:tc>
        <w:tc>
          <w:tcPr>
            <w:tcW w:type="dxa" w:w="1987"/>
            <w:tcMar>
              <w:top w:w="90" w:type="dxa"/>
              <w:start w:w="90" w:type="dxa"/>
              <w:bottom w:w="90" w:type="dxa"/>
              <w:end w:w="90" w:type="dxa"/>
            </w:tcMar>
          </w:tcPr>
          <w:p>
            <w:r>
              <w:t>57.0</w:t>
            </w:r>
          </w:p>
        </w:tc>
        <w:tc>
          <w:tcPr>
            <w:tcW w:type="dxa" w:w="1987"/>
            <w:tcMar>
              <w:top w:w="90" w:type="dxa"/>
              <w:start w:w="90" w:type="dxa"/>
              <w:bottom w:w="90" w:type="dxa"/>
              <w:end w:w="90" w:type="dxa"/>
            </w:tcMar>
          </w:tcPr>
          <w:p>
            <w:r>
              <w:t>Separate service fee and equity-like funding elements</w:t>
            </w:r>
          </w:p>
        </w:tc>
      </w:tr>
    </w:tbl>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Aurelia Developments LLC | Related Party Transactions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69"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562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rPr>
      <w:i/>
      <w:color w:val="646464"/>
      <w:sz w:val="17"/>
    </w:rPr>
  </w:style>
  <w:style w:type="paragraph" w:customStyle="1" w:styleId="TableText">
    <w:name w:val="TableText"/>
    <w:basedOn w:val="Norma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