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456"/>
          <w:sz w:val="44"/>
        </w:rPr>
        <w:t>Explanation of Changes in Accounting Methods</w:t>
      </w:r>
    </w:p>
    <w:p>
      <w:pPr>
        <w:jc w:val="center"/>
      </w:pPr>
      <w:r>
        <w:rPr>
          <w:b/>
          <w:color w:val="375678"/>
          <w:sz w:val="30"/>
        </w:rPr>
        <w:t>Aurelia Developments LLC</w:t>
      </w:r>
    </w:p>
    <w:p>
      <w:pPr>
        <w:spacing w:before="160"/>
        <w:jc w:val="center"/>
      </w:pPr>
      <w:r>
        <w:rPr>
          <w:b/>
        </w:rPr>
        <w:t>Accounting Policy Memorandum</w:t>
        <w:br/>
      </w:r>
      <w:r>
        <w:t>Prepared in a Big 4–style format for financial due diligence, audit support, and lender review</w:t>
      </w:r>
    </w:p>
    <w:p/>
    <w:tbl>
      <w:tblPr>
        <w:tblW w:type="auto" w:w="0"/>
        <w:jc w:val="center"/>
        <w:tblLayout w:type="fixed"/>
        <w:tblLook w:firstColumn="1" w:firstRow="1" w:lastColumn="0" w:lastRow="0" w:noHBand="0" w:noVBand="1" w:val="04A0"/>
      </w:tblPr>
      <w:tblGrid>
        <w:gridCol w:w="4896"/>
        <w:gridCol w:w="4896"/>
      </w:tblGrid>
      <w:tr>
        <w:tc>
          <w:tcPr>
            <w:tcW w:type="dxa" w:w="2880"/>
            <w:vAlign w:val="center"/>
            <w:tcMar>
              <w:top w:w="90" w:type="dxa"/>
              <w:start w:w="110" w:type="dxa"/>
              <w:bottom w:w="90" w:type="dxa"/>
              <w:end w:w="110" w:type="dxa"/>
            </w:tcMar>
            <w:shd w:fill="D9E2F3"/>
          </w:tcPr>
          <w:p>
            <w:r>
              <w:rPr>
                <w:b/>
                <w:color w:val="123456"/>
              </w:rPr>
              <w:t>Company</w:t>
            </w:r>
          </w:p>
        </w:tc>
        <w:tc>
          <w:tcPr>
            <w:tcW w:type="dxa" w:w="5328"/>
            <w:vAlign w:val="center"/>
            <w:tcMar>
              <w:top w:w="90" w:type="dxa"/>
              <w:start w:w="110" w:type="dxa"/>
              <w:bottom w:w="90" w:type="dxa"/>
              <w:end w:w="110" w:type="dxa"/>
            </w:tcMar>
          </w:tcPr>
          <w:p>
            <w:r>
              <w:t>Aurelia Developments LLC</w:t>
            </w:r>
          </w:p>
        </w:tc>
      </w:tr>
      <w:tr>
        <w:tc>
          <w:tcPr>
            <w:tcW w:type="dxa" w:w="2880"/>
            <w:vAlign w:val="center"/>
            <w:tcMar>
              <w:top w:w="90" w:type="dxa"/>
              <w:start w:w="110" w:type="dxa"/>
              <w:bottom w:w="90" w:type="dxa"/>
              <w:end w:w="110" w:type="dxa"/>
            </w:tcMar>
            <w:shd w:fill="D9E2F3"/>
          </w:tcPr>
          <w:p>
            <w:r>
              <w:rPr>
                <w:b/>
                <w:color w:val="123456"/>
              </w:rPr>
              <w:t>Industry</w:t>
            </w:r>
          </w:p>
        </w:tc>
        <w:tc>
          <w:tcPr>
            <w:tcW w:type="dxa" w:w="5328"/>
            <w:vAlign w:val="center"/>
            <w:tcMar>
              <w:top w:w="90" w:type="dxa"/>
              <w:start w:w="110" w:type="dxa"/>
              <w:bottom w:w="90" w:type="dxa"/>
              <w:end w:w="110" w:type="dxa"/>
            </w:tcMar>
          </w:tcPr>
          <w:p>
            <w:r>
              <w:t>Luxury Real Estate Development</w:t>
            </w:r>
          </w:p>
        </w:tc>
      </w:tr>
      <w:tr>
        <w:tc>
          <w:tcPr>
            <w:tcW w:type="dxa" w:w="2880"/>
            <w:vAlign w:val="center"/>
            <w:tcMar>
              <w:top w:w="90" w:type="dxa"/>
              <w:start w:w="110" w:type="dxa"/>
              <w:bottom w:w="90" w:type="dxa"/>
              <w:end w:w="110" w:type="dxa"/>
            </w:tcMar>
            <w:shd w:fill="D9E2F3"/>
          </w:tcPr>
          <w:p>
            <w:r>
              <w:rPr>
                <w:b/>
                <w:color w:val="123456"/>
              </w:rPr>
              <w:t>Headquarters</w:t>
            </w:r>
          </w:p>
        </w:tc>
        <w:tc>
          <w:tcPr>
            <w:tcW w:type="dxa" w:w="5328"/>
            <w:vAlign w:val="center"/>
            <w:tcMar>
              <w:top w:w="90" w:type="dxa"/>
              <w:start w:w="110" w:type="dxa"/>
              <w:bottom w:w="90" w:type="dxa"/>
              <w:end w:w="110" w:type="dxa"/>
            </w:tcMar>
          </w:tcPr>
          <w:p>
            <w:r>
              <w:t>Dubai, United Arab Emirates</w:t>
            </w:r>
          </w:p>
        </w:tc>
      </w:tr>
      <w:tr>
        <w:tc>
          <w:tcPr>
            <w:tcW w:type="dxa" w:w="2880"/>
            <w:vAlign w:val="center"/>
            <w:tcMar>
              <w:top w:w="90" w:type="dxa"/>
              <w:start w:w="110" w:type="dxa"/>
              <w:bottom w:w="90" w:type="dxa"/>
              <w:end w:w="110" w:type="dxa"/>
            </w:tcMar>
            <w:shd w:fill="D9E2F3"/>
          </w:tcPr>
          <w:p>
            <w:r>
              <w:rPr>
                <w:b/>
                <w:color w:val="123456"/>
              </w:rPr>
              <w:t>Coverage Period</w:t>
            </w:r>
          </w:p>
        </w:tc>
        <w:tc>
          <w:tcPr>
            <w:tcW w:type="dxa" w:w="5328"/>
            <w:vAlign w:val="center"/>
            <w:tcMar>
              <w:top w:w="90" w:type="dxa"/>
              <w:start w:w="110" w:type="dxa"/>
              <w:bottom w:w="90" w:type="dxa"/>
              <w:end w:w="110" w:type="dxa"/>
            </w:tcMar>
          </w:tcPr>
          <w:p>
            <w:r>
              <w:t>Past three fiscal years</w:t>
            </w:r>
          </w:p>
        </w:tc>
      </w:tr>
      <w:tr>
        <w:tc>
          <w:tcPr>
            <w:tcW w:type="dxa" w:w="2880"/>
            <w:vAlign w:val="center"/>
            <w:tcMar>
              <w:top w:w="90" w:type="dxa"/>
              <w:start w:w="110" w:type="dxa"/>
              <w:bottom w:w="90" w:type="dxa"/>
              <w:end w:w="110" w:type="dxa"/>
            </w:tcMar>
            <w:shd w:fill="D9E2F3"/>
          </w:tcPr>
          <w:p>
            <w:r>
              <w:rPr>
                <w:b/>
                <w:color w:val="123456"/>
              </w:rPr>
              <w:t>Primary Framework</w:t>
            </w:r>
          </w:p>
        </w:tc>
        <w:tc>
          <w:tcPr>
            <w:tcW w:type="dxa" w:w="5328"/>
            <w:vAlign w:val="center"/>
            <w:tcMar>
              <w:top w:w="90" w:type="dxa"/>
              <w:start w:w="110" w:type="dxa"/>
              <w:bottom w:w="90" w:type="dxa"/>
              <w:end w:w="110" w:type="dxa"/>
            </w:tcMar>
          </w:tcPr>
          <w:p>
            <w:r>
              <w:t>IFRS with GAAP references where informative</w:t>
            </w:r>
          </w:p>
        </w:tc>
      </w:tr>
      <w:tr>
        <w:tc>
          <w:tcPr>
            <w:tcW w:type="dxa" w:w="2880"/>
            <w:vAlign w:val="center"/>
            <w:tcMar>
              <w:top w:w="90" w:type="dxa"/>
              <w:start w:w="110" w:type="dxa"/>
              <w:bottom w:w="90" w:type="dxa"/>
              <w:end w:w="110" w:type="dxa"/>
            </w:tcMar>
            <w:shd w:fill="D9E2F3"/>
          </w:tcPr>
          <w:p>
            <w:r>
              <w:rPr>
                <w:b/>
                <w:color w:val="123456"/>
              </w:rPr>
              <w:t>Prepared For</w:t>
            </w:r>
          </w:p>
        </w:tc>
        <w:tc>
          <w:tcPr>
            <w:tcW w:type="dxa" w:w="5328"/>
            <w:vAlign w:val="center"/>
            <w:tcMar>
              <w:top w:w="90" w:type="dxa"/>
              <w:start w:w="110" w:type="dxa"/>
              <w:bottom w:w="90" w:type="dxa"/>
              <w:end w:w="110" w:type="dxa"/>
            </w:tcMar>
          </w:tcPr>
          <w:p>
            <w:r>
              <w:t>Management, private equity investors, lenders, auditors, and financial advisors</w:t>
            </w:r>
          </w:p>
        </w:tc>
      </w:tr>
    </w:tbl>
    <w:p/>
    <w:p>
      <w:pPr>
        <w:pStyle w:val="SmallNote"/>
        <w:jc w:val="center"/>
      </w:pPr>
      <w:r>
        <w:t>This memorandum is drafted as formal accounting policy documentation for a hypothetical company and is intended to mirror the structure and depth used in transaction diligence and audit workpapers.</w:t>
      </w:r>
    </w:p>
    <w:p>
      <w:r>
        <w:br w:type="page"/>
      </w:r>
    </w:p>
    <w:p>
      <w:pPr>
        <w:pStyle w:val="Heading1"/>
      </w:pPr>
      <w:r>
        <w:t>Contents</w:t>
      </w:r>
    </w:p>
    <w:p>
      <w:pPr>
        <w:pStyle w:val="BodyTight"/>
      </w:pPr>
      <w:r>
        <w:t>1. Executive Summary</w:t>
      </w:r>
    </w:p>
    <w:p>
      <w:pPr>
        <w:pStyle w:val="BodyTight"/>
      </w:pPr>
      <w:r>
        <w:t>2. Applicable Accounting Standards</w:t>
      </w:r>
    </w:p>
    <w:p>
      <w:pPr>
        <w:pStyle w:val="BodyTight"/>
      </w:pPr>
      <w:r>
        <w:t>3. Overview of Historical Accounting Policies</w:t>
      </w:r>
    </w:p>
    <w:p>
      <w:pPr>
        <w:pStyle w:val="BodyTight"/>
      </w:pPr>
      <w:r>
        <w:t>4. Summary of Accounting Method Changes</w:t>
      </w:r>
    </w:p>
    <w:p>
      <w:pPr>
        <w:pStyle w:val="BodyTight"/>
      </w:pPr>
      <w:r>
        <w:t>5. Detailed Explanation of Each Accounting Method Change</w:t>
      </w:r>
    </w:p>
    <w:p>
      <w:pPr>
        <w:pStyle w:val="BodyTight"/>
      </w:pPr>
      <w:r>
        <w:t>6. Impact on Financial Statements</w:t>
      </w:r>
    </w:p>
    <w:p>
      <w:pPr>
        <w:pStyle w:val="BodyTight"/>
      </w:pPr>
      <w:r>
        <w:t>7. Comparability Across Financial Periods</w:t>
      </w:r>
    </w:p>
    <w:p>
      <w:pPr>
        <w:pStyle w:val="BodyTight"/>
      </w:pPr>
      <w:r>
        <w:t>8. Internal Controls and Approval Process</w:t>
      </w:r>
    </w:p>
    <w:p>
      <w:pPr>
        <w:pStyle w:val="BodyTight"/>
      </w:pPr>
      <w:r>
        <w:t>9. Auditor Review and Validation</w:t>
      </w:r>
    </w:p>
    <w:p>
      <w:pPr>
        <w:pStyle w:val="BodyTight"/>
      </w:pPr>
      <w:r>
        <w:t>10. Potential Risks and Considerations</w:t>
      </w:r>
    </w:p>
    <w:p>
      <w:pPr>
        <w:pStyle w:val="BodyTight"/>
      </w:pPr>
      <w:r>
        <w:t>11. Conclusion</w:t>
      </w:r>
    </w:p>
    <w:p>
      <w:pPr>
        <w:pStyle w:val="Heading1"/>
      </w:pPr>
      <w:r>
        <w:t>1. Executive Summary</w:t>
      </w:r>
    </w:p>
    <w:p>
      <w:pPr/>
      <w:r>
        <w:t>The purpose of this memorandum is to explain the material changes in accounting methods and related accounting policies implemented by Aurelia Developments LLC during the past three fiscal years, and to describe the rationale, technical accounting basis, governance process, and financial statement effects associated with those changes. In a real estate development environment, changes in accounting methods can have a pronounced effect on the timing of revenue, gross margin recognition, development inventory carrying values, capitalization of borrowing and development costs, and balance sheet presentation. Accordingly, transparent documentation is essential for investors, lenders, auditors, and other users of the financial statements evaluating earnings quality, period-to-period comparability, and covenant compliance.</w:t>
      </w:r>
    </w:p>
    <w:p>
      <w:pPr/>
      <w:r>
        <w:t>This memorandum is structured in the format commonly used by accounting policy advisory teams at large professional services firms. It addresses both the conceptual framework and the company-specific application of that framework. Where appropriate, the discussion distinguishes between changes in accounting policy, changes in accounting estimates, changes in presentation or classification, and refinements to internal application methodologies. Although these categories may have different accounting consequences under IFRS, all are relevant to users performing transaction diligence because each may affect comparability, trend analysis, and valuation.</w:t>
      </w:r>
    </w:p>
    <w:p>
      <w:pPr/>
      <w:r>
        <w:t>Over the review period, the company implemented a series of method changes largely driven by three factors: first, the maturation of its project portfolio from relatively simple residential developments to a broader mix of branded residences, villa communities, and mixed-use projects; second, enhanced alignment with IFRS requirements and prevailing market practice for UAE real estate developers; and third, the need to improve the precision and consistency of financial reporting for institutional stakeholders, including private equity investors and project finance lenders.</w:t>
      </w:r>
    </w:p>
    <w:p>
      <w:pPr/>
      <w:r>
        <w:t>The principal changes addressed in this memorandum include: (i) a transition in the company’s method for recognizing revenue on certain off-plan sales arrangements, including a tightened transfer-of-control assessment and more disciplined separation of point-in-time recognition from over-time service or fee components; (ii) a refinement of the company’s development cost capitalization methodology and allocation basis across project inventory and common infrastructure; (iii) a revised policy for capitalizing borrowing costs associated with qualifying development assets; (iv) reclassification of certain land parcels and enabling infrastructure balances between land bank inventory and development inventory; and (v) updated accounting for joint venture and development partnership arrangements, including distinction between principal and agent economics and identification of separate performance obligations.</w:t>
      </w:r>
    </w:p>
    <w:p>
      <w:pPr/>
      <w:r>
        <w:t>From a diligence perspective, these changes are significant because they affect both the numerator and denominator of many core investment metrics. Revenue timing changes alter EBITDA trajectories and sales conversion patterns; inventory and borrowing cost methodology changes affect project-level gross margins and net asset values; and classification updates alter reported leverage, working capital, and turnover ratios. As a result, stakeholders reviewing historical performance should consider both the as-reported results and the normalized, comparable basis described in the sections that follow.</w:t>
      </w:r>
    </w:p>
    <w:p>
      <w:pPr>
        <w:pStyle w:val="Heading1"/>
      </w:pPr>
      <w:r>
        <w:t>2. Applicable Accounting Standards</w:t>
      </w:r>
    </w:p>
    <w:p>
      <w:pPr/>
      <w:r>
        <w:t>Aurelia Developments LLC prepares its financial statements primarily under IFRS. The accounting literature most directly relevant to changes in accounting methods includes IAS 8, Accounting Policies, Changes in Accounting Estimates and Errors; IFRS 15, Revenue from Contracts with Customers; IAS 2, Inventories; IAS 23, Borrowing Costs; IAS 16, Property, Plant and Equipment; IFRS 11, Joint Arrangements; IAS 28, Investments in Associates and Joint Ventures; IFRS 16, Leases; and IAS 1, Presentation of Financial Statements.</w:t>
      </w:r>
    </w:p>
    <w:p>
      <w:pPr/>
      <w:r>
        <w:t>IAS 8 establishes the framework for determining when a company may change an accounting policy and how such a change should be reflected. In general, an accounting policy change is required when mandated by a new or amended accounting standard, or when the change results in financial statements providing reliable and more relevant information about the effects of transactions, other events, or conditions on the entity’s financial position, performance, or cash flows. Unless impracticable, voluntary changes in accounting policy are typically applied retrospectively. In contrast, changes in accounting estimates are recognized prospectively, and corrections of errors require restatement of prior periods.</w:t>
      </w:r>
    </w:p>
    <w:p>
      <w:pPr/>
      <w:r>
        <w:t>In the context of real estate development, the distinction between a policy change and an estimate change is particularly important. For example, a revised method for determining whether control transfers over time or at a point in time under IFRS 15 may represent a policy change if it reflects a new interpretive position adopted consistently across a class of contracts. By contrast, an update to the expected cost-to-complete percentage on a given project generally represents a change in estimate. Similarly, a decision to alter the allocation basis used to assign shared infrastructure costs across phases may be an accounting estimate or methodology refinement depending on the facts and the degree of judgment embedded in the prior practice.</w:t>
      </w:r>
    </w:p>
    <w:p>
      <w:pPr/>
      <w:r>
        <w:t>GAAP guidance is referenced in this memorandum only where useful for comparative diligence discussions. Conceptually, the most relevant U.S. GAAP literature includes ASC 250 on accounting changes and error corrections, ASC 606 on revenue recognition, ASC 330 on inventory, ASC 835-20 on capitalization of interest, ASC 323 on equity method investments, and ASC 970 in specialized real estate contexts. Although the company reports under IFRS, private equity investors and multinational lenders often benchmark policies against both frameworks when assessing reporting quality.</w:t>
      </w:r>
    </w:p>
    <w:p>
      <w:pPr>
        <w:pStyle w:val="Heading1"/>
      </w:pPr>
      <w:r>
        <w:t>3. Overview of Historical Accounting Policies</w:t>
      </w:r>
    </w:p>
    <w:p>
      <w:pPr/>
      <w:r>
        <w:t>Historically, the company’s accounting policy framework was designed around a portfolio dominated by conventional residential development projects. Revenue from completed unit sales was recognized when legal title and possession transferred to the purchaser and the company no longer retained substantive continuing involvement. Off-plan sales were historically assessed using a relatively broad project-level framework, with significant emphasis on legal form, standard payment schedules, and management’s view of enforceable customer rights in the local jurisdiction.</w:t>
      </w:r>
    </w:p>
    <w:p>
      <w:pPr/>
      <w:r>
        <w:t>Development land and directly attributable project costs were capitalized as inventory. This generally included land acquisition costs, transfer fees, design fees, permitting costs, main contractor costs, subcontractor costs, certain site overheads, and, in practice, a portion of enabling infrastructure and common area costs when management believed such costs were recoverable from the sale of project units. However, the historic methodology did not always apply a uniform cost pool allocation basis across projects, particularly where a master community contained multiple phases or a hospitality component.</w:t>
      </w:r>
    </w:p>
    <w:p>
      <w:pPr/>
      <w:r>
        <w:t>Borrowing costs incurred on project financing arrangements were historically capitalized where management concluded the underlying project constituted a qualifying asset and active development was underway. In earlier periods, the company used a relatively pragmatic approach to identifying eligible financing costs, and certain facility-related fees were expensed as incurred rather than being assessed for capitalization or effective interest treatment. As the financing structure became more complex, this approach became less appropriate.</w:t>
      </w:r>
    </w:p>
    <w:p>
      <w:pPr/>
      <w:r>
        <w:t>Land parcels held for future development, strategic option value, or potential joint venture deployment were historically presented within inventories, but the distinction between land bank inventory, active development inventory, and property held for leasing or ancillary operational use was not always consistently applied. This occasionally reduced transparency around near-term monetization prospects versus long-duration strategic holdings.</w:t>
      </w:r>
    </w:p>
    <w:p>
      <w:pPr/>
      <w:r>
        <w:t>Depreciation policies historically differentiated between corporate fixed assets, model units and sales centers, operational hospitality fixtures, and leasehold improvements. The company used straight-line depreciation for depreciable assets over estimated useful lives. While depreciation itself did not undergo a fundamental basis change during the review period, there were consequential classification refinements resulting from updated assessments of which expenditures should remain in inventory, which should be capitalized as property and equipment, and which should be expensed.</w:t>
      </w:r>
    </w:p>
    <w:p>
      <w:pPr>
        <w:pStyle w:val="Heading1"/>
      </w:pPr>
      <w:r>
        <w:t>4. Summary of Accounting Method Changes</w:t>
      </w:r>
    </w:p>
    <w:p>
      <w:pPr>
        <w:pStyle w:val="BodyTight"/>
      </w:pPr>
      <w:r>
        <w:t>The table below summarizes the principal accounting method changes identified during the past three fiscal years.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958"/>
            <w:shd w:fill="D9E2F3"/>
            <w:tcMar>
              <w:top w:w="100" w:type="dxa"/>
              <w:start w:w="100" w:type="dxa"/>
              <w:bottom w:w="100" w:type="dxa"/>
              <w:end w:w="100" w:type="dxa"/>
            </w:tcMar>
          </w:tcPr>
          <w:p>
            <w:r>
              <w:rPr>
                <w:b/>
                <w:color w:val="123456"/>
              </w:rPr>
              <w:t>Fiscal Year</w:t>
            </w:r>
          </w:p>
        </w:tc>
        <w:tc>
          <w:tcPr>
            <w:tcW w:type="dxa" w:w="1958"/>
            <w:shd w:fill="D9E2F3"/>
            <w:tcMar>
              <w:top w:w="100" w:type="dxa"/>
              <w:start w:w="100" w:type="dxa"/>
              <w:bottom w:w="100" w:type="dxa"/>
              <w:end w:w="100" w:type="dxa"/>
            </w:tcMar>
          </w:tcPr>
          <w:p>
            <w:r>
              <w:rPr>
                <w:b/>
                <w:color w:val="123456"/>
              </w:rPr>
              <w:t>Area</w:t>
            </w:r>
          </w:p>
        </w:tc>
        <w:tc>
          <w:tcPr>
            <w:tcW w:type="dxa" w:w="1958"/>
            <w:shd w:fill="D9E2F3"/>
            <w:tcMar>
              <w:top w:w="100" w:type="dxa"/>
              <w:start w:w="100" w:type="dxa"/>
              <w:bottom w:w="100" w:type="dxa"/>
              <w:end w:w="100" w:type="dxa"/>
            </w:tcMar>
          </w:tcPr>
          <w:p>
            <w:r>
              <w:rPr>
                <w:b/>
                <w:color w:val="123456"/>
              </w:rPr>
              <w:t>Previous Treatment</w:t>
            </w:r>
          </w:p>
        </w:tc>
        <w:tc>
          <w:tcPr>
            <w:tcW w:type="dxa" w:w="1958"/>
            <w:shd w:fill="D9E2F3"/>
            <w:tcMar>
              <w:top w:w="100" w:type="dxa"/>
              <w:start w:w="100" w:type="dxa"/>
              <w:bottom w:w="100" w:type="dxa"/>
              <w:end w:w="100" w:type="dxa"/>
            </w:tcMar>
          </w:tcPr>
          <w:p>
            <w:r>
              <w:rPr>
                <w:b/>
                <w:color w:val="123456"/>
              </w:rPr>
              <w:t>Revised Treatment</w:t>
            </w:r>
          </w:p>
        </w:tc>
        <w:tc>
          <w:tcPr>
            <w:tcW w:type="dxa" w:w="1958"/>
            <w:shd w:fill="D9E2F3"/>
            <w:tcMar>
              <w:top w:w="100" w:type="dxa"/>
              <w:start w:w="100" w:type="dxa"/>
              <w:bottom w:w="100" w:type="dxa"/>
              <w:end w:w="100" w:type="dxa"/>
            </w:tcMar>
          </w:tcPr>
          <w:p>
            <w:r>
              <w:rPr>
                <w:b/>
                <w:color w:val="123456"/>
              </w:rPr>
              <w:t>Primary Driver</w:t>
            </w:r>
          </w:p>
        </w:tc>
      </w:tr>
      <w:tr>
        <w:tc>
          <w:tcPr>
            <w:tcW w:type="dxa" w:w="1958"/>
            <w:tcMar>
              <w:top w:w="100" w:type="dxa"/>
              <w:start w:w="100" w:type="dxa"/>
              <w:bottom w:w="100" w:type="dxa"/>
              <w:end w:w="100" w:type="dxa"/>
            </w:tcMar>
            <w:vAlign w:val="center"/>
          </w:tcPr>
          <w:p>
            <w:r>
              <w:t>FY2022</w:t>
            </w:r>
          </w:p>
        </w:tc>
        <w:tc>
          <w:tcPr>
            <w:tcW w:type="dxa" w:w="1958"/>
            <w:tcMar>
              <w:top w:w="100" w:type="dxa"/>
              <w:start w:w="100" w:type="dxa"/>
              <w:bottom w:w="100" w:type="dxa"/>
              <w:end w:w="100" w:type="dxa"/>
            </w:tcMar>
            <w:vAlign w:val="center"/>
          </w:tcPr>
          <w:p>
            <w:r>
              <w:t>Off-plan sales revenue</w:t>
            </w:r>
          </w:p>
        </w:tc>
        <w:tc>
          <w:tcPr>
            <w:tcW w:type="dxa" w:w="1958"/>
            <w:tcMar>
              <w:top w:w="100" w:type="dxa"/>
              <w:start w:w="100" w:type="dxa"/>
              <w:bottom w:w="100" w:type="dxa"/>
              <w:end w:w="100" w:type="dxa"/>
            </w:tcMar>
            <w:vAlign w:val="center"/>
          </w:tcPr>
          <w:p>
            <w:r>
              <w:t>Broader reliance on contract execution and milestone billing indicators</w:t>
            </w:r>
          </w:p>
        </w:tc>
        <w:tc>
          <w:tcPr>
            <w:tcW w:type="dxa" w:w="1958"/>
            <w:tcMar>
              <w:top w:w="100" w:type="dxa"/>
              <w:start w:w="100" w:type="dxa"/>
              <w:bottom w:w="100" w:type="dxa"/>
              <w:end w:w="100" w:type="dxa"/>
            </w:tcMar>
            <w:vAlign w:val="center"/>
          </w:tcPr>
          <w:p>
            <w:r>
              <w:t>More stringent transfer-of-control assessment; point-in-time recognition for unit sales unless over-time criteria are demonstrably met; separate service components assessed independently</w:t>
            </w:r>
          </w:p>
        </w:tc>
        <w:tc>
          <w:tcPr>
            <w:tcW w:type="dxa" w:w="1958"/>
            <w:tcMar>
              <w:top w:w="100" w:type="dxa"/>
              <w:start w:w="100" w:type="dxa"/>
              <w:bottom w:w="100" w:type="dxa"/>
              <w:end w:w="100" w:type="dxa"/>
            </w:tcMar>
            <w:vAlign w:val="center"/>
          </w:tcPr>
          <w:p>
            <w:r>
              <w:t>IFRS 15 alignment and audit focus</w:t>
            </w:r>
          </w:p>
        </w:tc>
      </w:tr>
      <w:tr>
        <w:tc>
          <w:tcPr>
            <w:tcW w:type="dxa" w:w="1958"/>
            <w:tcMar>
              <w:top w:w="100" w:type="dxa"/>
              <w:start w:w="100" w:type="dxa"/>
              <w:bottom w:w="100" w:type="dxa"/>
              <w:end w:w="100" w:type="dxa"/>
            </w:tcMar>
            <w:vAlign w:val="center"/>
          </w:tcPr>
          <w:p>
            <w:r>
              <w:t>FY2023</w:t>
            </w:r>
          </w:p>
        </w:tc>
        <w:tc>
          <w:tcPr>
            <w:tcW w:type="dxa" w:w="1958"/>
            <w:tcMar>
              <w:top w:w="100" w:type="dxa"/>
              <w:start w:w="100" w:type="dxa"/>
              <w:bottom w:w="100" w:type="dxa"/>
              <w:end w:w="100" w:type="dxa"/>
            </w:tcMar>
            <w:vAlign w:val="center"/>
          </w:tcPr>
          <w:p>
            <w:r>
              <w:t>Development cost capitalization</w:t>
            </w:r>
          </w:p>
        </w:tc>
        <w:tc>
          <w:tcPr>
            <w:tcW w:type="dxa" w:w="1958"/>
            <w:tcMar>
              <w:top w:w="100" w:type="dxa"/>
              <w:start w:w="100" w:type="dxa"/>
              <w:bottom w:w="100" w:type="dxa"/>
              <w:end w:w="100" w:type="dxa"/>
            </w:tcMar>
            <w:vAlign w:val="center"/>
          </w:tcPr>
          <w:p>
            <w:r>
              <w:t>Project-specific practices for shared infrastructure and common cost allocation</w:t>
            </w:r>
          </w:p>
        </w:tc>
        <w:tc>
          <w:tcPr>
            <w:tcW w:type="dxa" w:w="1958"/>
            <w:tcMar>
              <w:top w:w="100" w:type="dxa"/>
              <w:start w:w="100" w:type="dxa"/>
              <w:bottom w:w="100" w:type="dxa"/>
              <w:end w:w="100" w:type="dxa"/>
            </w:tcMar>
            <w:vAlign w:val="center"/>
          </w:tcPr>
          <w:p>
            <w:r>
              <w:t>Standardized capitalization policy with defined attributable cost categories and allocation matrices across phases/components</w:t>
            </w:r>
          </w:p>
        </w:tc>
        <w:tc>
          <w:tcPr>
            <w:tcW w:type="dxa" w:w="1958"/>
            <w:tcMar>
              <w:top w:w="100" w:type="dxa"/>
              <w:start w:w="100" w:type="dxa"/>
              <w:bottom w:w="100" w:type="dxa"/>
              <w:end w:w="100" w:type="dxa"/>
            </w:tcMar>
            <w:vAlign w:val="center"/>
          </w:tcPr>
          <w:p>
            <w:r>
              <w:t>Improved consistency and margin comparability</w:t>
            </w:r>
          </w:p>
        </w:tc>
      </w:tr>
      <w:tr>
        <w:tc>
          <w:tcPr>
            <w:tcW w:type="dxa" w:w="1958"/>
            <w:tcMar>
              <w:top w:w="100" w:type="dxa"/>
              <w:start w:w="100" w:type="dxa"/>
              <w:bottom w:w="100" w:type="dxa"/>
              <w:end w:w="100" w:type="dxa"/>
            </w:tcMar>
            <w:vAlign w:val="center"/>
          </w:tcPr>
          <w:p>
            <w:r>
              <w:t>FY2023</w:t>
            </w:r>
          </w:p>
        </w:tc>
        <w:tc>
          <w:tcPr>
            <w:tcW w:type="dxa" w:w="1958"/>
            <w:tcMar>
              <w:top w:w="100" w:type="dxa"/>
              <w:start w:w="100" w:type="dxa"/>
              <w:bottom w:w="100" w:type="dxa"/>
              <w:end w:w="100" w:type="dxa"/>
            </w:tcMar>
            <w:vAlign w:val="center"/>
          </w:tcPr>
          <w:p>
            <w:r>
              <w:t>Borrowing costs</w:t>
            </w:r>
          </w:p>
        </w:tc>
        <w:tc>
          <w:tcPr>
            <w:tcW w:type="dxa" w:w="1958"/>
            <w:tcMar>
              <w:top w:w="100" w:type="dxa"/>
              <w:start w:w="100" w:type="dxa"/>
              <w:bottom w:w="100" w:type="dxa"/>
              <w:end w:w="100" w:type="dxa"/>
            </w:tcMar>
            <w:vAlign w:val="center"/>
          </w:tcPr>
          <w:p>
            <w:r>
              <w:t>Selective capitalization; certain fees expensed as incurred</w:t>
            </w:r>
          </w:p>
        </w:tc>
        <w:tc>
          <w:tcPr>
            <w:tcW w:type="dxa" w:w="1958"/>
            <w:tcMar>
              <w:top w:w="100" w:type="dxa"/>
              <w:start w:w="100" w:type="dxa"/>
              <w:bottom w:w="100" w:type="dxa"/>
              <w:end w:w="100" w:type="dxa"/>
            </w:tcMar>
            <w:vAlign w:val="center"/>
          </w:tcPr>
          <w:p>
            <w:r>
              <w:t>Refined IAS 23 methodology including capitalization commencement/suspension rules and inclusion of qualifying facility costs via effective yield assessment</w:t>
            </w:r>
          </w:p>
        </w:tc>
        <w:tc>
          <w:tcPr>
            <w:tcW w:type="dxa" w:w="1958"/>
            <w:tcMar>
              <w:top w:w="100" w:type="dxa"/>
              <w:start w:w="100" w:type="dxa"/>
              <w:bottom w:w="100" w:type="dxa"/>
              <w:end w:w="100" w:type="dxa"/>
            </w:tcMar>
            <w:vAlign w:val="center"/>
          </w:tcPr>
          <w:p>
            <w:r>
              <w:t>Financing complexity and lender diligence</w:t>
            </w:r>
          </w:p>
        </w:tc>
      </w:tr>
      <w:tr>
        <w:tc>
          <w:tcPr>
            <w:tcW w:type="dxa" w:w="1958"/>
            <w:tcMar>
              <w:top w:w="100" w:type="dxa"/>
              <w:start w:w="100" w:type="dxa"/>
              <w:bottom w:w="100" w:type="dxa"/>
              <w:end w:w="100" w:type="dxa"/>
            </w:tcMar>
            <w:vAlign w:val="center"/>
          </w:tcPr>
          <w:p>
            <w:r>
              <w:t>FY2024</w:t>
            </w:r>
          </w:p>
        </w:tc>
        <w:tc>
          <w:tcPr>
            <w:tcW w:type="dxa" w:w="1958"/>
            <w:tcMar>
              <w:top w:w="100" w:type="dxa"/>
              <w:start w:w="100" w:type="dxa"/>
              <w:bottom w:w="100" w:type="dxa"/>
              <w:end w:w="100" w:type="dxa"/>
            </w:tcMar>
            <w:vAlign w:val="center"/>
          </w:tcPr>
          <w:p>
            <w:r>
              <w:t>Land and inventory classification</w:t>
            </w:r>
          </w:p>
        </w:tc>
        <w:tc>
          <w:tcPr>
            <w:tcW w:type="dxa" w:w="1958"/>
            <w:tcMar>
              <w:top w:w="100" w:type="dxa"/>
              <w:start w:w="100" w:type="dxa"/>
              <w:bottom w:w="100" w:type="dxa"/>
              <w:end w:w="100" w:type="dxa"/>
            </w:tcMar>
            <w:vAlign w:val="center"/>
          </w:tcPr>
          <w:p>
            <w:r>
              <w:t>Some strategic land and enabling assets grouped within active development inventory</w:t>
            </w:r>
          </w:p>
        </w:tc>
        <w:tc>
          <w:tcPr>
            <w:tcW w:type="dxa" w:w="1958"/>
            <w:tcMar>
              <w:top w:w="100" w:type="dxa"/>
              <w:start w:w="100" w:type="dxa"/>
              <w:bottom w:w="100" w:type="dxa"/>
              <w:end w:w="100" w:type="dxa"/>
            </w:tcMar>
            <w:vAlign w:val="center"/>
          </w:tcPr>
          <w:p>
            <w:r>
              <w:t>Formal distinction between land bank inventory, active development inventory, and operational/lease assets</w:t>
            </w:r>
          </w:p>
        </w:tc>
        <w:tc>
          <w:tcPr>
            <w:tcW w:type="dxa" w:w="1958"/>
            <w:tcMar>
              <w:top w:w="100" w:type="dxa"/>
              <w:start w:w="100" w:type="dxa"/>
              <w:bottom w:w="100" w:type="dxa"/>
              <w:end w:w="100" w:type="dxa"/>
            </w:tcMar>
            <w:vAlign w:val="center"/>
          </w:tcPr>
          <w:p>
            <w:r>
              <w:t>Portfolio expansion and balance sheet transparency</w:t>
            </w:r>
          </w:p>
        </w:tc>
      </w:tr>
      <w:tr>
        <w:tc>
          <w:tcPr>
            <w:tcW w:type="dxa" w:w="1958"/>
            <w:tcMar>
              <w:top w:w="100" w:type="dxa"/>
              <w:start w:w="100" w:type="dxa"/>
              <w:bottom w:w="100" w:type="dxa"/>
              <w:end w:w="100" w:type="dxa"/>
            </w:tcMar>
            <w:vAlign w:val="center"/>
          </w:tcPr>
          <w:p>
            <w:r>
              <w:t>FY2024</w:t>
            </w:r>
          </w:p>
        </w:tc>
        <w:tc>
          <w:tcPr>
            <w:tcW w:type="dxa" w:w="1958"/>
            <w:tcMar>
              <w:top w:w="100" w:type="dxa"/>
              <w:start w:w="100" w:type="dxa"/>
              <w:bottom w:w="100" w:type="dxa"/>
              <w:end w:w="100" w:type="dxa"/>
            </w:tcMar>
            <w:vAlign w:val="center"/>
          </w:tcPr>
          <w:p>
            <w:r>
              <w:t>Joint venture / partnership income</w:t>
            </w:r>
          </w:p>
        </w:tc>
        <w:tc>
          <w:tcPr>
            <w:tcW w:type="dxa" w:w="1958"/>
            <w:tcMar>
              <w:top w:w="100" w:type="dxa"/>
              <w:start w:w="100" w:type="dxa"/>
              <w:bottom w:w="100" w:type="dxa"/>
              <w:end w:w="100" w:type="dxa"/>
            </w:tcMar>
            <w:vAlign w:val="center"/>
          </w:tcPr>
          <w:p>
            <w:r>
              <w:t>Mixed presentation of fees and profit share, limited principal-agent analysis</w:t>
            </w:r>
          </w:p>
        </w:tc>
        <w:tc>
          <w:tcPr>
            <w:tcW w:type="dxa" w:w="1958"/>
            <w:tcMar>
              <w:top w:w="100" w:type="dxa"/>
              <w:start w:w="100" w:type="dxa"/>
              <w:bottom w:w="100" w:type="dxa"/>
              <w:end w:w="100" w:type="dxa"/>
            </w:tcMar>
            <w:vAlign w:val="center"/>
          </w:tcPr>
          <w:p>
            <w:r>
              <w:t>Contract-by-contract analysis of performance obligations, equity method/fee presentation, and profit participation classification</w:t>
            </w:r>
          </w:p>
        </w:tc>
        <w:tc>
          <w:tcPr>
            <w:tcW w:type="dxa" w:w="1958"/>
            <w:tcMar>
              <w:top w:w="100" w:type="dxa"/>
              <w:start w:w="100" w:type="dxa"/>
              <w:bottom w:w="100" w:type="dxa"/>
              <w:end w:w="100" w:type="dxa"/>
            </w:tcMar>
            <w:vAlign w:val="center"/>
          </w:tcPr>
          <w:p>
            <w:r>
              <w:t>Complex development partnerships and investor reporting</w:t>
            </w:r>
          </w:p>
        </w:tc>
      </w:tr>
    </w:tbl>
    <w:p>
      <w:pPr>
        <w:pStyle w:val="Heading1"/>
      </w:pPr>
      <w:r>
        <w:t>5. Detailed Explanation of Each Accounting Method Change</w:t>
      </w:r>
    </w:p>
    <w:p>
      <w:pPr>
        <w:pStyle w:val="Heading2"/>
      </w:pPr>
      <w:r>
        <w:t>5.1 Revenue recognition method for off-plan property sales</w:t>
      </w:r>
    </w:p>
    <w:p>
      <w:pPr/>
      <w:r>
        <w:t>Previous treatment. Historically, the company used an approach under which a broad class of off-plan contracts was assessed for revenue recognition with considerable weight placed on executed sale and purchase agreements, installment payment schedules, non-refundable booking amounts, and the commercial substance of pre-sales in financing project delivery. In practice, this approach could result in a tendency to view construction progress and contractual enforceability as collectively supporting recognition before physical handover for some contract populations.</w:t>
      </w:r>
    </w:p>
    <w:p>
      <w:pPr/>
      <w:r>
        <w:t>New treatment. Beginning in FY2022, and strengthened through FY2023 audit close procedures, the company adopted a more restrictive and evidence-based transfer-of-control assessment under IFRS 15. Under the revised policy, unit sale revenue is recognized over time only where the contractual and legal environment clearly supports the conclusion that the asset has no alternative use to the developer and the company has an enforceable right to payment for performance completed to date, including a reasonable margin where required by the standard. Where such criteria are not met, revenue is recognized at a point in time, generally upon handover, legal transfer, or another documented transfer-of-control event.</w:t>
      </w:r>
    </w:p>
    <w:p>
      <w:pPr/>
      <w:r>
        <w:t>Rationale. The revised method was adopted to reduce the risk of premature revenue recognition and to align the policy more closely with the economics of Dubai property transfers, especially in complex projects involving customer installment plans, escrow restrictions, and handover-linked legal steps. The company also expanded its contract review process to assess termination clauses, substitution rights, project change provisions, remedies on buyer default, and the precise enforceability of rights under applicable law and standard form agreements.</w:t>
      </w:r>
    </w:p>
    <w:p>
      <w:pPr/>
      <w:r>
        <w:t>Financial statement effects. The primary effect of this change was a deferral of revenue recognition for certain off-plan unit sales that had previously been recognized earlier in the project lifecycle. Customer receipts continued to be collected and were presented as contract liabilities or customer advances until the relevant recognition threshold was met. This change also affected the timing of gross profit, sales commissions capitalization/amortization patterns where applicable, and project-level EBITDA trends observed by investors.</w:t>
      </w:r>
    </w:p>
    <w:p>
      <w:pPr>
        <w:pStyle w:val="Heading2"/>
      </w:pPr>
      <w:r>
        <w:t>5.2 Development cost capitalization and allocation methodology</w:t>
      </w:r>
    </w:p>
    <w:p>
      <w:pPr/>
      <w:r>
        <w:t>Previous treatment. Before FY2023, the company capitalized directly attributable development expenditures to the relevant project inventory, but the treatment of shared infrastructure, master-planned amenities, site-wide mobilization costs, and certain pre-construction costs varied across business units. Some projects allocated common costs based primarily on unit counts, while others used built-up area, sellable area, or management judgment. The result was that margins were directionally reasonable but not always fully comparable across projects or reporting periods.</w:t>
      </w:r>
    </w:p>
    <w:p>
      <w:pPr/>
      <w:r>
        <w:t>New treatment. Effective FY2023, the company formalized a centralized development cost capitalization framework. The revised method defines eligible cost categories, establishes gatekeeping criteria for capitalization, distinguishes project-specific from shared or enabling costs, and prescribes standardized allocation bases. Examples include sellable square footage for shared residential infrastructure, expected cost driver metrics for mixed-use common elements, and phase-specific absorption schedules where master community assets benefit multiple launches over time.</w:t>
      </w:r>
    </w:p>
    <w:p>
      <w:pPr/>
      <w:r>
        <w:t>Rationale. This change was adopted to improve consistency, strengthen audit evidence, and provide more decision-useful project economics for management and investors. It also reduced the risk of over-capitalization of generalized overheads or under-allocation of infrastructure costs to later phases. The formalized methodology better reflects how value is created and realized in a phased real estate development model.</w:t>
      </w:r>
    </w:p>
    <w:p>
      <w:pPr/>
      <w:r>
        <w:t>Financial statement effects. The revised method altered the carrying values of development inventory by project, shifted certain expenditures from period expense to capitalized inventory or vice versa, and refined the cost of sales recognized when units were delivered. On a portfolio basis, the change generally improved gross margin comparability even where aggregate lifetime project profitability was unchanged.</w:t>
      </w:r>
    </w:p>
    <w:p>
      <w:pPr>
        <w:pStyle w:val="Heading2"/>
      </w:pPr>
      <w:r>
        <w:t>5.3 Borrowing cost capitalization methodology</w:t>
      </w:r>
    </w:p>
    <w:p>
      <w:pPr/>
      <w:r>
        <w:t>Previous treatment. The company historically capitalized borrowing costs on qualifying development projects when active construction was underway, but it used a less granular process to identify when capitalization should commence, pause, or cease. In addition, certain commitment fees, arrangement fees, and directly attributable financing costs were not always evaluated consistently under the effective interest method or for inclusion in the capitalizable borrowing cost base.</w:t>
      </w:r>
    </w:p>
    <w:p>
      <w:pPr/>
      <w:r>
        <w:t>New treatment. During FY2023, the company refined its IAS 23 methodology. Under the revised approach, capitalization begins when expenditures for the asset are being incurred, borrowing costs are being incurred, and activities necessary to prepare the asset for its intended sale or use are in progress. Capitalization is suspended during extended periods in which active development is interrupted, other than normal temporary delays. Capitalization ceases when substantially all activities necessary to prepare the qualifying asset are complete. Facility fees are assessed for recognition through an effective yield framework where relevant, and the resulting capitalizable amount is linked to qualifying project expenditures.</w:t>
      </w:r>
    </w:p>
    <w:p>
      <w:pPr/>
      <w:r>
        <w:t>Rationale. The revised treatment was adopted because the company’s financing profile evolved from relatively simple project debt to a broader mix of project finance facilities, corporate revolvers, shareholder loans, and escrow-linked structures. A more robust methodology was needed to ensure that carrying values of development inventory appropriately reflected attributable financing costs without capitalizing amounts unrelated to asset preparation.</w:t>
      </w:r>
    </w:p>
    <w:p>
      <w:pPr/>
      <w:r>
        <w:t>Financial statement effects. The change affected the split between finance costs in profit or loss and inventory balances on the balance sheet. Projects in intensive build phases generally carried higher capitalized borrowing costs than under the prior method, while projects experiencing delays or near-completion status recognized more finance costs directly in the income statement than before. This had the effect of smoothing some project margins and improving matching between cost incurrence and revenue recognition.</w:t>
      </w:r>
    </w:p>
    <w:p>
      <w:pPr>
        <w:pStyle w:val="Heading2"/>
      </w:pPr>
      <w:r>
        <w:t>5.4 Classification of land bank inventory and enabling assets</w:t>
      </w:r>
    </w:p>
    <w:p>
      <w:pPr/>
      <w:r>
        <w:t>Previous treatment. In earlier periods, land held for future strategic development, adjacent parcel assembly, or potential partnership monetization was often presented within inventories without a consistent distinction between land immediately committed to active projects and land with a longer investment horizon. Similarly, certain enabling works and advance infrastructure expenditures were aggregated with active development inventory even when the related revenue cycle would commence only in future phases.</w:t>
      </w:r>
    </w:p>
    <w:p>
      <w:pPr/>
      <w:r>
        <w:t>New treatment. In FY2024, the company introduced a formal classification framework distinguishing (i) land bank inventory held for future development or strategic deployment, (ii) active development inventory associated with launched or approved projects, and (iii) operational assets or lease-related property balances not expected to be monetized through unit sales in the ordinary course. Enabling infrastructure is now assessed based on the phase and project beneficiaries and allocated or deferred accordingly.</w:t>
      </w:r>
    </w:p>
    <w:p>
      <w:pPr/>
      <w:r>
        <w:t>Rationale. This refinement was adopted to improve transparency around capital deployment, sales conversion timing, and the maturity profile of invested capital. For institutional stakeholders, the distinction between short-cycle inventory and long-duration land holdings is critical to valuation and liquidity analysis.</w:t>
      </w:r>
    </w:p>
    <w:p>
      <w:pPr/>
      <w:r>
        <w:t>Financial statement effects. The change did not necessarily alter total assets in aggregate, but it materially improved balance sheet presentation. It also affected working capital measures, inventory turnover analytics, and certain project-specific profitability metrics because costs are now matched to the phases and launches they support.</w:t>
      </w:r>
    </w:p>
    <w:p>
      <w:pPr>
        <w:pStyle w:val="Heading2"/>
      </w:pPr>
      <w:r>
        <w:t>5.5 Accounting for joint venture and development partnership arrangements</w:t>
      </w:r>
    </w:p>
    <w:p>
      <w:pPr/>
      <w:r>
        <w:t>Previous treatment. The company historically used a combination of fee income recognition and share-of-project economics presentation for development partnerships, but the underlying analysis of whether the company acted as principal, agent, joint operator, or equity method investor was not always documented at a sufficiently granular level. Certain arrangements bundled development management services, brand coordination activities, project oversight, and contingent profit participation within a single commercial package.</w:t>
      </w:r>
    </w:p>
    <w:p>
      <w:pPr/>
      <w:r>
        <w:t>New treatment. Beginning in FY2024, the company implemented a contract-by-contract accounting framework for joint venture and development partnership arrangements. Under the revised method, management identifies the legal form and substantive rights of the arrangement, determines whether IFRS 11 joint operation or joint venture accounting applies, evaluates whether development management services represent separate performance obligations under IFRS 15, and classifies contingent returns based on whether they represent service consideration, variable consideration, or investor-type returns captured through equity accounting.</w:t>
      </w:r>
    </w:p>
    <w:p>
      <w:pPr/>
      <w:r>
        <w:t>Rationale. The revised policy was driven by the company’s increased use of branded residence partners, land-owning counterparties, and mixed capital structures. A clearer framework was necessary to avoid gross-versus-net presentation errors and to provide investors with better visibility into recurring fee earnings versus project-level investment returns.</w:t>
      </w:r>
    </w:p>
    <w:p>
      <w:pPr/>
      <w:r>
        <w:t>Financial statement effects. The revised method may reduce gross reported revenue in some arrangements where the company is acting as agent rather than principal, while separately enhancing transparency around management fee income, reimbursements, and equity-accounted share of profit. It also affects EBITDA comparability, as certain returns move below EBITDA when presented as share of associate or joint venture results rather than operating revenue.</w:t>
      </w:r>
    </w:p>
    <w:p>
      <w:pPr>
        <w:pStyle w:val="Heading1"/>
      </w:pPr>
      <w:r>
        <w:t>6. Impact on Financial Statements</w:t>
      </w:r>
    </w:p>
    <w:p>
      <w:pPr/>
      <w:r>
        <w:t>Revenue timing and earnings profile. The most pronounced impact on the income statement arose from the revised revenue recognition method for off-plan unit sales. The policy narrowed the circumstances under which project progress alone supports revenue recognition and thereby increased the use of contract liabilities until handover or equivalent transfer-of-control events. This reduced the risk that revenue and margin would be recognized ahead of the point at which the company had fully satisfied its performance obligations. For financial diligence purposes, stakeholders should expect that earlier periods may reflect different revenue timing dynamics than the current policy framework.</w:t>
      </w:r>
    </w:p>
    <w:p>
      <w:pPr/>
      <w:r>
        <w:t>Asset valuations and inventory balances. The development cost capitalization and borrowing cost methodology changes altered the composition of inventory balances, not merely their labels. More disciplined attribution of enabling infrastructure, phased amenities, and borrowing costs can materially change project carrying values and, in turn, the amount recognized in cost of sales when units are delivered. Although these changes generally do not alter the aggregate lifetime economics of a successful project, they can shift margin recognition between periods and phases.</w:t>
      </w:r>
    </w:p>
    <w:p>
      <w:pPr/>
      <w:r>
        <w:t>Balance sheet presentation. The reclassification of land bank inventory versus active development inventory improved transparency over the company’s capital deployment profile. In addition, the enhanced treatment of partnership arrangements and contract liabilities improved users’ ability to distinguish customer advances, equity-accounted investments, and service-based receivables from conventional trade balances.</w:t>
      </w:r>
    </w:p>
    <w:p>
      <w:pPr/>
      <w:r>
        <w:t>Restatement considerations. To the extent any change constituted a voluntary accounting policy change under IAS 8, the company’s objective was to apply the new policy retrospectively unless impracticable. In practice, some elements of the revised framework were implemented through a combination of retrospective policy alignment and prospective estimate or classification refinements. For diligence review, management should be prepared to provide bridge schedules reconciling previously reported balances to the normalized comparative view used internally and by external auditors.</w:t>
      </w:r>
    </w:p>
    <w:p>
      <w:pPr>
        <w:pStyle w:val="Heading1"/>
      </w:pPr>
      <w:r>
        <w:t>7. Comparability Across Financial Periods</w:t>
      </w:r>
    </w:p>
    <w:p>
      <w:pPr/>
      <w:r>
        <w:t>The company has taken several steps to preserve comparability across reporting periods notwithstanding the method changes described above. First, accounting position papers were prepared for the major changes and retained as part of the reporting close documentation. Second, comparative schedules were built to restate or re-present prior period balances where retrospective application was required or practicable. Third, management reporting packs include narrative disclosures explaining period-specific effects on revenue timing, cost of sales, and inventory movement.</w:t>
      </w:r>
    </w:p>
    <w:p>
      <w:pPr/>
      <w:r>
        <w:t>Where full retrospective restatement was not practicable, the company supplemented external disclosures with management reconciliation schedules to explain the directional effect of the change. These schedules are important in the context of private equity diligence because valuation models often depend on normalized historical EBITDA, cash conversion, and project margin assumptions rather than solely on statutory presentation.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D9E2F3"/>
            <w:tcMar>
              <w:top w:w="100" w:type="dxa"/>
              <w:start w:w="100" w:type="dxa"/>
              <w:bottom w:w="100" w:type="dxa"/>
              <w:end w:w="100" w:type="dxa"/>
            </w:tcMar>
          </w:tcPr>
          <w:p>
            <w:r>
              <w:rPr>
                <w:b/>
                <w:color w:val="123456"/>
              </w:rPr>
              <w:t>Area</w:t>
            </w:r>
          </w:p>
        </w:tc>
        <w:tc>
          <w:tcPr>
            <w:tcW w:type="dxa" w:w="2448"/>
            <w:shd w:fill="D9E2F3"/>
            <w:tcMar>
              <w:top w:w="100" w:type="dxa"/>
              <w:start w:w="100" w:type="dxa"/>
              <w:bottom w:w="100" w:type="dxa"/>
              <w:end w:w="100" w:type="dxa"/>
            </w:tcMar>
          </w:tcPr>
          <w:p>
            <w:r>
              <w:rPr>
                <w:b/>
                <w:color w:val="123456"/>
              </w:rPr>
              <w:t>Comparability Tool</w:t>
            </w:r>
          </w:p>
        </w:tc>
        <w:tc>
          <w:tcPr>
            <w:tcW w:type="dxa" w:w="2448"/>
            <w:shd w:fill="D9E2F3"/>
            <w:tcMar>
              <w:top w:w="100" w:type="dxa"/>
              <w:start w:w="100" w:type="dxa"/>
              <w:bottom w:w="100" w:type="dxa"/>
              <w:end w:w="100" w:type="dxa"/>
            </w:tcMar>
          </w:tcPr>
          <w:p>
            <w:r>
              <w:rPr>
                <w:b/>
                <w:color w:val="123456"/>
              </w:rPr>
              <w:t>Typical Output</w:t>
            </w:r>
          </w:p>
        </w:tc>
        <w:tc>
          <w:tcPr>
            <w:tcW w:type="dxa" w:w="2448"/>
            <w:shd w:fill="D9E2F3"/>
            <w:tcMar>
              <w:top w:w="100" w:type="dxa"/>
              <w:start w:w="100" w:type="dxa"/>
              <w:bottom w:w="100" w:type="dxa"/>
              <w:end w:w="100" w:type="dxa"/>
            </w:tcMar>
          </w:tcPr>
          <w:p>
            <w:r>
              <w:rPr>
                <w:b/>
                <w:color w:val="123456"/>
              </w:rPr>
              <w:t>Purpose for Investors</w:t>
            </w:r>
          </w:p>
        </w:tc>
      </w:tr>
      <w:tr>
        <w:tc>
          <w:tcPr>
            <w:tcW w:type="dxa" w:w="2448"/>
            <w:tcMar>
              <w:top w:w="100" w:type="dxa"/>
              <w:start w:w="100" w:type="dxa"/>
              <w:bottom w:w="100" w:type="dxa"/>
              <w:end w:w="100" w:type="dxa"/>
            </w:tcMar>
          </w:tcPr>
          <w:p>
            <w:r>
              <w:t>Revenue recognition</w:t>
            </w:r>
          </w:p>
        </w:tc>
        <w:tc>
          <w:tcPr>
            <w:tcW w:type="dxa" w:w="2448"/>
            <w:tcMar>
              <w:top w:w="100" w:type="dxa"/>
              <w:start w:w="100" w:type="dxa"/>
              <w:bottom w:w="100" w:type="dxa"/>
              <w:end w:w="100" w:type="dxa"/>
            </w:tcMar>
          </w:tcPr>
          <w:p>
            <w:r>
              <w:t>Restated project revenue bridges and contract liability roll-forwards</w:t>
            </w:r>
          </w:p>
        </w:tc>
        <w:tc>
          <w:tcPr>
            <w:tcW w:type="dxa" w:w="2448"/>
            <w:tcMar>
              <w:top w:w="100" w:type="dxa"/>
              <w:start w:w="100" w:type="dxa"/>
              <w:bottom w:w="100" w:type="dxa"/>
              <w:end w:w="100" w:type="dxa"/>
            </w:tcMar>
          </w:tcPr>
          <w:p>
            <w:r>
              <w:t>As-reported vs normalized revenue and gross profit</w:t>
            </w:r>
          </w:p>
        </w:tc>
        <w:tc>
          <w:tcPr>
            <w:tcW w:type="dxa" w:w="2448"/>
            <w:tcMar>
              <w:top w:w="100" w:type="dxa"/>
              <w:start w:w="100" w:type="dxa"/>
              <w:bottom w:w="100" w:type="dxa"/>
              <w:end w:w="100" w:type="dxa"/>
            </w:tcMar>
          </w:tcPr>
          <w:p>
            <w:r>
              <w:t>Assess earnings quality and sales conversion</w:t>
            </w:r>
          </w:p>
        </w:tc>
      </w:tr>
      <w:tr>
        <w:tc>
          <w:tcPr>
            <w:tcW w:type="dxa" w:w="2448"/>
            <w:tcMar>
              <w:top w:w="100" w:type="dxa"/>
              <w:start w:w="100" w:type="dxa"/>
              <w:bottom w:w="100" w:type="dxa"/>
              <w:end w:w="100" w:type="dxa"/>
            </w:tcMar>
          </w:tcPr>
          <w:p>
            <w:r>
              <w:t>Inventory/cost capitalization</w:t>
            </w:r>
          </w:p>
        </w:tc>
        <w:tc>
          <w:tcPr>
            <w:tcW w:type="dxa" w:w="2448"/>
            <w:tcMar>
              <w:top w:w="100" w:type="dxa"/>
              <w:start w:w="100" w:type="dxa"/>
              <w:bottom w:w="100" w:type="dxa"/>
              <w:end w:w="100" w:type="dxa"/>
            </w:tcMar>
          </w:tcPr>
          <w:p>
            <w:r>
              <w:t>Project cost recast schedules by phase and cost category</w:t>
            </w:r>
          </w:p>
        </w:tc>
        <w:tc>
          <w:tcPr>
            <w:tcW w:type="dxa" w:w="2448"/>
            <w:tcMar>
              <w:top w:w="100" w:type="dxa"/>
              <w:start w:w="100" w:type="dxa"/>
              <w:bottom w:w="100" w:type="dxa"/>
              <w:end w:w="100" w:type="dxa"/>
            </w:tcMar>
          </w:tcPr>
          <w:p>
            <w:r>
              <w:t>Revised carrying value and cost of sales profile</w:t>
            </w:r>
          </w:p>
        </w:tc>
        <w:tc>
          <w:tcPr>
            <w:tcW w:type="dxa" w:w="2448"/>
            <w:tcMar>
              <w:top w:w="100" w:type="dxa"/>
              <w:start w:w="100" w:type="dxa"/>
              <w:bottom w:w="100" w:type="dxa"/>
              <w:end w:w="100" w:type="dxa"/>
            </w:tcMar>
          </w:tcPr>
          <w:p>
            <w:r>
              <w:t>Improve margin comparability</w:t>
            </w:r>
          </w:p>
        </w:tc>
      </w:tr>
      <w:tr>
        <w:tc>
          <w:tcPr>
            <w:tcW w:type="dxa" w:w="2448"/>
            <w:tcMar>
              <w:top w:w="100" w:type="dxa"/>
              <w:start w:w="100" w:type="dxa"/>
              <w:bottom w:w="100" w:type="dxa"/>
              <w:end w:w="100" w:type="dxa"/>
            </w:tcMar>
          </w:tcPr>
          <w:p>
            <w:r>
              <w:t>Borrowing costs</w:t>
            </w:r>
          </w:p>
        </w:tc>
        <w:tc>
          <w:tcPr>
            <w:tcW w:type="dxa" w:w="2448"/>
            <w:tcMar>
              <w:top w:w="100" w:type="dxa"/>
              <w:start w:w="100" w:type="dxa"/>
              <w:bottom w:w="100" w:type="dxa"/>
              <w:end w:w="100" w:type="dxa"/>
            </w:tcMar>
          </w:tcPr>
          <w:p>
            <w:r>
              <w:t>Capitalized vs expensed finance cost matrices</w:t>
            </w:r>
          </w:p>
        </w:tc>
        <w:tc>
          <w:tcPr>
            <w:tcW w:type="dxa" w:w="2448"/>
            <w:tcMar>
              <w:top w:w="100" w:type="dxa"/>
              <w:start w:w="100" w:type="dxa"/>
              <w:bottom w:w="100" w:type="dxa"/>
              <w:end w:w="100" w:type="dxa"/>
            </w:tcMar>
          </w:tcPr>
          <w:p>
            <w:r>
              <w:t>Project financing attribution schedules</w:t>
            </w:r>
          </w:p>
        </w:tc>
        <w:tc>
          <w:tcPr>
            <w:tcW w:type="dxa" w:w="2448"/>
            <w:tcMar>
              <w:top w:w="100" w:type="dxa"/>
              <w:start w:w="100" w:type="dxa"/>
              <w:bottom w:w="100" w:type="dxa"/>
              <w:end w:w="100" w:type="dxa"/>
            </w:tcMar>
          </w:tcPr>
          <w:p>
            <w:r>
              <w:t>Evaluate true project economics and leverage</w:t>
            </w:r>
          </w:p>
        </w:tc>
      </w:tr>
      <w:tr>
        <w:tc>
          <w:tcPr>
            <w:tcW w:type="dxa" w:w="2448"/>
            <w:tcMar>
              <w:top w:w="100" w:type="dxa"/>
              <w:start w:w="100" w:type="dxa"/>
              <w:bottom w:w="100" w:type="dxa"/>
              <w:end w:w="100" w:type="dxa"/>
            </w:tcMar>
          </w:tcPr>
          <w:p>
            <w:r>
              <w:t>Classification changes</w:t>
            </w:r>
          </w:p>
        </w:tc>
        <w:tc>
          <w:tcPr>
            <w:tcW w:type="dxa" w:w="2448"/>
            <w:tcMar>
              <w:top w:w="100" w:type="dxa"/>
              <w:start w:w="100" w:type="dxa"/>
              <w:bottom w:w="100" w:type="dxa"/>
              <w:end w:w="100" w:type="dxa"/>
            </w:tcMar>
          </w:tcPr>
          <w:p>
            <w:r>
              <w:t>Balance sheet reclass and mapping tables</w:t>
            </w:r>
          </w:p>
        </w:tc>
        <w:tc>
          <w:tcPr>
            <w:tcW w:type="dxa" w:w="2448"/>
            <w:tcMar>
              <w:top w:w="100" w:type="dxa"/>
              <w:start w:w="100" w:type="dxa"/>
              <w:bottom w:w="100" w:type="dxa"/>
              <w:end w:w="100" w:type="dxa"/>
            </w:tcMar>
          </w:tcPr>
          <w:p>
            <w:r>
              <w:t>Land bank vs active inventory vs operational assets</w:t>
            </w:r>
          </w:p>
        </w:tc>
        <w:tc>
          <w:tcPr>
            <w:tcW w:type="dxa" w:w="2448"/>
            <w:tcMar>
              <w:top w:w="100" w:type="dxa"/>
              <w:start w:w="100" w:type="dxa"/>
              <w:bottom w:w="100" w:type="dxa"/>
              <w:end w:w="100" w:type="dxa"/>
            </w:tcMar>
          </w:tcPr>
          <w:p>
            <w:r>
              <w:t>Support NAV and liquidity analysis</w:t>
            </w:r>
          </w:p>
        </w:tc>
      </w:tr>
    </w:tbl>
    <w:p>
      <w:pPr>
        <w:pStyle w:val="Heading1"/>
      </w:pPr>
      <w:r>
        <w:t>8. Internal Controls and Approval Process</w:t>
      </w:r>
    </w:p>
    <w:p>
      <w:pPr/>
      <w:r>
        <w:t>The company’s governance process for accounting method changes has been formalized in response to increased institutional scrutiny. Proposed changes are first evaluated by the controllership and financial reporting team, which prepares a technical accounting memorandum identifying the triggering facts, relevant accounting standards, analysis of alternatives, and recommended treatment. The memorandum also distinguishes whether the matter is a policy change, estimate revision, classification refinement, or error correction.</w:t>
      </w:r>
    </w:p>
    <w:p>
      <w:pPr/>
      <w:r>
        <w:t>Where a proposed change affects a material revenue stream, project cost methodology, or financing presentation, the memorandum is reviewed by the Chief Financial Officer, the Head of FP&amp;A, and operational leaders responsible for development, legal documentation, and treasury. This multidisciplinary review is especially important for real estate developers because contract structures, escrow mechanics, and project approval milestones often determine accounting outcomes.</w:t>
      </w:r>
    </w:p>
    <w:p>
      <w:pPr/>
      <w:r>
        <w:t>Matters judged to be material from a financial statement or covenant perspective are then shared with external auditors and, where appropriate, with the board or audit committee. The approval record includes the technical position paper, quantified financial statement effect, implementation plan, disclosure implications, and comparative reporting approach. This documentation is designed to support both auditability and transaction diligence readiness.</w:t>
      </w:r>
    </w:p>
    <w:p>
      <w:pPr>
        <w:pStyle w:val="Heading1"/>
      </w:pPr>
      <w:r>
        <w:t>9. Auditor Review and Validation</w:t>
      </w:r>
    </w:p>
    <w:p>
      <w:pPr/>
      <w:r>
        <w:t>External auditors review the company’s accounting method changes through a combination of technical consultation, control walkthroughs, substantive testing, and disclosure review. For revenue-related matters, auditors typically examine representative contracts, legal opinions where relevant, handover files, customer communication patterns, escrow terms, and management’s transfer-of-control conclusions. For cost capitalization and borrowing costs, auditors review project budgets, expenditure support, allocation methodologies, financing agreements, capitalization calculations, and suspension/cessation judgments.</w:t>
      </w:r>
    </w:p>
    <w:p>
      <w:pPr/>
      <w:r>
        <w:t>Auditor validation does not mean that no judgment remains; rather, it indicates that management’s chosen policy is supportable within the applicable framework and has been applied consistently. In a private equity diligence setting, auditor involvement is relevant because it provides third-party evidence that method changes were not implemented merely to manage reported earnings, but to improve the reliability and relevance of financial reporting.</w:t>
      </w:r>
    </w:p>
    <w:p>
      <w:pPr/>
      <w:r>
        <w:t>The company also maintains a process for auditor challenge logs and close-out points. Significant issues raised during the annual audit are documented, assigned owners, and tracked to resolution. This process helps ensure that method changes are embedded in future reporting cycles and not treated as one-time year-end adjustments.</w:t>
      </w:r>
    </w:p>
    <w:p>
      <w:pPr>
        <w:pStyle w:val="Heading1"/>
      </w:pPr>
      <w:r>
        <w:t>10. Potential Risks and Considerations</w:t>
      </w:r>
    </w:p>
    <w:p>
      <w:pPr/>
      <w:r>
        <w:t>Notwithstanding the improvements described in this memorandum, changes in accounting methods can introduce transitional risk. Investors may misinterpret reduced near-term revenue under a stricter recognition policy as a deterioration in demand, when in fact the change may simply defer recognition to a later point in the project cycle. Similarly, revised cost capitalization policies can compress or expand gross margins in specific periods without changing underlying project cash economics.</w:t>
      </w:r>
    </w:p>
    <w:p>
      <w:pPr/>
      <w:r>
        <w:t>There is also a risk that partial retrospective application, or the coexistence of statutory and management reporting bridge schedules, may create confusion if not clearly explained. For leveraged developers, changes that affect EBITDA, inventory values, or finance cost presentation may influence leverage ratios, interest coverage, and covenant calculations. As a result, management should ensure that lender communications clearly distinguish economic performance from accounting presentation effects.</w:t>
      </w:r>
    </w:p>
    <w:p>
      <w:pPr/>
      <w:r>
        <w:t>From a regulatory perspective, the greatest accounting policy risks remain premature revenue recognition, unsupported capitalization of costs, inappropriate suspension or continuation of borrowing cost capitalization, and insufficient documentation of principal-versus-agent conclusions in partnership arrangements. Each of these areas requires ongoing discipline in close procedures, contract review, and technical accounting oversight.</w:t>
      </w:r>
    </w:p>
    <w:p>
      <w:pPr/>
      <w:r>
        <w:t>Finally, investor perception must be managed proactively. Accounting method changes are often scrutinized as potential indicators of aggressive prior reporting, even where the actual driver is improved sophistication, portfolio complexity, or clarified standards application. A well-documented transition framework and transparent bridge analysis are therefore essential.</w:t>
      </w:r>
    </w:p>
    <w:p>
      <w:pPr>
        <w:pStyle w:val="Heading1"/>
      </w:pPr>
      <w:r>
        <w:t>11. Conclusion</w:t>
      </w:r>
    </w:p>
    <w:p>
      <w:pPr/>
      <w:r>
        <w:t>The accounting method changes implemented by Aurelia Developments LLC over the past three fiscal years reflect the natural evolution of a growing real estate developer operating in a more complex financing, partnership, and reporting environment. In aggregate, the changes strengthen alignment with IFRS, improve the quality of project-level margin analysis, and enhance transparency around the timing and composition of reported earnings.</w:t>
      </w:r>
    </w:p>
    <w:p>
      <w:pPr/>
      <w:r>
        <w:t>For auditors, lenders, and private equity investors, the key takeaway is that the company has moved toward a more disciplined, evidence-based accounting framework. Revenue recognition is more tightly linked to demonstrable transfer of control and enforceable rights; development inventory balances better reflect attributable project economics; borrowing costs are capitalized using a more robust methodology; land classification provides clearer visibility into monetization timelines; and partnership accounting better distinguishes recurring service revenue from investment-like returns.</w:t>
      </w:r>
    </w:p>
    <w:p>
      <w:pPr/>
      <w:r>
        <w:t>The company should continue to maintain comprehensive technical memoranda, retrospective or normalized bridge schedules, and clear disclosures in order to preserve period-to-period comparability and support stakeholder confidence. Subject to that ongoing discipline, the changes described in this memorandum are expected to improve the reliability, relevance, and decision-usefulness of the company’s financial reporting.</w:t>
      </w:r>
    </w:p>
    <w:p>
      <w:pPr>
        <w:pStyle w:val="Heading1"/>
      </w:pPr>
      <w:r>
        <w:t>Appendix A. Illustrative Change Log</w:t>
      </w:r>
    </w:p>
    <w:p>
      <w:pPr>
        <w:pStyle w:val="BodyTight"/>
      </w:pPr>
      <w:r>
        <w:t>The following appendix is included as a diligence-friendly summary log and is not a substitute for the detailed sections above.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632"/>
            <w:shd w:fill="D9E2F3"/>
            <w:tcMar>
              <w:top w:w="100" w:type="dxa"/>
              <w:start w:w="100" w:type="dxa"/>
              <w:bottom w:w="100" w:type="dxa"/>
              <w:end w:w="100" w:type="dxa"/>
            </w:tcMar>
          </w:tcPr>
          <w:p>
            <w:r>
              <w:rPr>
                <w:b/>
                <w:color w:val="123456"/>
              </w:rPr>
              <w:t>Ref.</w:t>
            </w:r>
          </w:p>
        </w:tc>
        <w:tc>
          <w:tcPr>
            <w:tcW w:type="dxa" w:w="1632"/>
            <w:shd w:fill="D9E2F3"/>
            <w:tcMar>
              <w:top w:w="100" w:type="dxa"/>
              <w:start w:w="100" w:type="dxa"/>
              <w:bottom w:w="100" w:type="dxa"/>
              <w:end w:w="100" w:type="dxa"/>
            </w:tcMar>
          </w:tcPr>
          <w:p>
            <w:r>
              <w:rPr>
                <w:b/>
                <w:color w:val="123456"/>
              </w:rPr>
              <w:t>Policy Area</w:t>
            </w:r>
          </w:p>
        </w:tc>
        <w:tc>
          <w:tcPr>
            <w:tcW w:type="dxa" w:w="1632"/>
            <w:shd w:fill="D9E2F3"/>
            <w:tcMar>
              <w:top w:w="100" w:type="dxa"/>
              <w:start w:w="100" w:type="dxa"/>
              <w:bottom w:w="100" w:type="dxa"/>
              <w:end w:w="100" w:type="dxa"/>
            </w:tcMar>
          </w:tcPr>
          <w:p>
            <w:r>
              <w:rPr>
                <w:b/>
                <w:color w:val="123456"/>
              </w:rPr>
              <w:t>Change Type</w:t>
            </w:r>
          </w:p>
        </w:tc>
        <w:tc>
          <w:tcPr>
            <w:tcW w:type="dxa" w:w="1632"/>
            <w:shd w:fill="D9E2F3"/>
            <w:tcMar>
              <w:top w:w="100" w:type="dxa"/>
              <w:start w:w="100" w:type="dxa"/>
              <w:bottom w:w="100" w:type="dxa"/>
              <w:end w:w="100" w:type="dxa"/>
            </w:tcMar>
          </w:tcPr>
          <w:p>
            <w:r>
              <w:rPr>
                <w:b/>
                <w:color w:val="123456"/>
              </w:rPr>
              <w:t>Effective Year</w:t>
            </w:r>
          </w:p>
        </w:tc>
        <w:tc>
          <w:tcPr>
            <w:tcW w:type="dxa" w:w="1632"/>
            <w:shd w:fill="D9E2F3"/>
            <w:tcMar>
              <w:top w:w="100" w:type="dxa"/>
              <w:start w:w="100" w:type="dxa"/>
              <w:bottom w:w="100" w:type="dxa"/>
              <w:end w:w="100" w:type="dxa"/>
            </w:tcMar>
          </w:tcPr>
          <w:p>
            <w:r>
              <w:rPr>
                <w:b/>
                <w:color w:val="123456"/>
              </w:rPr>
              <w:t>Retrospective / Prospective</w:t>
            </w:r>
          </w:p>
        </w:tc>
        <w:tc>
          <w:tcPr>
            <w:tcW w:type="dxa" w:w="1632"/>
            <w:shd w:fill="D9E2F3"/>
            <w:tcMar>
              <w:top w:w="100" w:type="dxa"/>
              <w:start w:w="100" w:type="dxa"/>
              <w:bottom w:w="100" w:type="dxa"/>
              <w:end w:w="100" w:type="dxa"/>
            </w:tcMar>
          </w:tcPr>
          <w:p>
            <w:r>
              <w:rPr>
                <w:b/>
                <w:color w:val="123456"/>
              </w:rPr>
              <w:t>Primary Financial Statement Impact</w:t>
            </w:r>
          </w:p>
        </w:tc>
      </w:tr>
      <w:tr>
        <w:tc>
          <w:tcPr>
            <w:tcW w:type="dxa" w:w="1632"/>
            <w:tcMar>
              <w:top w:w="100" w:type="dxa"/>
              <w:start w:w="100" w:type="dxa"/>
              <w:bottom w:w="100" w:type="dxa"/>
              <w:end w:w="100" w:type="dxa"/>
            </w:tcMar>
          </w:tcPr>
          <w:p>
            <w:r>
              <w:t>A</w:t>
            </w:r>
          </w:p>
        </w:tc>
        <w:tc>
          <w:tcPr>
            <w:tcW w:type="dxa" w:w="1632"/>
            <w:tcMar>
              <w:top w:w="100" w:type="dxa"/>
              <w:start w:w="100" w:type="dxa"/>
              <w:bottom w:w="100" w:type="dxa"/>
              <w:end w:w="100" w:type="dxa"/>
            </w:tcMar>
          </w:tcPr>
          <w:p>
            <w:r>
              <w:t>Off-plan sales revenue</w:t>
            </w:r>
          </w:p>
        </w:tc>
        <w:tc>
          <w:tcPr>
            <w:tcW w:type="dxa" w:w="1632"/>
            <w:tcMar>
              <w:top w:w="100" w:type="dxa"/>
              <w:start w:w="100" w:type="dxa"/>
              <w:bottom w:w="100" w:type="dxa"/>
              <w:end w:w="100" w:type="dxa"/>
            </w:tcMar>
          </w:tcPr>
          <w:p>
            <w:r>
              <w:t>Accounting policy interpretation refinement</w:t>
            </w:r>
          </w:p>
        </w:tc>
        <w:tc>
          <w:tcPr>
            <w:tcW w:type="dxa" w:w="1632"/>
            <w:tcMar>
              <w:top w:w="100" w:type="dxa"/>
              <w:start w:w="100" w:type="dxa"/>
              <w:bottom w:w="100" w:type="dxa"/>
              <w:end w:w="100" w:type="dxa"/>
            </w:tcMar>
          </w:tcPr>
          <w:p>
            <w:r>
              <w:t>FY2022</w:t>
            </w:r>
          </w:p>
        </w:tc>
        <w:tc>
          <w:tcPr>
            <w:tcW w:type="dxa" w:w="1632"/>
            <w:tcMar>
              <w:top w:w="100" w:type="dxa"/>
              <w:start w:w="100" w:type="dxa"/>
              <w:bottom w:w="100" w:type="dxa"/>
              <w:end w:w="100" w:type="dxa"/>
            </w:tcMar>
          </w:tcPr>
          <w:p>
            <w:r>
              <w:t>Primarily retrospective where practicable; otherwise bridged</w:t>
            </w:r>
          </w:p>
        </w:tc>
        <w:tc>
          <w:tcPr>
            <w:tcW w:type="dxa" w:w="1632"/>
            <w:tcMar>
              <w:top w:w="100" w:type="dxa"/>
              <w:start w:w="100" w:type="dxa"/>
              <w:bottom w:w="100" w:type="dxa"/>
              <w:end w:w="100" w:type="dxa"/>
            </w:tcMar>
          </w:tcPr>
          <w:p>
            <w:r>
              <w:t>Revenue timing, gross profit, contract liabilities</w:t>
            </w:r>
          </w:p>
        </w:tc>
      </w:tr>
      <w:tr>
        <w:tc>
          <w:tcPr>
            <w:tcW w:type="dxa" w:w="1632"/>
            <w:tcMar>
              <w:top w:w="100" w:type="dxa"/>
              <w:start w:w="100" w:type="dxa"/>
              <w:bottom w:w="100" w:type="dxa"/>
              <w:end w:w="100" w:type="dxa"/>
            </w:tcMar>
          </w:tcPr>
          <w:p>
            <w:r>
              <w:t>B</w:t>
            </w:r>
          </w:p>
        </w:tc>
        <w:tc>
          <w:tcPr>
            <w:tcW w:type="dxa" w:w="1632"/>
            <w:tcMar>
              <w:top w:w="100" w:type="dxa"/>
              <w:start w:w="100" w:type="dxa"/>
              <w:bottom w:w="100" w:type="dxa"/>
              <w:end w:w="100" w:type="dxa"/>
            </w:tcMar>
          </w:tcPr>
          <w:p>
            <w:r>
              <w:t>Development cost allocation</w:t>
            </w:r>
          </w:p>
        </w:tc>
        <w:tc>
          <w:tcPr>
            <w:tcW w:type="dxa" w:w="1632"/>
            <w:tcMar>
              <w:top w:w="100" w:type="dxa"/>
              <w:start w:w="100" w:type="dxa"/>
              <w:bottom w:w="100" w:type="dxa"/>
              <w:end w:w="100" w:type="dxa"/>
            </w:tcMar>
          </w:tcPr>
          <w:p>
            <w:r>
              <w:t>Methodology standardization</w:t>
            </w:r>
          </w:p>
        </w:tc>
        <w:tc>
          <w:tcPr>
            <w:tcW w:type="dxa" w:w="1632"/>
            <w:tcMar>
              <w:top w:w="100" w:type="dxa"/>
              <w:start w:w="100" w:type="dxa"/>
              <w:bottom w:w="100" w:type="dxa"/>
              <w:end w:w="100" w:type="dxa"/>
            </w:tcMar>
          </w:tcPr>
          <w:p>
            <w:r>
              <w:t>FY2023</w:t>
            </w:r>
          </w:p>
        </w:tc>
        <w:tc>
          <w:tcPr>
            <w:tcW w:type="dxa" w:w="1632"/>
            <w:tcMar>
              <w:top w:w="100" w:type="dxa"/>
              <w:start w:w="100" w:type="dxa"/>
              <w:bottom w:w="100" w:type="dxa"/>
              <w:end w:w="100" w:type="dxa"/>
            </w:tcMar>
          </w:tcPr>
          <w:p>
            <w:r>
              <w:t>Prospective with comparative recast in management reporting</w:t>
            </w:r>
          </w:p>
        </w:tc>
        <w:tc>
          <w:tcPr>
            <w:tcW w:type="dxa" w:w="1632"/>
            <w:tcMar>
              <w:top w:w="100" w:type="dxa"/>
              <w:start w:w="100" w:type="dxa"/>
              <w:bottom w:w="100" w:type="dxa"/>
              <w:end w:w="100" w:type="dxa"/>
            </w:tcMar>
          </w:tcPr>
          <w:p>
            <w:r>
              <w:t>Inventory, cost of sales, project margins</w:t>
            </w:r>
          </w:p>
        </w:tc>
      </w:tr>
      <w:tr>
        <w:tc>
          <w:tcPr>
            <w:tcW w:type="dxa" w:w="1632"/>
            <w:tcMar>
              <w:top w:w="100" w:type="dxa"/>
              <w:start w:w="100" w:type="dxa"/>
              <w:bottom w:w="100" w:type="dxa"/>
              <w:end w:w="100" w:type="dxa"/>
            </w:tcMar>
          </w:tcPr>
          <w:p>
            <w:r>
              <w:t>C</w:t>
            </w:r>
          </w:p>
        </w:tc>
        <w:tc>
          <w:tcPr>
            <w:tcW w:type="dxa" w:w="1632"/>
            <w:tcMar>
              <w:top w:w="100" w:type="dxa"/>
              <w:start w:w="100" w:type="dxa"/>
              <w:bottom w:w="100" w:type="dxa"/>
              <w:end w:w="100" w:type="dxa"/>
            </w:tcMar>
          </w:tcPr>
          <w:p>
            <w:r>
              <w:t>Borrowing cost capitalization</w:t>
            </w:r>
          </w:p>
        </w:tc>
        <w:tc>
          <w:tcPr>
            <w:tcW w:type="dxa" w:w="1632"/>
            <w:tcMar>
              <w:top w:w="100" w:type="dxa"/>
              <w:start w:w="100" w:type="dxa"/>
              <w:bottom w:w="100" w:type="dxa"/>
              <w:end w:w="100" w:type="dxa"/>
            </w:tcMar>
          </w:tcPr>
          <w:p>
            <w:r>
              <w:t>Policy/methodology refinement</w:t>
            </w:r>
          </w:p>
        </w:tc>
        <w:tc>
          <w:tcPr>
            <w:tcW w:type="dxa" w:w="1632"/>
            <w:tcMar>
              <w:top w:w="100" w:type="dxa"/>
              <w:start w:w="100" w:type="dxa"/>
              <w:bottom w:w="100" w:type="dxa"/>
              <w:end w:w="100" w:type="dxa"/>
            </w:tcMar>
          </w:tcPr>
          <w:p>
            <w:r>
              <w:t>FY2023</w:t>
            </w:r>
          </w:p>
        </w:tc>
        <w:tc>
          <w:tcPr>
            <w:tcW w:type="dxa" w:w="1632"/>
            <w:tcMar>
              <w:top w:w="100" w:type="dxa"/>
              <w:start w:w="100" w:type="dxa"/>
              <w:bottom w:w="100" w:type="dxa"/>
              <w:end w:w="100" w:type="dxa"/>
            </w:tcMar>
          </w:tcPr>
          <w:p>
            <w:r>
              <w:t>Prospective with comparative analytical disclosure</w:t>
            </w:r>
          </w:p>
        </w:tc>
        <w:tc>
          <w:tcPr>
            <w:tcW w:type="dxa" w:w="1632"/>
            <w:tcMar>
              <w:top w:w="100" w:type="dxa"/>
              <w:start w:w="100" w:type="dxa"/>
              <w:bottom w:w="100" w:type="dxa"/>
              <w:end w:w="100" w:type="dxa"/>
            </w:tcMar>
          </w:tcPr>
          <w:p>
            <w:r>
              <w:t>Inventory and finance costs</w:t>
            </w:r>
          </w:p>
        </w:tc>
      </w:tr>
      <w:tr>
        <w:tc>
          <w:tcPr>
            <w:tcW w:type="dxa" w:w="1632"/>
            <w:tcMar>
              <w:top w:w="100" w:type="dxa"/>
              <w:start w:w="100" w:type="dxa"/>
              <w:bottom w:w="100" w:type="dxa"/>
              <w:end w:w="100" w:type="dxa"/>
            </w:tcMar>
          </w:tcPr>
          <w:p>
            <w:r>
              <w:t>D</w:t>
            </w:r>
          </w:p>
        </w:tc>
        <w:tc>
          <w:tcPr>
            <w:tcW w:type="dxa" w:w="1632"/>
            <w:tcMar>
              <w:top w:w="100" w:type="dxa"/>
              <w:start w:w="100" w:type="dxa"/>
              <w:bottom w:w="100" w:type="dxa"/>
              <w:end w:w="100" w:type="dxa"/>
            </w:tcMar>
          </w:tcPr>
          <w:p>
            <w:r>
              <w:t>Land classification</w:t>
            </w:r>
          </w:p>
        </w:tc>
        <w:tc>
          <w:tcPr>
            <w:tcW w:type="dxa" w:w="1632"/>
            <w:tcMar>
              <w:top w:w="100" w:type="dxa"/>
              <w:start w:w="100" w:type="dxa"/>
              <w:bottom w:w="100" w:type="dxa"/>
              <w:end w:w="100" w:type="dxa"/>
            </w:tcMar>
          </w:tcPr>
          <w:p>
            <w:r>
              <w:t>Presentation/classification refinement</w:t>
            </w:r>
          </w:p>
        </w:tc>
        <w:tc>
          <w:tcPr>
            <w:tcW w:type="dxa" w:w="1632"/>
            <w:tcMar>
              <w:top w:w="100" w:type="dxa"/>
              <w:start w:w="100" w:type="dxa"/>
              <w:bottom w:w="100" w:type="dxa"/>
              <w:end w:w="100" w:type="dxa"/>
            </w:tcMar>
          </w:tcPr>
          <w:p>
            <w:r>
              <w:t>FY2024</w:t>
            </w:r>
          </w:p>
        </w:tc>
        <w:tc>
          <w:tcPr>
            <w:tcW w:type="dxa" w:w="1632"/>
            <w:tcMar>
              <w:top w:w="100" w:type="dxa"/>
              <w:start w:w="100" w:type="dxa"/>
              <w:bottom w:w="100" w:type="dxa"/>
              <w:end w:w="100" w:type="dxa"/>
            </w:tcMar>
          </w:tcPr>
          <w:p>
            <w:r>
              <w:t>Reclassification of comparative balances where practicable</w:t>
            </w:r>
          </w:p>
        </w:tc>
        <w:tc>
          <w:tcPr>
            <w:tcW w:type="dxa" w:w="1632"/>
            <w:tcMar>
              <w:top w:w="100" w:type="dxa"/>
              <w:start w:w="100" w:type="dxa"/>
              <w:bottom w:w="100" w:type="dxa"/>
              <w:end w:w="100" w:type="dxa"/>
            </w:tcMar>
          </w:tcPr>
          <w:p>
            <w:r>
              <w:t>Inventory composition and working capital analytics</w:t>
            </w:r>
          </w:p>
        </w:tc>
      </w:tr>
      <w:tr>
        <w:tc>
          <w:tcPr>
            <w:tcW w:type="dxa" w:w="1632"/>
            <w:tcMar>
              <w:top w:w="100" w:type="dxa"/>
              <w:start w:w="100" w:type="dxa"/>
              <w:bottom w:w="100" w:type="dxa"/>
              <w:end w:w="100" w:type="dxa"/>
            </w:tcMar>
          </w:tcPr>
          <w:p>
            <w:r>
              <w:t>E</w:t>
            </w:r>
          </w:p>
        </w:tc>
        <w:tc>
          <w:tcPr>
            <w:tcW w:type="dxa" w:w="1632"/>
            <w:tcMar>
              <w:top w:w="100" w:type="dxa"/>
              <w:start w:w="100" w:type="dxa"/>
              <w:bottom w:w="100" w:type="dxa"/>
              <w:end w:w="100" w:type="dxa"/>
            </w:tcMar>
          </w:tcPr>
          <w:p>
            <w:r>
              <w:t>JV and partnership accounting</w:t>
            </w:r>
          </w:p>
        </w:tc>
        <w:tc>
          <w:tcPr>
            <w:tcW w:type="dxa" w:w="1632"/>
            <w:tcMar>
              <w:top w:w="100" w:type="dxa"/>
              <w:start w:w="100" w:type="dxa"/>
              <w:bottom w:w="100" w:type="dxa"/>
              <w:end w:w="100" w:type="dxa"/>
            </w:tcMar>
          </w:tcPr>
          <w:p>
            <w:r>
              <w:t>Policy clarification and presentation refinement</w:t>
            </w:r>
          </w:p>
        </w:tc>
        <w:tc>
          <w:tcPr>
            <w:tcW w:type="dxa" w:w="1632"/>
            <w:tcMar>
              <w:top w:w="100" w:type="dxa"/>
              <w:start w:w="100" w:type="dxa"/>
              <w:bottom w:w="100" w:type="dxa"/>
              <w:end w:w="100" w:type="dxa"/>
            </w:tcMar>
          </w:tcPr>
          <w:p>
            <w:r>
              <w:t>FY2024</w:t>
            </w:r>
          </w:p>
        </w:tc>
        <w:tc>
          <w:tcPr>
            <w:tcW w:type="dxa" w:w="1632"/>
            <w:tcMar>
              <w:top w:w="100" w:type="dxa"/>
              <w:start w:w="100" w:type="dxa"/>
              <w:bottom w:w="100" w:type="dxa"/>
              <w:end w:w="100" w:type="dxa"/>
            </w:tcMar>
          </w:tcPr>
          <w:p>
            <w:r>
              <w:t>Arrangement-specific based on facts and contracts</w:t>
            </w:r>
          </w:p>
        </w:tc>
        <w:tc>
          <w:tcPr>
            <w:tcW w:type="dxa" w:w="1632"/>
            <w:tcMar>
              <w:top w:w="100" w:type="dxa"/>
              <w:start w:w="100" w:type="dxa"/>
              <w:bottom w:w="100" w:type="dxa"/>
              <w:end w:w="100" w:type="dxa"/>
            </w:tcMar>
          </w:tcPr>
          <w:p>
            <w:r>
              <w:t>Revenue presentation, EBITDA, equity-accounted results</w:t>
            </w:r>
          </w:p>
        </w:tc>
      </w:tr>
    </w:tbl>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Aurelia Developments LLC | Accounting Policy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4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40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56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4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60" w:line="259" w:lineRule="auto"/>
    </w:pPr>
    <w:rPr>
      <w:rFonts w:ascii="Aptos" w:hAnsi="Aptos"/>
      <w:sz w:val="20"/>
    </w:rPr>
  </w:style>
  <w:style w:type="paragraph" w:customStyle="1" w:styleId="SmallNote">
    <w:name w:val="Small Note"/>
    <w:basedOn w:val="Normal"/>
    <w:pPr>
      <w:spacing w:after="80"/>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