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ureliaTitle"/>
        <w:jc w:val="center"/>
      </w:pPr>
      <w:r>
        <w:t>Federal, State, and Local Tax Returns – Aurelia Developments LLC</w:t>
        <w:br/>
        <w:t>(Last 3 Fiscal Years)</w:t>
      </w:r>
    </w:p>
    <w:p>
      <w:pPr>
        <w:pStyle w:val="AureliaSubtitle"/>
        <w:jc w:val="center"/>
      </w:pPr>
      <w:r>
        <w:t>Prepared in the style of a Big 4 tax diligence memorandum for private equity, lender, audit, and management review.</w:t>
      </w:r>
    </w:p>
    <w:p/>
    <w:tbl>
      <w:tblPr>
        <w:tblW w:type="auto" w:w="0"/>
        <w:jc w:val="center"/>
        <w:tblLayout w:type="fixed"/>
        <w:tblLook w:firstColumn="1" w:firstRow="1" w:lastColumn="0" w:lastRow="0" w:noHBand="0" w:noVBand="1" w:val="04A0"/>
      </w:tblPr>
      <w:tblGrid>
        <w:gridCol w:w="4968"/>
        <w:gridCol w:w="4968"/>
      </w:tblGrid>
      <w:tr>
        <w:tc>
          <w:tcPr>
            <w:tcW w:type="dxa" w:w="3024"/>
            <w:tcMar>
              <w:top w:w="80" w:type="dxa"/>
              <w:start w:w="90" w:type="dxa"/>
              <w:bottom w:w="80" w:type="dxa"/>
              <w:end w:w="90" w:type="dxa"/>
            </w:tcMar>
            <w:vAlign w:val="center"/>
            <w:shd w:fill="D9E2F3"/>
          </w:tcPr>
          <w:p>
            <w:r>
              <w:rPr>
                <w:b/>
              </w:rPr>
              <w:t>Entity</w:t>
            </w:r>
          </w:p>
        </w:tc>
        <w:tc>
          <w:tcPr>
            <w:tcW w:type="dxa" w:w="5616"/>
            <w:tcMar>
              <w:top w:w="80" w:type="dxa"/>
              <w:start w:w="90" w:type="dxa"/>
              <w:bottom w:w="80" w:type="dxa"/>
              <w:end w:w="90" w:type="dxa"/>
            </w:tcMar>
            <w:vAlign w:val="center"/>
            <w:shd w:fill="F7F9FC"/>
          </w:tcPr>
          <w:p>
            <w:r>
              <w:t>Aurelia Developments LLC</w:t>
            </w:r>
          </w:p>
        </w:tc>
      </w:tr>
      <w:tr>
        <w:tc>
          <w:tcPr>
            <w:tcW w:type="dxa" w:w="3024"/>
            <w:tcMar>
              <w:top w:w="80" w:type="dxa"/>
              <w:start w:w="90" w:type="dxa"/>
              <w:bottom w:w="80" w:type="dxa"/>
              <w:end w:w="90" w:type="dxa"/>
            </w:tcMar>
            <w:vAlign w:val="center"/>
            <w:shd w:fill="D9E2F3"/>
          </w:tcPr>
          <w:p>
            <w:r>
              <w:rPr>
                <w:b/>
              </w:rPr>
              <w:t>Jurisdiction</w:t>
            </w:r>
          </w:p>
        </w:tc>
        <w:tc>
          <w:tcPr>
            <w:tcW w:type="dxa" w:w="5616"/>
            <w:tcMar>
              <w:top w:w="80" w:type="dxa"/>
              <w:start w:w="90" w:type="dxa"/>
              <w:bottom w:w="80" w:type="dxa"/>
              <w:end w:w="90" w:type="dxa"/>
            </w:tcMar>
            <w:vAlign w:val="center"/>
            <w:shd w:fill="F7F9FC"/>
          </w:tcPr>
          <w:p>
            <w:r>
              <w:t>Dubai, United Arab Emirates</w:t>
            </w:r>
          </w:p>
        </w:tc>
      </w:tr>
      <w:tr>
        <w:tc>
          <w:tcPr>
            <w:tcW w:type="dxa" w:w="3024"/>
            <w:tcMar>
              <w:top w:w="80" w:type="dxa"/>
              <w:start w:w="90" w:type="dxa"/>
              <w:bottom w:w="80" w:type="dxa"/>
              <w:end w:w="90" w:type="dxa"/>
            </w:tcMar>
            <w:vAlign w:val="center"/>
            <w:shd w:fill="D9E2F3"/>
          </w:tcPr>
          <w:p>
            <w:r>
              <w:rPr>
                <w:b/>
              </w:rPr>
              <w:t>Fiscal Years Covered</w:t>
            </w:r>
          </w:p>
        </w:tc>
        <w:tc>
          <w:tcPr>
            <w:tcW w:type="dxa" w:w="5616"/>
            <w:tcMar>
              <w:top w:w="80" w:type="dxa"/>
              <w:start w:w="90" w:type="dxa"/>
              <w:bottom w:w="80" w:type="dxa"/>
              <w:end w:w="90" w:type="dxa"/>
            </w:tcMar>
            <w:vAlign w:val="center"/>
            <w:shd w:fill="F7F9FC"/>
          </w:tcPr>
          <w:p>
            <w:r>
              <w:t>FY2021, FY2022, FY2023</w:t>
            </w:r>
          </w:p>
        </w:tc>
      </w:tr>
      <w:tr>
        <w:tc>
          <w:tcPr>
            <w:tcW w:type="dxa" w:w="3024"/>
            <w:tcMar>
              <w:top w:w="80" w:type="dxa"/>
              <w:start w:w="90" w:type="dxa"/>
              <w:bottom w:w="80" w:type="dxa"/>
              <w:end w:w="90" w:type="dxa"/>
            </w:tcMar>
            <w:vAlign w:val="center"/>
            <w:shd w:fill="D9E2F3"/>
          </w:tcPr>
          <w:p>
            <w:r>
              <w:rPr>
                <w:b/>
              </w:rPr>
              <w:t>Principal Taxes Covered</w:t>
            </w:r>
          </w:p>
        </w:tc>
        <w:tc>
          <w:tcPr>
            <w:tcW w:type="dxa" w:w="5616"/>
            <w:tcMar>
              <w:top w:w="80" w:type="dxa"/>
              <w:start w:w="90" w:type="dxa"/>
              <w:bottom w:w="80" w:type="dxa"/>
              <w:end w:w="90" w:type="dxa"/>
            </w:tcMar>
            <w:vAlign w:val="center"/>
            <w:shd w:fill="F7F9FC"/>
          </w:tcPr>
          <w:p>
            <w:r>
              <w:t>UAE Federal Corporate Tax, VAT, Dubai municipality and real-estate related fees</w:t>
            </w:r>
          </w:p>
        </w:tc>
      </w:tr>
      <w:tr>
        <w:tc>
          <w:tcPr>
            <w:tcW w:type="dxa" w:w="3024"/>
            <w:tcMar>
              <w:top w:w="80" w:type="dxa"/>
              <w:start w:w="90" w:type="dxa"/>
              <w:bottom w:w="80" w:type="dxa"/>
              <w:end w:w="90" w:type="dxa"/>
            </w:tcMar>
            <w:vAlign w:val="center"/>
            <w:shd w:fill="D9E2F3"/>
          </w:tcPr>
          <w:p>
            <w:r>
              <w:rPr>
                <w:b/>
              </w:rPr>
              <w:t>Purpose</w:t>
            </w:r>
          </w:p>
        </w:tc>
        <w:tc>
          <w:tcPr>
            <w:tcW w:type="dxa" w:w="5616"/>
            <w:tcMar>
              <w:top w:w="80" w:type="dxa"/>
              <w:start w:w="90" w:type="dxa"/>
              <w:bottom w:w="80" w:type="dxa"/>
              <w:end w:w="90" w:type="dxa"/>
            </w:tcMar>
            <w:vAlign w:val="center"/>
            <w:shd w:fill="F7F9FC"/>
          </w:tcPr>
          <w:p>
            <w:r>
              <w:t>Illustrative tax compliance documentation package for diligence review</w:t>
            </w:r>
          </w:p>
        </w:tc>
      </w:tr>
    </w:tbl>
    <w:p/>
    <w:p>
      <w:pPr>
        <w:jc w:val="center"/>
      </w:pPr>
      <w:r>
        <w:rPr>
          <w:i/>
          <w:color w:val="6E6E6E"/>
          <w:sz w:val="19"/>
        </w:rPr>
        <w:t>Important note: This package is a professionally structured illustrative memorandum and schedule set, created from the facts provided, and is not an actual filed tax return or legal advice.</w:t>
      </w:r>
    </w:p>
    <w:p>
      <w:r>
        <w:br w:type="page"/>
      </w:r>
    </w:p>
    <w:p>
      <w:pPr>
        <w:pStyle w:val="AureliaH1"/>
      </w:pPr>
      <w:r>
        <w:t>Document Overview</w:t>
      </w:r>
    </w:p>
    <w:p>
      <w:pPr>
        <w:ind w:left="288"/>
      </w:pPr>
      <w:r>
        <w:t>1. Executive Summary</w:t>
      </w:r>
    </w:p>
    <w:p>
      <w:pPr>
        <w:ind w:left="288"/>
      </w:pPr>
      <w:r>
        <w:t>2. Overview of Applicable Tax Regime</w:t>
      </w:r>
    </w:p>
    <w:p>
      <w:pPr>
        <w:ind w:left="288"/>
      </w:pPr>
      <w:r>
        <w:t>3. Corporate Income Tax Returns</w:t>
      </w:r>
    </w:p>
    <w:p>
      <w:pPr>
        <w:ind w:left="288"/>
      </w:pPr>
      <w:r>
        <w:t>4. VAT Filings</w:t>
      </w:r>
    </w:p>
    <w:p>
      <w:pPr>
        <w:ind w:left="288"/>
      </w:pPr>
      <w:r>
        <w:t>5. Real Estate Development Taxes</w:t>
      </w:r>
    </w:p>
    <w:p>
      <w:pPr>
        <w:ind w:left="288"/>
      </w:pPr>
      <w:r>
        <w:t>6. Joint Venture and SPV Tax Reporting</w:t>
      </w:r>
    </w:p>
    <w:p>
      <w:pPr>
        <w:ind w:left="288"/>
      </w:pPr>
      <w:r>
        <w:t>7. Deferred Tax Positions</w:t>
      </w:r>
    </w:p>
    <w:p>
      <w:pPr>
        <w:ind w:left="288"/>
      </w:pPr>
      <w:r>
        <w:t>8. Tax Compliance Procedures</w:t>
      </w:r>
    </w:p>
    <w:p>
      <w:pPr>
        <w:ind w:left="288"/>
      </w:pPr>
      <w:r>
        <w:t>9. Tax Risk Assessment</w:t>
      </w:r>
    </w:p>
    <w:p>
      <w:pPr>
        <w:ind w:left="288"/>
      </w:pPr>
      <w:r>
        <w:t>10. Auditor and Tax Advisor Review</w:t>
      </w:r>
    </w:p>
    <w:p>
      <w:pPr>
        <w:ind w:left="288"/>
      </w:pPr>
      <w:r>
        <w:t>Appendix A. Illustrative Three-Year Tax Position Snapshot</w:t>
      </w:r>
    </w:p>
    <w:p>
      <w:r>
        <w:br w:type="page"/>
      </w:r>
    </w:p>
    <w:p>
      <w:pPr>
        <w:pStyle w:val="AureliaH1"/>
      </w:pPr>
      <w:r>
        <w:t>1. Executive Summary</w:t>
      </w:r>
    </w:p>
    <w:p>
      <w:pPr/>
      <w:r>
        <w:t>This memorandum summarizes the tax compliance profile of Aurelia Developments LLC and its principal development structures for the last three fiscal years. The document has been drafted in the style of a transaction-services tax workpaper, with emphasis on the taxes that would typically be reviewed during private equity due diligence for a Dubai-based real estate development group. The memorandum focuses on (i) the principal taxes applicable to the group, (ii) the filing framework and compliance process, (iii) the observed tax positions and adjustments reflected in the supporting schedules, and (iv) areas of potential exposure that a buyer, lender, or auditor would ordinarily evaluate as part of earnings quality and balance sheet diligence.</w:t>
      </w:r>
    </w:p>
    <w:p>
      <w:pPr/>
      <w:r>
        <w:t>For a real estate developer operating in Dubai, tax diligence is not limited to statutory corporate income tax calculations. Investors and advisors generally examine a wider compliance perimeter that includes value added tax on property transactions and construction inputs, real-estate transfer and registration fees, municipality and infrastructure charges, and tax governance over project-level SPVs and joint ventures. This broader perspective is critical because project economics can be affected as much by tax leakage, documentation quality, and the timing of recoverability of indirect taxes as by the headline rate itself.</w:t>
      </w:r>
    </w:p>
    <w:p>
      <w:pPr/>
      <w:r>
        <w:t>Based on the illustrative facts assumed for this package, the group’s overall tax position over FY2021–FY2023 may be characterized as transitioning from a pre-corporate-tax compliance environment toward a more formalized framework suited for UAE Federal Corporate Tax implementation, while continuing to manage substantial VAT positions arising from construction spend, mixed supplies, and the timing of property sales and handovers. The group’s tax posture is therefore heavily dependent on disciplined project coding, correct characterization of supplies, maintenance of tax invoices and contracts, and robust reconciliation of statutory filings to the general ledger and management reporting packs.</w:t>
      </w:r>
    </w:p>
    <w:p>
      <w:pPr>
        <w:pStyle w:val="AureliaH1"/>
      </w:pPr>
      <w:r>
        <w:t>2. Overview of Applicable Tax Regime</w:t>
      </w:r>
    </w:p>
    <w:p>
      <w:pPr/>
      <w:r>
        <w:t>The tax regime relevant to Aurelia Developments LLC consists primarily of the UAE Federal Corporate Tax framework, the UAE VAT regime, and a range of Dubai real-estate related fees and local charges. Although the user request refers to “federal, state, and local” filings, the UAE context differs from federal systems such as the United States. There is no U.S.-style state corporate income tax framework applicable simply by reason of operating in Dubai. Instead, the relevant layers are federal taxes imposed under UAE law and local Emirate-level fees, registration charges, and municipality levies. For diligence purposes, the package therefore treats “state” as not separately applicable, while clearly documenting the local Dubai filing and payment landscape.</w:t>
      </w:r>
    </w:p>
    <w:p>
      <w:pPr/>
      <w:r>
        <w:t>UAE Federal Corporate Tax is relevant to the extent that the group falls within the charging provisions for taxable periods beginning on or after the effective implementation date. In a three-year lookback, this creates an important comparability issue: FY2021 and FY2022 may involve tax provisioning analyses, readiness workstreams, and deferred tax planning assumptions rather than fully mature current tax returns, whereas FY2023 can begin to reflect the operationalization of corporate tax calculations, registration, and return preparation. The tax base requires the starting point of accounting profit, followed by adjustments for non-deductible expenditures, exempt or excluded income, related-party or transfer pricing considerations where relevant, and other statutory adjustments.</w:t>
      </w:r>
    </w:p>
    <w:p>
      <w:pPr/>
      <w:r>
        <w:t>VAT remains a core tax workstream for the group because the business model combines land acquisition, development spend, off-plan and completed property sales, leasing, and hospitality-related arrangements. Tax treatment may differ by asset class and stage of development. Input VAT recoverability is especially significant given the scale of contractor payments, professional fees, and project infrastructure costs. The timing of output VAT recognition, issuance of tax invoices, and collection of customer installments must be reconciled carefully to contracts and project ledgers.</w:t>
      </w:r>
    </w:p>
    <w:p>
      <w:pPr/>
      <w:r>
        <w:t>Dubai-specific fees and charges include Dubai Land Department registration fees, transfer-related charges, and other municipality and infrastructure-linked payments associated with permits, service connections, project approvals, and occupancy processes. Although these items are not “income taxes” in the classic sense, they are material to project cash economics, frequently reviewed in diligence, and often included in tax or quasi-tax analyses because they arise through statutory or regulatory mechanisms.</w:t>
      </w:r>
    </w:p>
    <w:p>
      <w:pPr>
        <w:pStyle w:val="AureliaH1"/>
      </w:pPr>
      <w:r>
        <w:t>3. Corporate Income Tax Returns</w:t>
      </w:r>
    </w:p>
    <w:p>
      <w:pPr/>
      <w:r>
        <w:t>For purposes of this package, the corporate tax schedules are structured around three annual taxable income computations. The illustrative methodology begins with accounting profit before tax as reflected in management financial statements, then applies normalizing and statutory adjustments. Typical adjustments for a developer such as Aurelia include entertainment and other potentially non-deductible expenditures, fines and penalties, reclassification of capital versus revenue items, and adjustments relating to related-party financing or shareholder charges where arm’s-length support is necessary.</w:t>
      </w:r>
    </w:p>
    <w:p>
      <w:pPr/>
      <w:r>
        <w:t>The supporting workbook shows nil or limited current tax payable in the earliest year, reflecting the practical reality that a Dubai real estate developer’s historical reporting may precede full corporate tax effectiveness for some periods. However, a diligence reviewer still expects a robust bridge from accounting profit to taxable income because tax basis analytics often influence transaction structuring, deferred tax analysis, and the buyer’s opening balance sheet. For FY2023, the schedule assumes an active current tax computation with a headline rate applied to taxable income after permissible thresholds and adjustments.</w:t>
      </w:r>
    </w:p>
    <w:p>
      <w:pPr/>
      <w:r>
        <w:t>The major tax adjustments likely to arise in a real estate development context include: capitalization of certain development costs for accounting purposes that may have a different current deductibility profile for tax; non-deductible costs related to shareholder or promoter activity; adjustments associated with fair value or impairment movements where tax follows a realization basis; and differences arising from financing structures embedded in project SPVs or shareholder funding arrangements. Each material adjustment should be supported by schedules, signed contracts, invoices, board approvals, and legal documentation where applicable.</w:t>
      </w:r>
    </w:p>
    <w:p>
      <w:pPr/>
      <w:r>
        <w:t>From a diligence perspective, the principal questions are whether (i) the taxable income bridge is complete and traceable, (ii) the supporting documentation for deductions is sufficient, (iii) related-party arrangements have been considered appropriately, and (iv) tax provisions and payments agree to the ledger and cash records. The corporate tax summary in the workbook is therefore designed to help reviewers test the internal consistency of the group’s tax position rather than merely present headline numbers.</w:t>
      </w:r>
    </w:p>
    <w:p>
      <w:pPr>
        <w:pStyle w:val="AureliaH1"/>
      </w:pPr>
      <w:r>
        <w:t>4. VAT Filings</w:t>
      </w:r>
    </w:p>
    <w:p>
      <w:pPr/>
      <w:r>
        <w:t>VAT is typically one of the most operationally sensitive tax areas for a property developer. Aurelia’s VAT compliance framework must address output VAT on taxable property supplies and commercial leasing, input VAT on construction services and professional fees, recoverability analyses for mixed-use or phased developments, and the timing of VAT accounting in relation to milestone billings and handovers. Because large projects may involve substantial upfront spend before project monetization, developers often carry significant input VAT positions and, depending on the mix of taxable and exempt supplies, may experience refund claims or extended recovery cycles.</w:t>
      </w:r>
    </w:p>
    <w:p>
      <w:pPr/>
      <w:r>
        <w:t>The VAT schedules in the workbook summarize output VAT, input VAT, and net VAT payable or recoverable by year, as well as a project-level view of VAT by major development. In practice, a tax reviewer would test these schedules to the VAT return submissions, general ledger VAT control accounts, and supporting transactional data. The review would ordinarily pay particular attention to the treatment of residential versus commercial elements, hospitality or branded residence arrangements, common area allocations, and any promotional incentives that could affect the consideration base.</w:t>
      </w:r>
    </w:p>
    <w:p>
      <w:pPr/>
      <w:r>
        <w:t>VAT compliance procedures should include customer contract reviews to determine the nature of supply, validation of tax invoices, three-way matching of contractor invoices to purchase orders and receiving evidence, coding controls in the ERP, and monthly or quarterly reconciliations between statutory returns and financial records. Where the group claims VAT refunds, it should maintain a clear audit trail of the underlying invoices, proof of payment where required, project classification support, and management approval of the filing position.</w:t>
      </w:r>
    </w:p>
    <w:p>
      <w:pPr/>
      <w:r>
        <w:t>For an investor, VAT diligence matters because unrecovered input VAT, incorrect rate applications, or weak invoicing evidence can result in immediate value leakage through denied claims, penalties, and interest. In a development business with multiple SPVs and mixed project types, the quality of VAT master data and contract-by-contract documentation often determines whether the tax function can support the reported working capital position and the normalized cash conversion assumptions embedded in a valuation model.</w:t>
      </w:r>
    </w:p>
    <w:p>
      <w:pPr>
        <w:pStyle w:val="AureliaH1"/>
      </w:pPr>
      <w:r>
        <w:t>5. Real Estate Development Taxes</w:t>
      </w:r>
    </w:p>
    <w:p>
      <w:pPr/>
      <w:r>
        <w:t>In addition to corporate tax and VAT, the group incurs a variety of transaction-based and project-based statutory charges linked to land ownership and development activity. These include Dubai Land Department registration and transfer fees, development permit charges, municipality and infrastructure-related amounts, and other regulatory fees attached to project approvals and registration events. While many of these amounts are recorded as part of project cost, land cost, or transaction expense depending on the underlying facts, due diligence teams frequently analyze them within the broader tax workstream because they are non-discretionary statutory cash outflows.</w:t>
      </w:r>
    </w:p>
    <w:p>
      <w:pPr/>
      <w:r>
        <w:t>A real estate development group should maintain transaction-level schedules for land acquisitions and asset transfers showing acquisition consideration, the associated transfer or registration fee, the timing of payment, and the ledger treatment of those costs. Where fees are capitalized, the accounting basis should be consistent with the project cost policy. Where fees are expensed, management should be able to explain the policy rationale and confirm that treatment has been applied consistently across years and entities.</w:t>
      </w:r>
    </w:p>
    <w:p>
      <w:pPr/>
      <w:r>
        <w:t>The supporting workbook includes a dedicated schedule of real estate transaction taxes by project, which is intended to help reviewers evaluate whether project economics fully capture statutory acquisition and registration costs. In an acquisition setting, these schedules also support identification of non-recurring versus recurring costs and help the diligence team assess whether the target’s forecast cash requirements properly reflect land and transfer charges on planned future development phases.</w:t>
      </w:r>
    </w:p>
    <w:p>
      <w:pPr>
        <w:pStyle w:val="AureliaH1"/>
      </w:pPr>
      <w:r>
        <w:t>6. Joint Venture and SPV Tax Reporting</w:t>
      </w:r>
    </w:p>
    <w:p>
      <w:pPr/>
      <w:r>
        <w:t>Aurelia operates through project-level SPVs and selected joint venture arrangements. The tax analysis for these entities must address both the entity-level compliance profile and the group’s exposure as sponsor, equity holder, or service provider. The central tax questions typically include: which entity is the legal taxpayer, how taxable income is determined for project vehicles, whether service fees or management charges between entities are appropriately documented, whether VAT registrations are maintained at the correct entity level, and whether financing or profit-sharing arrangements create additional disclosure or compliance requirements.</w:t>
      </w:r>
    </w:p>
    <w:p>
      <w:pPr/>
      <w:r>
        <w:t>Project SPVs often improve ring-fencing of project debt and obligations but can complicate tax compliance because each entity may have distinct contracts, funding arrangements, and supply chains. The group should therefore maintain a legal-entity compliance calendar, separate trial balances, and a mapping of intercompany charges and cost allocations. Where joint ventures exist, the tax function should understand the contractual sharing of development costs, revenues, fees, and tax responsibilities, including who is responsible for invoice issuance, VAT return preparation, and payment of any transaction-based fees.</w:t>
      </w:r>
    </w:p>
    <w:p>
      <w:pPr/>
      <w:r>
        <w:t>From a diligence standpoint, inter-entity tax leakage can arise if service arrangements are informal, management fees are not supported by contracts, or the legal incidence of taxes has been misunderstood in practice. The package accordingly highlights the importance of legal-document alignment, entity-level ledger integrity, and documented governance over tax positions taken within SPVs and JVs.</w:t>
      </w:r>
    </w:p>
    <w:p>
      <w:pPr>
        <w:pStyle w:val="AureliaH1"/>
      </w:pPr>
      <w:r>
        <w:t>7. Deferred Tax Positions</w:t>
      </w:r>
    </w:p>
    <w:p>
      <w:pPr/>
      <w:r>
        <w:t>Deferred tax analysis serves as an important bridge between the company’s accounting policies and its tax profile. Even in periods where current tax liability is limited or newly emerging, deferred taxes may arise from temporary differences between the carrying amounts of assets and liabilities for accounting purposes and their tax bases. For a developer such as Aurelia, common sources include capitalization patterns for development costs, depreciation or amortization differences, provisions that are not yet deductible, and the treatment of financing costs.</w:t>
      </w:r>
    </w:p>
    <w:p>
      <w:pPr/>
      <w:r>
        <w:t>The workbook includes an illustrative deferred tax schedule covering deferred tax assets and liabilities for the three-year period. The analysis assumes temporary differences associated with provisions, financing cost timing, and capitalization differences, as well as a deferred tax asset position where tax losses or deductible temporary differences are supportable. In practice, recognition of deferred tax assets would require management to demonstrate probable future taxable profits against which the deductible differences can be utilized.</w:t>
      </w:r>
    </w:p>
    <w:p>
      <w:pPr/>
      <w:r>
        <w:t>Investors typically review deferred tax not only for the balance sheet amount, but also for what it implies about forecast profitability, tax method consistency, and the risk of future P&amp;L volatility. Accordingly, any deferred tax balance should be supported by detailed schedules, reversals by year where practical, and a reasoned recoverability assessment approved through the group’s financial reporting governance process.</w:t>
      </w:r>
    </w:p>
    <w:p>
      <w:pPr>
        <w:pStyle w:val="AureliaH1"/>
      </w:pPr>
      <w:r>
        <w:t>8. Tax Compliance Procedures</w:t>
      </w:r>
    </w:p>
    <w:p>
      <w:pPr/>
      <w:r>
        <w:t>A mature tax compliance framework for a developer of Aurelia’s scale should include a documented tax calendar, assignment of entity-level responsibilities, standard return preparation workpapers, review controls, and protocols for escalation of uncertain positions. The finance and tax teams should work from a common close timetable to ensure that VAT, corporate tax, and statutory fee obligations are captured during monthly and quarterly reporting, not only at year-end.</w:t>
      </w:r>
    </w:p>
    <w:p>
      <w:pPr/>
      <w:r>
        <w:t>In an effective framework, return preparation begins with reconciled ledgers and standardized extracts from the ERP or project accounting systems. The preparer documents the tax basis adjustments, attaches support for significant judgments, and updates the return file with relevant contracts, tax invoices, and payment evidence. A reviewer then checks the reasonableness of the position, tests the reconciliation to the ledger, and confirms consistency with prior filings and current law. Material items, unusual transactions, and positions with interpretive complexity are escalated to external tax advisors or senior finance leadership for validation.</w:t>
      </w:r>
    </w:p>
    <w:p>
      <w:pPr/>
      <w:r>
        <w:t>Because development businesses rely heavily on project coding and contractual milestones, tax controls should be embedded upstream in the business process. For example, contract review at signing should confirm VAT treatment and invoicing protocols; procurement controls should require valid tax invoices; treasury should track payment status for refund-support purposes; and project finance teams should provide timely visibility into land transfers, entity restructurings, and new SPV formation so the tax implications are analyzed contemporaneously rather than retrospectively.</w:t>
      </w:r>
    </w:p>
    <w:p>
      <w:pPr>
        <w:pStyle w:val="AureliaH1"/>
      </w:pPr>
      <w:r>
        <w:t>9. Tax Risk Assessment</w:t>
      </w:r>
    </w:p>
    <w:p>
      <w:pPr/>
      <w:r>
        <w:t>The principal tax risks for Aurelia are likely to include: changes in UAE tax law or administrative guidance; VAT treatment errors for mixed-use or staged developments; incomplete or inconsistent support for input VAT claims; timing mismatches between accounting and tax treatment of project costs; under-documented intercompany or shareholder arrangements within SPVs and JVs; and the operational challenge of applying a newly formalized corporate tax framework across multiple development entities.</w:t>
      </w:r>
    </w:p>
    <w:p>
      <w:pPr/>
      <w:r>
        <w:t>Cross-border considerations may also arise where international investors, hospitality operators, or offshore holding entities participate in the capital structure or operating model. Even where direct cross-border tax leakage is limited, the diligence team will usually ask whether withholding, treaty, or transfer pricing issues could become relevant if financing flows, service relationships, or profit-sharing mechanics evolve after closing. The tax function should therefore maintain a map of international relationships and confirm whether any additional filing or documentation obligations have been triggered.</w:t>
      </w:r>
    </w:p>
    <w:p>
      <w:pPr/>
      <w:r>
        <w:t>Risk assessment is not solely a technical legal exercise; it is also an operational one. In a project-heavy business, the same statutory rule can be applied correctly in one development and incorrectly in another because of differences in contracts, coding, invoice quality, or handover timing. A buyer will therefore place significant weight on evidence of repeatable controls, management review, exception tracking, and remediation history.</w:t>
      </w:r>
    </w:p>
    <w:p>
      <w:pPr>
        <w:pStyle w:val="AureliaH1"/>
      </w:pPr>
      <w:r>
        <w:t>10. Auditor and Tax Advisor Review</w:t>
      </w:r>
    </w:p>
    <w:p>
      <w:pPr/>
      <w:r>
        <w:t>External auditors and tax advisors typically review the group’s tax positions through complementary lenses. The auditors focus on the adequacy of recorded tax balances, completeness of disclosures, reasonableness of provisions, and consistency of the tax accounting with the underlying standards and the entity’s accounting policies. External tax advisors, by contrast, often assist with interpretation of law, preparation or review of complex returns, benchmarking of uncertain positions, and support for correspondence with the tax authority where necessary.</w:t>
      </w:r>
    </w:p>
    <w:p>
      <w:pPr/>
      <w:r>
        <w:t>For a diligence-ready file, management should be able to provide evidence of both internal and external review. This would include return workpapers, reviewer sign-offs, board or management approvals where material, correspondence with advisors, records of positions taken on significant transactions, and reconciliations from returns to the audited or management financial statements. The overall objective is to demonstrate that tax is governed as a controlled reporting process rather than a year-end compliance exercise.</w:t>
      </w:r>
    </w:p>
    <w:p>
      <w:pPr/>
      <w:r>
        <w:t>In the context of a private equity transaction, the existence of organized review evidence can meaningfully reduce diligence friction. Buyers and lenders are more comfortable where tax files are complete, adjustments are transparent, and management can explain not only the numbers but also the governance process behind them. This package is designed to mirror that expectation by linking the narrative memorandum to structured schedules in the workbook.</w:t>
      </w:r>
    </w:p>
    <w:p>
      <w:pPr>
        <w:pStyle w:val="AureliaH1"/>
      </w:pPr>
      <w:r>
        <w:t>Appendix A. Illustrative Three-Year Tax Position Snapshot</w:t>
      </w:r>
    </w:p>
    <w:p>
      <w:pPr/>
      <w:r>
        <w:t>The supporting workbook should be read together with this memorandum. The workbook provides a compact view of current tax, VAT, real estate transaction charges, deferred tax, tax payments, and risk ratings for the three-year period. The schedules are intended to serve as an organizing framework for diligence discussions, management Q&amp;A, and reconciliation to underlying tax returns, statutory submissions, and general ledger balances.</w:t>
      </w:r>
    </w:p>
    <w:p>
      <w:pPr>
        <w:pStyle w:val="AureliaH2"/>
      </w:pPr>
      <w:r>
        <w:t>Illustrative three-year summary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Mar>
              <w:top w:w="80" w:type="dxa"/>
              <w:start w:w="90" w:type="dxa"/>
              <w:bottom w:w="80" w:type="dxa"/>
              <w:end w:w="90" w:type="dxa"/>
            </w:tcMar>
          </w:tcPr>
          <w:p>
            <w:r>
              <w:rPr>
                <w:b/>
              </w:rPr>
              <w:t>Metric</w:t>
            </w:r>
          </w:p>
        </w:tc>
        <w:tc>
          <w:tcPr>
            <w:tcW w:type="dxa" w:w="1987"/>
            <w:shd w:fill="D9E2F3"/>
            <w:tcMar>
              <w:top w:w="80" w:type="dxa"/>
              <w:start w:w="90" w:type="dxa"/>
              <w:bottom w:w="80" w:type="dxa"/>
              <w:end w:w="90" w:type="dxa"/>
            </w:tcMar>
          </w:tcPr>
          <w:p>
            <w:r>
              <w:rPr>
                <w:b/>
              </w:rPr>
              <w:t>FY2021</w:t>
            </w:r>
          </w:p>
        </w:tc>
        <w:tc>
          <w:tcPr>
            <w:tcW w:type="dxa" w:w="1987"/>
            <w:shd w:fill="D9E2F3"/>
            <w:tcMar>
              <w:top w:w="80" w:type="dxa"/>
              <w:start w:w="90" w:type="dxa"/>
              <w:bottom w:w="80" w:type="dxa"/>
              <w:end w:w="90" w:type="dxa"/>
            </w:tcMar>
          </w:tcPr>
          <w:p>
            <w:r>
              <w:rPr>
                <w:b/>
              </w:rPr>
              <w:t>FY2022</w:t>
            </w:r>
          </w:p>
        </w:tc>
        <w:tc>
          <w:tcPr>
            <w:tcW w:type="dxa" w:w="1987"/>
            <w:shd w:fill="D9E2F3"/>
            <w:tcMar>
              <w:top w:w="80" w:type="dxa"/>
              <w:start w:w="90" w:type="dxa"/>
              <w:bottom w:w="80" w:type="dxa"/>
              <w:end w:w="90" w:type="dxa"/>
            </w:tcMar>
          </w:tcPr>
          <w:p>
            <w:r>
              <w:rPr>
                <w:b/>
              </w:rPr>
              <w:t>FY2023</w:t>
            </w:r>
          </w:p>
        </w:tc>
        <w:tc>
          <w:tcPr>
            <w:tcW w:type="dxa" w:w="1987"/>
            <w:shd w:fill="D9E2F3"/>
            <w:tcMar>
              <w:top w:w="80" w:type="dxa"/>
              <w:start w:w="90" w:type="dxa"/>
              <w:bottom w:w="80" w:type="dxa"/>
              <w:end w:w="90" w:type="dxa"/>
            </w:tcMar>
          </w:tcPr>
          <w:p>
            <w:r>
              <w:rPr>
                <w:b/>
              </w:rPr>
              <w:t>Comment</w:t>
            </w:r>
          </w:p>
        </w:tc>
      </w:tr>
      <w:tr>
        <w:tc>
          <w:tcPr>
            <w:tcW w:type="dxa" w:w="1987"/>
            <w:tcMar>
              <w:top w:w="80" w:type="dxa"/>
              <w:start w:w="90" w:type="dxa"/>
              <w:bottom w:w="80" w:type="dxa"/>
              <w:end w:w="90" w:type="dxa"/>
            </w:tcMar>
            <w:shd w:fill="F3F6FA"/>
          </w:tcPr>
          <w:p>
            <w:r>
              <w:t>Taxable income (AED m)</w:t>
            </w:r>
          </w:p>
        </w:tc>
        <w:tc>
          <w:tcPr>
            <w:tcW w:type="dxa" w:w="1987"/>
            <w:tcMar>
              <w:top w:w="80" w:type="dxa"/>
              <w:start w:w="90" w:type="dxa"/>
              <w:bottom w:w="80" w:type="dxa"/>
              <w:end w:w="90" w:type="dxa"/>
            </w:tcMar>
          </w:tcPr>
          <w:p>
            <w:pPr>
              <w:jc w:val="right"/>
            </w:pPr>
            <w:r>
              <w:t>18.0</w:t>
            </w:r>
          </w:p>
        </w:tc>
        <w:tc>
          <w:tcPr>
            <w:tcW w:type="dxa" w:w="1987"/>
            <w:tcMar>
              <w:top w:w="80" w:type="dxa"/>
              <w:start w:w="90" w:type="dxa"/>
              <w:bottom w:w="80" w:type="dxa"/>
              <w:end w:w="90" w:type="dxa"/>
            </w:tcMar>
          </w:tcPr>
          <w:p>
            <w:pPr>
              <w:jc w:val="right"/>
            </w:pPr>
            <w:r>
              <w:t>42.5</w:t>
            </w:r>
          </w:p>
        </w:tc>
        <w:tc>
          <w:tcPr>
            <w:tcW w:type="dxa" w:w="1987"/>
            <w:tcMar>
              <w:top w:w="80" w:type="dxa"/>
              <w:start w:w="90" w:type="dxa"/>
              <w:bottom w:w="80" w:type="dxa"/>
              <w:end w:w="90" w:type="dxa"/>
            </w:tcMar>
          </w:tcPr>
          <w:p>
            <w:pPr>
              <w:jc w:val="right"/>
            </w:pPr>
            <w:r>
              <w:t>96.0</w:t>
            </w:r>
          </w:p>
        </w:tc>
        <w:tc>
          <w:tcPr>
            <w:tcW w:type="dxa" w:w="1987"/>
            <w:tcMar>
              <w:top w:w="80" w:type="dxa"/>
              <w:start w:w="90" w:type="dxa"/>
              <w:bottom w:w="80" w:type="dxa"/>
              <w:end w:w="90" w:type="dxa"/>
            </w:tcMar>
          </w:tcPr>
          <w:p>
            <w:r>
              <w:t>Illustrative bridge after book-to-tax adjustments</w:t>
            </w:r>
          </w:p>
        </w:tc>
      </w:tr>
      <w:tr>
        <w:tc>
          <w:tcPr>
            <w:tcW w:type="dxa" w:w="1987"/>
            <w:tcMar>
              <w:top w:w="80" w:type="dxa"/>
              <w:start w:w="90" w:type="dxa"/>
              <w:bottom w:w="80" w:type="dxa"/>
              <w:end w:w="90" w:type="dxa"/>
            </w:tcMar>
            <w:shd w:fill="F3F6FA"/>
          </w:tcPr>
          <w:p>
            <w:r>
              <w:t>Current corporate tax payable (AED m)</w:t>
            </w:r>
          </w:p>
        </w:tc>
        <w:tc>
          <w:tcPr>
            <w:tcW w:type="dxa" w:w="1987"/>
            <w:tcMar>
              <w:top w:w="80" w:type="dxa"/>
              <w:start w:w="90" w:type="dxa"/>
              <w:bottom w:w="80" w:type="dxa"/>
              <w:end w:w="90" w:type="dxa"/>
            </w:tcMar>
          </w:tcPr>
          <w:p>
            <w:pPr>
              <w:jc w:val="right"/>
            </w:pPr>
            <w:r>
              <w:t>-</w:t>
            </w:r>
          </w:p>
        </w:tc>
        <w:tc>
          <w:tcPr>
            <w:tcW w:type="dxa" w:w="1987"/>
            <w:tcMar>
              <w:top w:w="80" w:type="dxa"/>
              <w:start w:w="90" w:type="dxa"/>
              <w:bottom w:w="80" w:type="dxa"/>
              <w:end w:w="90" w:type="dxa"/>
            </w:tcMar>
          </w:tcPr>
          <w:p>
            <w:pPr>
              <w:jc w:val="right"/>
            </w:pPr>
            <w:r>
              <w:t>-</w:t>
            </w:r>
          </w:p>
        </w:tc>
        <w:tc>
          <w:tcPr>
            <w:tcW w:type="dxa" w:w="1987"/>
            <w:tcMar>
              <w:top w:w="80" w:type="dxa"/>
              <w:start w:w="90" w:type="dxa"/>
              <w:bottom w:w="80" w:type="dxa"/>
              <w:end w:w="90" w:type="dxa"/>
            </w:tcMar>
          </w:tcPr>
          <w:p>
            <w:pPr>
              <w:jc w:val="right"/>
            </w:pPr>
            <w:r>
              <w:t>8.6</w:t>
            </w:r>
          </w:p>
        </w:tc>
        <w:tc>
          <w:tcPr>
            <w:tcW w:type="dxa" w:w="1987"/>
            <w:tcMar>
              <w:top w:w="80" w:type="dxa"/>
              <w:start w:w="90" w:type="dxa"/>
              <w:bottom w:w="80" w:type="dxa"/>
              <w:end w:w="90" w:type="dxa"/>
            </w:tcMar>
          </w:tcPr>
          <w:p>
            <w:r>
              <w:t>Corporate tax becomes operational in later period</w:t>
            </w:r>
          </w:p>
        </w:tc>
      </w:tr>
      <w:tr>
        <w:tc>
          <w:tcPr>
            <w:tcW w:type="dxa" w:w="1987"/>
            <w:tcMar>
              <w:top w:w="80" w:type="dxa"/>
              <w:start w:w="90" w:type="dxa"/>
              <w:bottom w:w="80" w:type="dxa"/>
              <w:end w:w="90" w:type="dxa"/>
            </w:tcMar>
            <w:shd w:fill="F3F6FA"/>
          </w:tcPr>
          <w:p>
            <w:r>
              <w:t>Net VAT payable/(refund) (AED m)</w:t>
            </w:r>
          </w:p>
        </w:tc>
        <w:tc>
          <w:tcPr>
            <w:tcW w:type="dxa" w:w="1987"/>
            <w:tcMar>
              <w:top w:w="80" w:type="dxa"/>
              <w:start w:w="90" w:type="dxa"/>
              <w:bottom w:w="80" w:type="dxa"/>
              <w:end w:w="90" w:type="dxa"/>
            </w:tcMar>
          </w:tcPr>
          <w:p>
            <w:pPr>
              <w:jc w:val="right"/>
            </w:pPr>
            <w:r>
              <w:t>(6.4)</w:t>
            </w:r>
          </w:p>
        </w:tc>
        <w:tc>
          <w:tcPr>
            <w:tcW w:type="dxa" w:w="1987"/>
            <w:tcMar>
              <w:top w:w="80" w:type="dxa"/>
              <w:start w:w="90" w:type="dxa"/>
              <w:bottom w:w="80" w:type="dxa"/>
              <w:end w:w="90" w:type="dxa"/>
            </w:tcMar>
          </w:tcPr>
          <w:p>
            <w:pPr>
              <w:jc w:val="right"/>
            </w:pPr>
            <w:r>
              <w:t>(2.1)</w:t>
            </w:r>
          </w:p>
        </w:tc>
        <w:tc>
          <w:tcPr>
            <w:tcW w:type="dxa" w:w="1987"/>
            <w:tcMar>
              <w:top w:w="80" w:type="dxa"/>
              <w:start w:w="90" w:type="dxa"/>
              <w:bottom w:w="80" w:type="dxa"/>
              <w:end w:w="90" w:type="dxa"/>
            </w:tcMar>
          </w:tcPr>
          <w:p>
            <w:pPr>
              <w:jc w:val="right"/>
            </w:pPr>
            <w:r>
              <w:t>4.8</w:t>
            </w:r>
          </w:p>
        </w:tc>
        <w:tc>
          <w:tcPr>
            <w:tcW w:type="dxa" w:w="1987"/>
            <w:tcMar>
              <w:top w:w="80" w:type="dxa"/>
              <w:start w:w="90" w:type="dxa"/>
              <w:bottom w:w="80" w:type="dxa"/>
              <w:end w:w="90" w:type="dxa"/>
            </w:tcMar>
          </w:tcPr>
          <w:p>
            <w:r>
              <w:t>Shifts with project stage and handovers</w:t>
            </w:r>
          </w:p>
        </w:tc>
      </w:tr>
      <w:tr>
        <w:tc>
          <w:tcPr>
            <w:tcW w:type="dxa" w:w="1987"/>
            <w:tcMar>
              <w:top w:w="80" w:type="dxa"/>
              <w:start w:w="90" w:type="dxa"/>
              <w:bottom w:w="80" w:type="dxa"/>
              <w:end w:w="90" w:type="dxa"/>
            </w:tcMar>
            <w:shd w:fill="F3F6FA"/>
          </w:tcPr>
          <w:p>
            <w:r>
              <w:t>Real-estate transfer &amp; registration fees (AED m)</w:t>
            </w:r>
          </w:p>
        </w:tc>
        <w:tc>
          <w:tcPr>
            <w:tcW w:type="dxa" w:w="1987"/>
            <w:tcMar>
              <w:top w:w="80" w:type="dxa"/>
              <w:start w:w="90" w:type="dxa"/>
              <w:bottom w:w="80" w:type="dxa"/>
              <w:end w:w="90" w:type="dxa"/>
            </w:tcMar>
          </w:tcPr>
          <w:p>
            <w:pPr>
              <w:jc w:val="right"/>
            </w:pPr>
            <w:r>
              <w:t>21.7</w:t>
            </w:r>
          </w:p>
        </w:tc>
        <w:tc>
          <w:tcPr>
            <w:tcW w:type="dxa" w:w="1987"/>
            <w:tcMar>
              <w:top w:w="80" w:type="dxa"/>
              <w:start w:w="90" w:type="dxa"/>
              <w:bottom w:w="80" w:type="dxa"/>
              <w:end w:w="90" w:type="dxa"/>
            </w:tcMar>
          </w:tcPr>
          <w:p>
            <w:pPr>
              <w:jc w:val="right"/>
            </w:pPr>
            <w:r>
              <w:t>26.9</w:t>
            </w:r>
          </w:p>
        </w:tc>
        <w:tc>
          <w:tcPr>
            <w:tcW w:type="dxa" w:w="1987"/>
            <w:tcMar>
              <w:top w:w="80" w:type="dxa"/>
              <w:start w:w="90" w:type="dxa"/>
              <w:bottom w:w="80" w:type="dxa"/>
              <w:end w:w="90" w:type="dxa"/>
            </w:tcMar>
          </w:tcPr>
          <w:p>
            <w:pPr>
              <w:jc w:val="right"/>
            </w:pPr>
            <w:r>
              <w:t>34.3</w:t>
            </w:r>
          </w:p>
        </w:tc>
        <w:tc>
          <w:tcPr>
            <w:tcW w:type="dxa" w:w="1987"/>
            <w:tcMar>
              <w:top w:w="80" w:type="dxa"/>
              <w:start w:w="90" w:type="dxa"/>
              <w:bottom w:w="80" w:type="dxa"/>
              <w:end w:w="90" w:type="dxa"/>
            </w:tcMar>
          </w:tcPr>
          <w:p>
            <w:r>
              <w:t>Primarily land and project registration activity</w:t>
            </w:r>
          </w:p>
        </w:tc>
      </w:tr>
      <w:tr>
        <w:tc>
          <w:tcPr>
            <w:tcW w:type="dxa" w:w="1987"/>
            <w:tcMar>
              <w:top w:w="80" w:type="dxa"/>
              <w:start w:w="90" w:type="dxa"/>
              <w:bottom w:w="80" w:type="dxa"/>
              <w:end w:w="90" w:type="dxa"/>
            </w:tcMar>
            <w:shd w:fill="F3F6FA"/>
          </w:tcPr>
          <w:p>
            <w:r>
              <w:t>Deferred tax net position (AED m)</w:t>
            </w:r>
          </w:p>
        </w:tc>
        <w:tc>
          <w:tcPr>
            <w:tcW w:type="dxa" w:w="1987"/>
            <w:tcMar>
              <w:top w:w="80" w:type="dxa"/>
              <w:start w:w="90" w:type="dxa"/>
              <w:bottom w:w="80" w:type="dxa"/>
              <w:end w:w="90" w:type="dxa"/>
            </w:tcMar>
          </w:tcPr>
          <w:p>
            <w:pPr>
              <w:jc w:val="right"/>
            </w:pPr>
            <w:r>
              <w:t>1.4</w:t>
            </w:r>
          </w:p>
        </w:tc>
        <w:tc>
          <w:tcPr>
            <w:tcW w:type="dxa" w:w="1987"/>
            <w:tcMar>
              <w:top w:w="80" w:type="dxa"/>
              <w:start w:w="90" w:type="dxa"/>
              <w:bottom w:w="80" w:type="dxa"/>
              <w:end w:w="90" w:type="dxa"/>
            </w:tcMar>
          </w:tcPr>
          <w:p>
            <w:pPr>
              <w:jc w:val="right"/>
            </w:pPr>
            <w:r>
              <w:t>3.1</w:t>
            </w:r>
          </w:p>
        </w:tc>
        <w:tc>
          <w:tcPr>
            <w:tcW w:type="dxa" w:w="1987"/>
            <w:tcMar>
              <w:top w:w="80" w:type="dxa"/>
              <w:start w:w="90" w:type="dxa"/>
              <w:bottom w:w="80" w:type="dxa"/>
              <w:end w:w="90" w:type="dxa"/>
            </w:tcMar>
          </w:tcPr>
          <w:p>
            <w:pPr>
              <w:jc w:val="right"/>
            </w:pPr>
            <w:r>
              <w:t>5.6</w:t>
            </w:r>
          </w:p>
        </w:tc>
        <w:tc>
          <w:tcPr>
            <w:tcW w:type="dxa" w:w="1987"/>
            <w:tcMar>
              <w:top w:w="80" w:type="dxa"/>
              <w:start w:w="90" w:type="dxa"/>
              <w:bottom w:w="80" w:type="dxa"/>
              <w:end w:w="90" w:type="dxa"/>
            </w:tcMar>
          </w:tcPr>
          <w:p>
            <w:r>
              <w:t>Illustrative temporary differences</w:t>
            </w:r>
          </w:p>
        </w:tc>
      </w:tr>
    </w:tbl>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Aurelia Developments LLC | Tax Compliance Documentation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reliaTitle">
    <w:name w:val="Aurelia Title"/>
    <w:pPr>
      <w:spacing w:before="0" w:after="100"/>
    </w:pPr>
    <w:rPr>
      <w:rFonts w:ascii="Aptos" w:hAnsi="Aptos"/>
      <w:b/>
      <w:color w:val="1F4E79"/>
      <w:sz w:val="36"/>
    </w:rPr>
  </w:style>
  <w:style w:type="paragraph" w:customStyle="1" w:styleId="AureliaSubtitle">
    <w:name w:val="Aurelia Subtitle"/>
    <w:pPr>
      <w:spacing w:before="0" w:after="100"/>
    </w:pPr>
    <w:rPr>
      <w:rFonts w:ascii="Aptos" w:hAnsi="Aptos"/>
      <w:b w:val="0"/>
      <w:color w:val="666666"/>
      <w:sz w:val="20"/>
    </w:rPr>
  </w:style>
  <w:style w:type="paragraph" w:customStyle="1" w:styleId="AureliaH1">
    <w:name w:val="Aurelia H1"/>
    <w:pPr>
      <w:spacing w:before="160" w:after="100"/>
    </w:pPr>
    <w:rPr>
      <w:rFonts w:ascii="Aptos" w:hAnsi="Aptos"/>
      <w:b/>
      <w:color w:val="1F4E79"/>
      <w:sz w:val="28"/>
    </w:rPr>
  </w:style>
  <w:style w:type="paragraph" w:customStyle="1" w:styleId="AureliaH2">
    <w:name w:val="Aurelia H2"/>
    <w:pPr>
      <w:spacing w:before="160" w:after="100"/>
    </w:pPr>
    <w:rPr>
      <w:rFonts w:ascii="Aptos" w:hAnsi="Aptos"/>
      <w:b/>
      <w:color w:val="2F2F2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