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ureliaTitle"/>
        <w:jc w:val="center"/>
      </w:pPr>
      <w:r>
        <w:t>Federal, State, and Local Tax Returns – Aurelia Developments LLC</w:t>
        <w:br/>
        <w:t>(Last 3 Fiscal Years)</w:t>
      </w:r>
    </w:p>
    <w:p>
      <w:pPr>
        <w:pStyle w:val="AureliaSubtitle"/>
        <w:jc w:val="center"/>
      </w:pPr>
      <w:r>
        <w:t>Prepared in the style of a Big 4 tax diligence memorandum for private equity, lender, audit, and management review.</w:t>
      </w:r>
    </w:p>
    <w:p/>
    <w:tbl>
      <w:tblPr>
        <w:tblW w:type="auto" w:w="0"/>
        <w:jc w:val="center"/>
        <w:tblLayout w:type="fixed"/>
        <w:tblLook w:firstColumn="1" w:firstRow="1" w:lastColumn="0" w:lastRow="0" w:noHBand="0" w:noVBand="1" w:val="04A0"/>
      </w:tblPr>
      <w:tblGrid>
        <w:gridCol w:w="4968"/>
        <w:gridCol w:w="4968"/>
      </w:tblGrid>
      <w:tr>
        <w:tc>
          <w:tcPr>
            <w:tcW w:type="dxa" w:w="3024"/>
            <w:tcMar>
              <w:top w:w="80" w:type="dxa"/>
              <w:start w:w="90" w:type="dxa"/>
              <w:bottom w:w="80" w:type="dxa"/>
              <w:end w:w="90" w:type="dxa"/>
            </w:tcMar>
            <w:vAlign w:val="center"/>
            <w:shd w:fill="D9E2F3"/>
          </w:tcPr>
          <w:p>
            <w:r>
              <w:rPr>
                <w:b/>
              </w:rPr>
              <w:t>Entity</w:t>
            </w:r>
          </w:p>
        </w:tc>
        <w:tc>
          <w:tcPr>
            <w:tcW w:type="dxa" w:w="5616"/>
            <w:tcMar>
              <w:top w:w="80" w:type="dxa"/>
              <w:start w:w="90" w:type="dxa"/>
              <w:bottom w:w="80" w:type="dxa"/>
              <w:end w:w="90" w:type="dxa"/>
            </w:tcMar>
            <w:vAlign w:val="center"/>
            <w:shd w:fill="F7F9FC"/>
          </w:tcPr>
          <w:p>
            <w:r>
              <w:t>Aurelia Developments LLC</w:t>
            </w:r>
          </w:p>
        </w:tc>
      </w:tr>
      <w:tr>
        <w:tc>
          <w:tcPr>
            <w:tcW w:type="dxa" w:w="3024"/>
            <w:tcMar>
              <w:top w:w="80" w:type="dxa"/>
              <w:start w:w="90" w:type="dxa"/>
              <w:bottom w:w="80" w:type="dxa"/>
              <w:end w:w="90" w:type="dxa"/>
            </w:tcMar>
            <w:vAlign w:val="center"/>
            <w:shd w:fill="D9E2F3"/>
          </w:tcPr>
          <w:p>
            <w:r>
              <w:rPr>
                <w:b/>
              </w:rPr>
              <w:t>Jurisdiction</w:t>
            </w:r>
          </w:p>
        </w:tc>
        <w:tc>
          <w:tcPr>
            <w:tcW w:type="dxa" w:w="5616"/>
            <w:tcMar>
              <w:top w:w="80" w:type="dxa"/>
              <w:start w:w="90" w:type="dxa"/>
              <w:bottom w:w="80" w:type="dxa"/>
              <w:end w:w="90" w:type="dxa"/>
            </w:tcMar>
            <w:vAlign w:val="center"/>
            <w:shd w:fill="F7F9FC"/>
          </w:tcPr>
          <w:p>
            <w:r>
              <w:t>Dubai, United Arab Emirates</w:t>
            </w:r>
          </w:p>
        </w:tc>
      </w:tr>
      <w:tr>
        <w:tc>
          <w:tcPr>
            <w:tcW w:type="dxa" w:w="3024"/>
            <w:tcMar>
              <w:top w:w="80" w:type="dxa"/>
              <w:start w:w="90" w:type="dxa"/>
              <w:bottom w:w="80" w:type="dxa"/>
              <w:end w:w="90" w:type="dxa"/>
            </w:tcMar>
            <w:vAlign w:val="center"/>
            <w:shd w:fill="D9E2F3"/>
          </w:tcPr>
          <w:p>
            <w:r>
              <w:rPr>
                <w:b/>
              </w:rPr>
              <w:t>Fiscal Years Covered</w:t>
            </w:r>
          </w:p>
        </w:tc>
        <w:tc>
          <w:tcPr>
            <w:tcW w:type="dxa" w:w="5616"/>
            <w:tcMar>
              <w:top w:w="80" w:type="dxa"/>
              <w:start w:w="90" w:type="dxa"/>
              <w:bottom w:w="80" w:type="dxa"/>
              <w:end w:w="90" w:type="dxa"/>
            </w:tcMar>
            <w:vAlign w:val="center"/>
            <w:shd w:fill="F7F9FC"/>
          </w:tcPr>
          <w:p>
            <w:r>
              <w:t>FY2021, FY2022, FY2023</w:t>
            </w:r>
          </w:p>
        </w:tc>
      </w:tr>
      <w:tr>
        <w:tc>
          <w:tcPr>
            <w:tcW w:type="dxa" w:w="3024"/>
            <w:tcMar>
              <w:top w:w="80" w:type="dxa"/>
              <w:start w:w="90" w:type="dxa"/>
              <w:bottom w:w="80" w:type="dxa"/>
              <w:end w:w="90" w:type="dxa"/>
            </w:tcMar>
            <w:vAlign w:val="center"/>
            <w:shd w:fill="D9E2F3"/>
          </w:tcPr>
          <w:p>
            <w:r>
              <w:rPr>
                <w:b/>
              </w:rPr>
              <w:t>Principal Taxes Covered</w:t>
            </w:r>
          </w:p>
        </w:tc>
        <w:tc>
          <w:tcPr>
            <w:tcW w:type="dxa" w:w="5616"/>
            <w:tcMar>
              <w:top w:w="80" w:type="dxa"/>
              <w:start w:w="90" w:type="dxa"/>
              <w:bottom w:w="80" w:type="dxa"/>
              <w:end w:w="90" w:type="dxa"/>
            </w:tcMar>
            <w:vAlign w:val="center"/>
            <w:shd w:fill="F7F9FC"/>
          </w:tcPr>
          <w:p>
            <w:r>
              <w:t>UAE Federal Corporate Tax, VAT, Dubai municipality and real-estate related fees</w:t>
            </w:r>
          </w:p>
        </w:tc>
      </w:tr>
      <w:tr>
        <w:tc>
          <w:tcPr>
            <w:tcW w:type="dxa" w:w="3024"/>
            <w:tcMar>
              <w:top w:w="80" w:type="dxa"/>
              <w:start w:w="90" w:type="dxa"/>
              <w:bottom w:w="80" w:type="dxa"/>
              <w:end w:w="90" w:type="dxa"/>
            </w:tcMar>
            <w:vAlign w:val="center"/>
            <w:shd w:fill="D9E2F3"/>
          </w:tcPr>
          <w:p>
            <w:r>
              <w:rPr>
                <w:b/>
              </w:rPr>
              <w:t>Purpose</w:t>
            </w:r>
          </w:p>
        </w:tc>
        <w:tc>
          <w:tcPr>
            <w:tcW w:type="dxa" w:w="5616"/>
            <w:tcMar>
              <w:top w:w="80" w:type="dxa"/>
              <w:start w:w="90" w:type="dxa"/>
              <w:bottom w:w="80" w:type="dxa"/>
              <w:end w:w="90" w:type="dxa"/>
            </w:tcMar>
            <w:vAlign w:val="center"/>
            <w:shd w:fill="F7F9FC"/>
          </w:tcPr>
          <w:p>
            <w:r>
              <w:t>Illustrative tax compliance documentation package for diligence review</w:t>
            </w:r>
          </w:p>
        </w:tc>
      </w:tr>
    </w:tbl>
    <w:p/>
    <w:p>
      <w:pPr>
        <w:jc w:val="center"/>
      </w:pPr>
      <w:r>
        <w:t>Important note: This package is a professionally structured illustrative memorandum and schedule set, created from the facts provided, and is not an actual filed tax return or legal advice. Statutory filings in the United Arab Emirates are generally prepared in AED. The attached schedules are presented in USD solely as a management and private-equity diligence translation for ease of review, using an AED/USD presentation basis anchored to the UAE dirham’s long-standing peg to the U.S. dollar and the Central Bank of the UAE VAT exchange rate reference of AED 3.6725 per USD. Accordingly, the schedules should be read as translated diligence materials rather than as native-currency filed returns.</w:t>
      </w:r>
    </w:p>
    <w:p>
      <w:r>
        <w:br w:type="page"/>
      </w:r>
    </w:p>
    <w:p>
      <w:pPr>
        <w:pStyle w:val="AureliaH1"/>
      </w:pPr>
      <w:r>
        <w:t>Document Overview</w:t>
      </w:r>
    </w:p>
    <w:p>
      <w:pPr>
        <w:ind w:left="288"/>
      </w:pPr>
      <w:r>
        <w:t>1. Executive Summary</w:t>
      </w:r>
    </w:p>
    <w:p>
      <w:pPr>
        <w:ind w:left="288"/>
      </w:pPr>
      <w:r>
        <w:t>2. Overview of Applicable Tax Regime</w:t>
      </w:r>
    </w:p>
    <w:p>
      <w:pPr>
        <w:ind w:left="288"/>
      </w:pPr>
      <w:r>
        <w:t>3. Corporate Income Tax Returns</w:t>
      </w:r>
    </w:p>
    <w:p>
      <w:pPr>
        <w:ind w:left="288"/>
      </w:pPr>
      <w:r>
        <w:t>4. VAT Filings</w:t>
      </w:r>
    </w:p>
    <w:p>
      <w:pPr>
        <w:ind w:left="288"/>
      </w:pPr>
      <w:r>
        <w:t>5. Real Estate Development Taxes</w:t>
      </w:r>
    </w:p>
    <w:p>
      <w:pPr>
        <w:ind w:left="288"/>
      </w:pPr>
      <w:r>
        <w:t>6. Joint Venture and SPV Tax Reporting</w:t>
      </w:r>
    </w:p>
    <w:p>
      <w:pPr>
        <w:ind w:left="288"/>
      </w:pPr>
      <w:r>
        <w:t>7. Deferred Tax Positions</w:t>
      </w:r>
    </w:p>
    <w:p>
      <w:pPr>
        <w:ind w:left="288"/>
      </w:pPr>
      <w:r>
        <w:t>8. Tax Compliance Procedures</w:t>
      </w:r>
    </w:p>
    <w:p>
      <w:pPr>
        <w:ind w:left="288"/>
      </w:pPr>
      <w:r>
        <w:t>9. Tax Risk Assessment</w:t>
      </w:r>
    </w:p>
    <w:p>
      <w:pPr>
        <w:ind w:left="288"/>
      </w:pPr>
      <w:r>
        <w:t>10. Auditor and Tax Advisor Review</w:t>
      </w:r>
    </w:p>
    <w:p>
      <w:r>
        <w:t>All monetary amounts in this memorandum and the companion workbook are presented in USD for diligence readability. Underlying statutory books, tax computations, and filed returns in the UAE would ordinarily be prepared in AED unless a specific law or filing process requires otherwise. For this illustrative package, USD presentation has been prepared using an AED/USD basis consistent with the UAE dirham peg and the Central Bank of the UAE exchange rate reference of AED 3.6725 per USD. Where the schedules describe FY2021–FY2023 corporate tax, they should be interpreted as tax-basis, readiness, and deferred-tax analytical schedules rather than as evidence of current-tax filings for a calendar-year taxpayer.</w:t>
      </w:r>
    </w:p>
    <w:p>
      <w:pPr>
        <w:pStyle w:val="Heading1"/>
      </w:pPr>
      <w:r>
        <w:t>Appendix B. USD Presentation and UAE Technical Basis</w:t>
      </w:r>
    </w:p>
    <w:p>
      <w:pPr>
        <w:ind w:left="288"/>
      </w:pPr>
      <w:r>
        <w:t>Appendix A. Illustrative Three-Year Tax Position Snapshot</w:t>
      </w:r>
    </w:p>
    <w:p>
      <w:r>
        <w:br w:type="page"/>
      </w:r>
    </w:p>
    <w:p>
      <w:pPr>
        <w:pStyle w:val="AureliaH1"/>
      </w:pPr>
      <w:r>
        <w:t>1. Executive Summary</w:t>
      </w:r>
    </w:p>
    <w:p>
      <w:pPr/>
      <w:r>
        <w:t>This memorandum summarizes the tax compliance profile of Aurelia Developments LLC and its principal development structures for the last three fiscal years. The document has been drafted in the style of a transaction-services tax workpaper, with emphasis on the taxes that would typically be reviewed during private equity due diligence for a Dubai-based real estate development group. The memorandum focuses on (i) the principal taxes applicable to the group, (ii) the filing framework and compliance process, (iii) the observed tax positions and adjustments reflected in the supporting schedules, and (iv) areas of potential exposure that a buyer, lender, or auditor would ordinarily evaluate as part of earnings quality and balance sheet diligence.</w:t>
      </w:r>
    </w:p>
    <w:p>
      <w:pPr/>
      <w:r>
        <w:t>For a real estate developer operating in Dubai, tax diligence is not limited to statutory corporate income tax calculations. Investors and advisors generally examine a wider compliance perimeter that includes value added tax on property transactions and construction inputs, real-estate transfer and registration fees, municipality and infrastructure charges, and tax governance over project-level SPVs and joint ventures. This broader perspective is critical because project economics can be affected as much by tax leakage, documentation quality, and the timing of recoverability of indirect taxes as by the headline rate itself.</w:t>
      </w:r>
    </w:p>
    <w:p>
      <w:pPr/>
      <w:r>
        <w:t>Based on the illustrative facts assumed for this package, the group’s overall tax position over FY2021–FY2023 should be characterized as a three-year period in which VAT and Dubai real-estate related fees were the principal current statutory tax workstreams, while UAE Federal Corporate Tax was in a transition and readiness phase rather than a mature current-tax filing regime for a calendar-year taxpayer. For a company whose financial year runs from 1 January to 31 December, FY2021, FY2022, and FY2023 would generally precede the first current UAE Corporate Tax return period, because the corporate tax regime applies to tax periods beginning on or after 1 June 2023 and a calendar-year company’s first full tax period would generally commence on 1 January 2024. The diligence emphasis for the three historical years is therefore on VAT compliance, statutory fees, readiness and registration for corporate tax, and the quality of the group’s book-to-tax bridge and deferred tax analysis as the new regime became substantively enacted and operationally relevant.</w:t>
      </w:r>
    </w:p>
    <w:p>
      <w:pPr>
        <w:pStyle w:val="AureliaH1"/>
      </w:pPr>
      <w:r>
        <w:t>2. Overview of Applicable Tax Regime</w:t>
      </w:r>
    </w:p>
    <w:p>
      <w:pPr/>
      <w:r>
        <w:t>The tax regime relevant to Aurelia Developments LLC consists primarily of the UAE Federal Corporate Tax framework, the UAE VAT regime, and a range of Dubai real-estate related fees and local charges. Although the user request refers to “federal, state, and local” filings, the UAE context differs from federal systems such as the United States. There is no U.S.-style state corporate income tax framework applicable simply by reason of operating in Dubai. Instead, the relevant layers are federal taxes imposed under UAE law and local Emirate-level fees, registration charges, and municipality levies. For diligence purposes, the package therefore treats “state” as not separately applicable, while clearly documenting the local Dubai filing and payment landscape. The package title has been retained for consistency with the diligence request, but the underlying technical discussion has been reframed to reflect the UAE system accurately.</w:t>
      </w:r>
    </w:p>
    <w:p>
      <w:pPr/>
      <w:r>
        <w:t>UAE Federal Corporate Tax is relevant to the extent that the group falls within the charging provisions for taxable periods beginning on or after the effective implementation date. This timing is critical. For a company operating on a Gregorian calendar financial year, FY2021 through FY2023 would generally not yet constitute filed current-tax return years, even though the business may already have been undertaking registration, readiness assessments, policy design, transfer-pricing mapping, and deferred tax measurement once the law was enacted. Accordingly, the current package treats FY2021–FY2023 as pre-current-return years for a calendar-year taxpayer, while still presenting annual taxable-income style bridges to support diligence analysis, future tax forecasting, and deferred tax accounting. Those bridges should not be read as evidence that a current Corporate Tax return was due for FY2023 absent a non-calendar fiscal year that began on or after 1 June 2023.</w:t>
      </w:r>
    </w:p>
    <w:p>
      <w:pPr/>
      <w:r>
        <w:t>VAT remains a core tax workstream for the group because the business model combines land acquisition, development spend, off-plan and completed property sales, leasing, and hospitality-related arrangements. Tax treatment may differ by asset class and stage of development. Input VAT recoverability is especially significant given the scale of contractor payments, professional fees, and project infrastructure costs. The timing of output VAT recognition, issuance of tax invoices, and collection of customer installments must be reconciled carefully to contracts and project ledgers.</w:t>
      </w:r>
    </w:p>
    <w:p>
      <w:pPr/>
      <w:r>
        <w:t>Dubai-specific fees and charges include Dubai Land Department registration fees, transfer-related charges, and other municipality and infrastructure-linked payments associated with permits, service connections, project approvals, and occupancy processes. Although these items are not “income taxes” in the classic sense, they are material to project cash economics, frequently reviewed in diligence, and often included in tax or quasi-tax analyses because they arise through statutory or regulatory mechanisms.</w:t>
      </w:r>
    </w:p>
    <w:p>
      <w:pPr>
        <w:pStyle w:val="AureliaH1"/>
      </w:pPr>
      <w:r>
        <w:t>3. Corporate Income Tax Returns</w:t>
      </w:r>
    </w:p>
    <w:p>
      <w:pPr/>
      <w:r>
        <w:t>For purposes of this package, the corporate tax schedules are presented as annual tax-basis and readiness bridges rather than as evidence of filed current Corporate Tax returns for FY2021–FY2023. The illustrative methodology begins with accounting profit before tax as reflected in management financial statements, then applies normalizing and statutory-style adjustments to identify the likely taxable base once the regime becomes effective for the entity’s first applicable tax period. Typical adjustments for a developer such as Aurelia include entertainment and other potentially non-deductible expenditures, fines and penalties, reclassification of capital versus revenue items, and adjustments relating to related-party financing or shareholder charges where arm’s-length support is necessary.</w:t>
      </w:r>
    </w:p>
    <w:p>
      <w:pPr/>
      <w:r>
        <w:t>The supporting workbook has been revised so that current UAE Corporate Tax payable is shown as nil for FY2021, FY2022, and FY2023 on the assumption that Aurelia is a calendar-year taxpayer. This treatment is intended to align the diligence pack more closely with the legal commencement of UAE Corporate Tax. The workbook still preserves the taxable-income style bridge because investors typically want visibility into how accounting earnings may convert into taxable income once the regime becomes applicable. In addition, the deferred tax schedule can still be relevant from the point at which the tax law became enacted or substantively enacted for accounting purposes, because temporary differences that are expected to reverse in future taxable periods may require recognition under the applicable financial reporting framework.</w:t>
      </w:r>
    </w:p>
    <w:p>
      <w:pPr/>
      <w:r>
        <w:t>The major tax adjustments likely to arise in a real estate development context include: capitalization of certain development costs for accounting purposes that may have a different current deductibility profile for tax; non-deductible costs related to shareholder or promoter activity; adjustments associated with fair value or impairment movements where tax follows a realization basis; and differences arising from financing structures embedded in project SPVs or shareholder funding arrangements. Each material adjustment should be supported by schedules, signed contracts, invoices, board approvals, and legal documentation where applicable.</w:t>
      </w:r>
    </w:p>
    <w:p>
      <w:pPr/>
      <w:r>
        <w:t>From a diligence perspective, the principal questions are whether (i) the tax-basis bridge is complete and traceable, (ii) the supporting documentation for deductions is sufficient, (iii) related-party arrangements have been considered appropriately, (iv) deferred tax has been assessed using an appropriate enactment-date framework, and (v) tax provisions, registrations, and indirect-tax payments agree to the ledger and cash records. The corporate tax summary in the workbook is therefore designed to help reviewers test the internal consistency of the group’s future-state tax position rather than merely present headline current-tax numbers for years in which a current return may not yet have been required.</w:t>
      </w:r>
    </w:p>
    <w:p>
      <w:pPr>
        <w:pStyle w:val="AureliaH1"/>
      </w:pPr>
      <w:r>
        <w:t>4. VAT Filings</w:t>
      </w:r>
    </w:p>
    <w:p>
      <w:pPr/>
      <w:r>
        <w:t>VAT is typically one of the most operationally sensitive tax areas for a property developer. Aurelia’s VAT compliance framework must address output VAT on taxable property supplies and commercial leasing, input VAT on construction services and professional fees, recoverability analyses for mixed-use or phased developments, and the timing of VAT accounting in relation to milestone billings and handovers. Because large projects may involve substantial upfront spend before project monetization, developers often carry significant input VAT positions and, depending on the mix of taxable and exempt supplies, may experience refund claims or extended recovery cycles.</w:t>
      </w:r>
    </w:p>
    <w:p>
      <w:pPr/>
      <w:r>
        <w:t>The VAT schedules in the workbook summarize output VAT, input VAT, and net VAT payable or recoverable by year, as well as a project-level view of VAT by major development. In practice, a tax reviewer would test these schedules to the VAT return submissions, general ledger VAT control accounts, and supporting transactional data. The review would ordinarily pay particular attention to the treatment of residential versus commercial elements, hospitality or branded residence arrangements, common area allocations, and any promotional incentives that could affect the consideration base.</w:t>
      </w:r>
    </w:p>
    <w:p>
      <w:pPr/>
      <w:r>
        <w:t>VAT compliance procedures should include customer contract reviews to determine the nature of supply, validation of tax invoices, three-way matching of contractor invoices to purchase orders and receiving evidence, coding controls in the ERP, and monthly or quarterly reconciliations between statutory returns and financial records. Where the group claims VAT refunds, it should maintain a clear audit trail of the underlying invoices, proof of payment where required, project classification support, and management approval of the filing position.</w:t>
      </w:r>
    </w:p>
    <w:p>
      <w:pPr/>
      <w:r>
        <w:t>For an investor, VAT diligence matters because unrecovered input VAT, incorrect rate applications, or weak invoicing evidence can result in immediate value leakage through denied claims, penalties, and interest. In a development business with multiple SPVs and mixed project types, the quality of VAT master data and contract-by-contract documentation often determines whether the tax function can support the reported working capital position and the normalized cash conversion assumptions embedded in a valuation model.</w:t>
      </w:r>
    </w:p>
    <w:p>
      <w:pPr>
        <w:pStyle w:val="AureliaH1"/>
      </w:pPr>
      <w:r>
        <w:t>5. Real Estate Development Taxes</w:t>
      </w:r>
    </w:p>
    <w:p>
      <w:pPr/>
      <w:r>
        <w:t>In addition to corporate tax and VAT, the group incurs a variety of transaction-based and project-based statutory charges linked to land ownership and development activity. These include Dubai Land Department registration and transfer fees, development permit charges, municipality and infrastructure-related amounts, and other regulatory fees attached to project approvals and registration events. While many of these amounts are recorded as part of project cost, land cost, or transaction expense depending on the underlying facts, due diligence teams frequently analyze them within the broader tax workstream because they are non-discretionary statutory cash outflows.</w:t>
      </w:r>
    </w:p>
    <w:p>
      <w:pPr/>
      <w:r>
        <w:t>A real estate development group should maintain transaction-level schedules for land acquisitions and asset transfers showing acquisition consideration, the associated transfer or registration fee, the timing of payment, and the ledger treatment of those costs. Where fees are capitalized, the accounting basis should be consistent with the project cost policy. Where fees are expensed, management should be able to explain the policy rationale and confirm that treatment has been applied consistently across years and entities.</w:t>
      </w:r>
    </w:p>
    <w:p>
      <w:pPr/>
      <w:r>
        <w:t>The supporting workbook includes a dedicated schedule of real estate transaction taxes by project, which is intended to help reviewers evaluate whether project economics fully capture statutory acquisition and registration costs. In an acquisition setting, these schedules also support identification of non-recurring versus recurring costs and help the diligence team assess whether the target’s forecast cash requirements properly reflect land and transfer charges on planned future development phases.</w:t>
      </w:r>
    </w:p>
    <w:p>
      <w:pPr>
        <w:pStyle w:val="AureliaH1"/>
      </w:pPr>
      <w:r>
        <w:t>6. Joint Venture and SPV Tax Reporting</w:t>
      </w:r>
    </w:p>
    <w:p>
      <w:pPr/>
      <w:r>
        <w:t>Aurelia operates through project-level SPVs and selected joint venture arrangements. The tax analysis for these entities must address both the entity-level compliance profile and the group’s exposure as sponsor, equity holder, or service provider. The central tax questions typically include: which entity is the legal taxpayer, how taxable income is determined for project vehicles, whether service fees or management charges between entities are appropriately documented, whether VAT registrations are maintained at the correct entity level, and whether financing or profit-sharing arrangements create additional disclosure or compliance requirements.</w:t>
      </w:r>
    </w:p>
    <w:p>
      <w:pPr/>
      <w:r>
        <w:t>Project SPVs often improve ring-fencing of project debt and obligations but can complicate tax compliance because each entity may have distinct contracts, funding arrangements, and supply chains. The group should therefore maintain a legal-entity compliance calendar, separate trial balances, and a mapping of intercompany charges and cost allocations. Where joint ventures exist, the tax function should understand the contractual sharing of development costs, revenues, fees, and tax responsibilities, including who is responsible for invoice issuance, VAT return preparation, and payment of any transaction-based fees.</w:t>
      </w:r>
    </w:p>
    <w:p>
      <w:pPr/>
      <w:r>
        <w:t>From a diligence standpoint, inter-entity tax leakage can arise if service arrangements are informal, management fees are not supported by contracts, or the legal incidence of taxes has been misunderstood in practice. The package accordingly highlights the importance of legal-document alignment, entity-level ledger integrity, and documented governance over tax positions taken within SPVs and JVs.</w:t>
      </w:r>
    </w:p>
    <w:p>
      <w:pPr>
        <w:pStyle w:val="AureliaH1"/>
      </w:pPr>
      <w:r>
        <w:t>7. Deferred Tax Positions</w:t>
      </w:r>
    </w:p>
    <w:p>
      <w:pPr/>
      <w:r>
        <w:t>Deferred tax analysis serves as an important bridge between the company’s accounting policies and its tax profile. Even in periods where current tax liability is limited or newly emerging, deferred taxes may arise from temporary differences between the carrying amounts of assets and liabilities for accounting purposes and their tax bases. For a developer such as Aurelia, common sources include capitalization patterns for development costs, depreciation or amortization differences, provisions that are not yet deductible, and the treatment of financing costs.</w:t>
      </w:r>
    </w:p>
    <w:p>
      <w:pPr/>
      <w:r>
        <w:t>The workbook includes an illustrative deferred tax schedule covering deferred tax assets and liabilities for the three-year period. The analysis assumes temporary differences associated with provisions, financing cost timing, and capitalization differences, as well as a deferred tax asset position where tax losses or deductible temporary differences are supportable. In practice, recognition of deferred tax assets would require management to demonstrate probable future taxable profits against which the deductible differences can be utilized.</w:t>
      </w:r>
    </w:p>
    <w:p>
      <w:pPr/>
      <w:r>
        <w:t>Investors typically review deferred tax not only for the balance sheet amount, but also for what it implies about forecast profitability, tax method consistency, and the risk of future P&amp;L volatility. Accordingly, any deferred tax balance should be supported by detailed schedules, reversals by year where practical, and a reasoned recoverability assessment approved through the group’s financial reporting governance process.</w:t>
      </w:r>
    </w:p>
    <w:p>
      <w:pPr>
        <w:pStyle w:val="AureliaH1"/>
      </w:pPr>
      <w:r>
        <w:t>8. Tax Compliance Procedures</w:t>
      </w:r>
    </w:p>
    <w:p>
      <w:pPr/>
      <w:r>
        <w:t>A mature tax compliance framework for a developer of Aurelia’s scale should include a documented tax calendar, assignment of entity-level responsibilities, standard return preparation workpapers, review controls, and protocols for escalation of uncertain positions. The finance and tax teams should work from a common close timetable to ensure that VAT, future corporate tax, and statutory fee obligations are captured during monthly and quarterly reporting, not only at year-end. Because the historical years in this package largely precede the first current Corporate Tax filing period for a calendar-year taxpayer, management should also maintain a clearly documented implementation file showing registration status, policy elections, transfer-pricing scoping, opening balance sheet assessments, and the methodology used to identify temporary differences that will reverse after the first taxable period begins.</w:t>
      </w:r>
    </w:p>
    <w:p>
      <w:pPr/>
      <w:r>
        <w:t>In an effective framework, return preparation begins with reconciled ledgers and standardized extracts from the ERP or project accounting systems. The preparer documents the tax basis adjustments, attaches support for significant judgments, and updates the return file with relevant contracts, tax invoices, and payment evidence. A reviewer then checks the reasonableness of the position, tests the reconciliation to the ledger, and confirms consistency with prior filings and current law. Material items, unusual transactions, and positions with interpretive complexity are escalated to external tax advisors or senior finance leadership for validation.</w:t>
      </w:r>
    </w:p>
    <w:p>
      <w:pPr/>
      <w:r>
        <w:t>Because development businesses rely heavily on project coding and contractual milestones, tax controls should be embedded upstream in the business process. For example, contract review at signing should confirm VAT treatment and invoicing protocols; procurement controls should require valid tax invoices; treasury should track payment status for refund-support purposes; and project finance teams should provide timely visibility into land transfers, entity restructurings, and new SPV formation so the tax implications are analyzed contemporaneously rather than retrospectively.</w:t>
      </w:r>
    </w:p>
    <w:p>
      <w:pPr>
        <w:pStyle w:val="AureliaH1"/>
      </w:pPr>
      <w:r>
        <w:t>9. Tax Risk Assessment</w:t>
      </w:r>
    </w:p>
    <w:p>
      <w:pPr/>
      <w:r>
        <w:t>The principal tax risks for Aurelia are likely to include: changes in UAE tax law or administrative guidance; VAT treatment errors for mixed-use or staged developments; incomplete or inconsistent support for input VAT claims; timing mismatches between accounting and tax treatment of project costs; under-documented intercompany or shareholder arrangements within SPVs and JVs; and the operational challenge of implementing a newly formalized Corporate Tax framework across multiple development entities from the first applicable taxable period onward. A secondary diligence risk arises if management summaries presented in USD are not clearly reconciled back to statutory AED books and filed returns.</w:t>
      </w:r>
    </w:p>
    <w:p>
      <w:pPr/>
      <w:r>
        <w:t>Cross-border considerations may also arise where international investors, hospitality operators, or offshore holding entities participate in the capital structure or operating model. Even where direct cross-border tax leakage is limited, the diligence team will usually ask whether withholding, treaty, or transfer pricing issues could become relevant if financing flows, service relationships, or profit-sharing mechanics evolve after closing. The tax function should therefore maintain a map of international relationships and confirm whether any additional filing or documentation obligations have been triggered.</w:t>
      </w:r>
    </w:p>
    <w:p>
      <w:pPr/>
      <w:r>
        <w:t>Risk assessment is not solely a technical legal exercise; it is also an operational one. In a project-heavy business, the same statutory rule can be applied correctly in one development and incorrectly in another because of differences in contracts, coding, invoice quality, or handover timing. A buyer will therefore place significant weight on evidence of repeatable controls, management review, exception tracking, and remediation history.</w:t>
      </w:r>
    </w:p>
    <w:p>
      <w:pPr>
        <w:pStyle w:val="AureliaH1"/>
      </w:pPr>
      <w:r>
        <w:t>10. Auditor and Tax Advisor Review</w:t>
      </w:r>
    </w:p>
    <w:p>
      <w:pPr/>
      <w:r>
        <w:t>External auditors and tax advisors typically review the group’s tax positions through complementary lenses. The auditors focus on the adequacy of recorded tax balances, completeness of disclosures, reasonableness of provisions, and consistency of the tax accounting with the underlying standards and the entity’s accounting policies. External tax advisors, by contrast, often assist with interpretation of law, preparation or review of complex returns, benchmarking of uncertain positions, and support for correspondence with the tax authority where necessary.</w:t>
      </w:r>
    </w:p>
    <w:p>
      <w:pPr/>
      <w:r>
        <w:t>For a diligence-ready file, management should be able to provide evidence of both internal and external review. This would include return workpapers, reviewer sign-offs, board or management approvals where material, correspondence with advisors, records of positions taken on significant transactions, and reconciliations from returns to the audited or management financial statements. The overall objective is to demonstrate that tax is governed as a controlled reporting process rather than a year-end compliance exercise.</w:t>
      </w:r>
    </w:p>
    <w:p>
      <w:pPr/>
      <w:r>
        <w:t>In the context of a private equity transaction, the existence of organized review evidence can meaningfully reduce diligence friction. Buyers and lenders are more comfortable where tax files are complete, adjustments are transparent, and management can explain not only the numbers but also the governance process behind them. This package is designed to mirror that expectation by linking the narrative memorandum to structured schedules in the workbook.</w:t>
      </w:r>
    </w:p>
    <w:p>
      <w:pPr>
        <w:pStyle w:val="AureliaH1"/>
      </w:pPr>
      <w:r>
        <w:t>Appendix A. Illustrative Three-Year Tax Position Snapshot</w:t>
      </w:r>
    </w:p>
    <w:p>
      <w:pPr/>
      <w:r>
        <w:t>The supporting workbook should be read together with this memorandum. The workbook provides a compact view of current tax, VAT, real estate transaction charges, deferred tax, tax payments, and risk ratings for the three-year period. The schedules are intended to serve as an organizing framework for diligence discussions, management Q&amp;A, and reconciliation to underlying tax returns, statutory submissions, and general ledger balances.</w:t>
      </w:r>
    </w:p>
    <w:p>
      <w:pPr>
        <w:pStyle w:val="AureliaH2"/>
      </w:pPr>
      <w:r>
        <w:t>Illustrative three-year summary table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2F3"/>
            <w:tcMar>
              <w:top w:w="80" w:type="dxa"/>
              <w:start w:w="90" w:type="dxa"/>
              <w:bottom w:w="80" w:type="dxa"/>
              <w:end w:w="90" w:type="dxa"/>
            </w:tcMar>
          </w:tcPr>
          <w:p>
            <w:r>
              <w:rPr>
                <w:b/>
              </w:rPr>
              <w:t>Metric</w:t>
            </w:r>
          </w:p>
        </w:tc>
        <w:tc>
          <w:tcPr>
            <w:tcW w:type="dxa" w:w="1987"/>
            <w:shd w:fill="D9E2F3"/>
            <w:tcMar>
              <w:top w:w="80" w:type="dxa"/>
              <w:start w:w="90" w:type="dxa"/>
              <w:bottom w:w="80" w:type="dxa"/>
              <w:end w:w="90" w:type="dxa"/>
            </w:tcMar>
          </w:tcPr>
          <w:p>
            <w:r>
              <w:rPr>
                <w:b/>
              </w:rPr>
              <w:t>FY2021</w:t>
            </w:r>
          </w:p>
        </w:tc>
        <w:tc>
          <w:tcPr>
            <w:tcW w:type="dxa" w:w="1987"/>
            <w:shd w:fill="D9E2F3"/>
            <w:tcMar>
              <w:top w:w="80" w:type="dxa"/>
              <w:start w:w="90" w:type="dxa"/>
              <w:bottom w:w="80" w:type="dxa"/>
              <w:end w:w="90" w:type="dxa"/>
            </w:tcMar>
          </w:tcPr>
          <w:p>
            <w:r>
              <w:rPr>
                <w:b/>
              </w:rPr>
              <w:t>FY2022</w:t>
            </w:r>
          </w:p>
        </w:tc>
        <w:tc>
          <w:tcPr>
            <w:tcW w:type="dxa" w:w="1987"/>
            <w:shd w:fill="D9E2F3"/>
            <w:tcMar>
              <w:top w:w="80" w:type="dxa"/>
              <w:start w:w="90" w:type="dxa"/>
              <w:bottom w:w="80" w:type="dxa"/>
              <w:end w:w="90" w:type="dxa"/>
            </w:tcMar>
          </w:tcPr>
          <w:p>
            <w:r>
              <w:rPr>
                <w:b/>
              </w:rPr>
              <w:t>FY2023</w:t>
            </w:r>
          </w:p>
        </w:tc>
        <w:tc>
          <w:tcPr>
            <w:tcW w:type="dxa" w:w="1987"/>
            <w:shd w:fill="D9E2F3"/>
            <w:tcMar>
              <w:top w:w="80" w:type="dxa"/>
              <w:start w:w="90" w:type="dxa"/>
              <w:bottom w:w="80" w:type="dxa"/>
              <w:end w:w="90" w:type="dxa"/>
            </w:tcMar>
          </w:tcPr>
          <w:p>
            <w:r>
              <w:rPr>
                <w:b/>
              </w:rPr>
              <w:t>Comment</w:t>
            </w:r>
          </w:p>
        </w:tc>
      </w:tr>
      <w:tr>
        <w:tc>
          <w:tcPr>
            <w:tcW w:type="dxa" w:w="1987"/>
            <w:tcMar>
              <w:top w:w="80" w:type="dxa"/>
              <w:start w:w="90" w:type="dxa"/>
              <w:bottom w:w="80" w:type="dxa"/>
              <w:end w:w="90" w:type="dxa"/>
            </w:tcMar>
            <w:shd w:fill="F3F6FA"/>
          </w:tcPr>
          <w:p>
            <w:r>
              <w:t>Taxable income (USD m)</w:t>
            </w:r>
          </w:p>
        </w:tc>
        <w:tc>
          <w:tcPr>
            <w:tcW w:type="dxa" w:w="1987"/>
            <w:tcMar>
              <w:top w:w="80" w:type="dxa"/>
              <w:start w:w="90" w:type="dxa"/>
              <w:bottom w:w="80" w:type="dxa"/>
              <w:end w:w="90" w:type="dxa"/>
            </w:tcMar>
          </w:tcPr>
          <w:p>
            <w:pPr>
              <w:jc w:val="right"/>
            </w:pPr>
            <w:r>
              <w:t>18.0</w:t>
            </w:r>
          </w:p>
        </w:tc>
        <w:tc>
          <w:tcPr>
            <w:tcW w:type="dxa" w:w="1987"/>
            <w:tcMar>
              <w:top w:w="80" w:type="dxa"/>
              <w:start w:w="90" w:type="dxa"/>
              <w:bottom w:w="80" w:type="dxa"/>
              <w:end w:w="90" w:type="dxa"/>
            </w:tcMar>
          </w:tcPr>
          <w:p>
            <w:pPr>
              <w:jc w:val="right"/>
            </w:pPr>
            <w:r>
              <w:t>42.5</w:t>
            </w:r>
          </w:p>
        </w:tc>
        <w:tc>
          <w:tcPr>
            <w:tcW w:type="dxa" w:w="1987"/>
            <w:tcMar>
              <w:top w:w="80" w:type="dxa"/>
              <w:start w:w="90" w:type="dxa"/>
              <w:bottom w:w="80" w:type="dxa"/>
              <w:end w:w="90" w:type="dxa"/>
            </w:tcMar>
          </w:tcPr>
          <w:p>
            <w:pPr>
              <w:jc w:val="right"/>
            </w:pPr>
            <w:r>
              <w:t>96.0</w:t>
            </w:r>
          </w:p>
        </w:tc>
        <w:tc>
          <w:tcPr>
            <w:tcW w:type="dxa" w:w="1987"/>
            <w:tcMar>
              <w:top w:w="80" w:type="dxa"/>
              <w:start w:w="90" w:type="dxa"/>
              <w:bottom w:w="80" w:type="dxa"/>
              <w:end w:w="90" w:type="dxa"/>
            </w:tcMar>
          </w:tcPr>
          <w:p>
            <w:r>
              <w:t>Illustrative bridge after book-to-tax adjustments</w:t>
            </w:r>
          </w:p>
        </w:tc>
      </w:tr>
      <w:tr>
        <w:tc>
          <w:tcPr>
            <w:tcW w:type="dxa" w:w="1987"/>
            <w:tcMar>
              <w:top w:w="80" w:type="dxa"/>
              <w:start w:w="90" w:type="dxa"/>
              <w:bottom w:w="80" w:type="dxa"/>
              <w:end w:w="90" w:type="dxa"/>
            </w:tcMar>
            <w:shd w:fill="F3F6FA"/>
          </w:tcPr>
          <w:p>
            <w:r>
              <w:t>Current corporate tax payable (USD m)</w:t>
            </w:r>
          </w:p>
        </w:tc>
        <w:tc>
          <w:tcPr>
            <w:tcW w:type="dxa" w:w="1987"/>
            <w:tcMar>
              <w:top w:w="80" w:type="dxa"/>
              <w:start w:w="90" w:type="dxa"/>
              <w:bottom w:w="80" w:type="dxa"/>
              <w:end w:w="90" w:type="dxa"/>
            </w:tcMar>
          </w:tcPr>
          <w:p>
            <w:pPr>
              <w:jc w:val="right"/>
            </w:pPr>
            <w:r>
              <w:t>-</w:t>
            </w:r>
          </w:p>
        </w:tc>
        <w:tc>
          <w:tcPr>
            <w:tcW w:type="dxa" w:w="1987"/>
            <w:tcMar>
              <w:top w:w="80" w:type="dxa"/>
              <w:start w:w="90" w:type="dxa"/>
              <w:bottom w:w="80" w:type="dxa"/>
              <w:end w:w="90" w:type="dxa"/>
            </w:tcMar>
          </w:tcPr>
          <w:p>
            <w:pPr>
              <w:jc w:val="right"/>
            </w:pPr>
            <w:r>
              <w:t>-</w:t>
            </w:r>
          </w:p>
        </w:tc>
        <w:tc>
          <w:tcPr>
            <w:tcW w:type="dxa" w:w="1987"/>
            <w:tcMar>
              <w:top w:w="80" w:type="dxa"/>
              <w:start w:w="90" w:type="dxa"/>
              <w:bottom w:w="80" w:type="dxa"/>
              <w:end w:w="90" w:type="dxa"/>
            </w:tcMar>
          </w:tcPr>
          <w:p>
            <w:pPr>
              <w:jc w:val="right"/>
            </w:pPr>
            <w:r>
              <w:t>8.6</w:t>
            </w:r>
          </w:p>
        </w:tc>
        <w:tc>
          <w:tcPr>
            <w:tcW w:type="dxa" w:w="1987"/>
            <w:tcMar>
              <w:top w:w="80" w:type="dxa"/>
              <w:start w:w="90" w:type="dxa"/>
              <w:bottom w:w="80" w:type="dxa"/>
              <w:end w:w="90" w:type="dxa"/>
            </w:tcMar>
          </w:tcPr>
          <w:p>
            <w:r>
              <w:t>Corporate tax becomes operational in later period</w:t>
            </w:r>
          </w:p>
        </w:tc>
      </w:tr>
      <w:tr>
        <w:tc>
          <w:tcPr>
            <w:tcW w:type="dxa" w:w="1987"/>
            <w:tcMar>
              <w:top w:w="80" w:type="dxa"/>
              <w:start w:w="90" w:type="dxa"/>
              <w:bottom w:w="80" w:type="dxa"/>
              <w:end w:w="90" w:type="dxa"/>
            </w:tcMar>
            <w:shd w:fill="F3F6FA"/>
          </w:tcPr>
          <w:p>
            <w:r>
              <w:t>Net VAT payable/(refund) (USD m)</w:t>
            </w:r>
          </w:p>
        </w:tc>
        <w:tc>
          <w:tcPr>
            <w:tcW w:type="dxa" w:w="1987"/>
            <w:tcMar>
              <w:top w:w="80" w:type="dxa"/>
              <w:start w:w="90" w:type="dxa"/>
              <w:bottom w:w="80" w:type="dxa"/>
              <w:end w:w="90" w:type="dxa"/>
            </w:tcMar>
          </w:tcPr>
          <w:p>
            <w:pPr>
              <w:jc w:val="right"/>
            </w:pPr>
            <w:r>
              <w:t>(6.4)</w:t>
            </w:r>
          </w:p>
        </w:tc>
        <w:tc>
          <w:tcPr>
            <w:tcW w:type="dxa" w:w="1987"/>
            <w:tcMar>
              <w:top w:w="80" w:type="dxa"/>
              <w:start w:w="90" w:type="dxa"/>
              <w:bottom w:w="80" w:type="dxa"/>
              <w:end w:w="90" w:type="dxa"/>
            </w:tcMar>
          </w:tcPr>
          <w:p>
            <w:pPr>
              <w:jc w:val="right"/>
            </w:pPr>
            <w:r>
              <w:t>(2.1)</w:t>
            </w:r>
          </w:p>
        </w:tc>
        <w:tc>
          <w:tcPr>
            <w:tcW w:type="dxa" w:w="1987"/>
            <w:tcMar>
              <w:top w:w="80" w:type="dxa"/>
              <w:start w:w="90" w:type="dxa"/>
              <w:bottom w:w="80" w:type="dxa"/>
              <w:end w:w="90" w:type="dxa"/>
            </w:tcMar>
          </w:tcPr>
          <w:p>
            <w:pPr>
              <w:jc w:val="right"/>
            </w:pPr>
            <w:r>
              <w:t>4.8</w:t>
            </w:r>
          </w:p>
        </w:tc>
        <w:tc>
          <w:tcPr>
            <w:tcW w:type="dxa" w:w="1987"/>
            <w:tcMar>
              <w:top w:w="80" w:type="dxa"/>
              <w:start w:w="90" w:type="dxa"/>
              <w:bottom w:w="80" w:type="dxa"/>
              <w:end w:w="90" w:type="dxa"/>
            </w:tcMar>
          </w:tcPr>
          <w:p>
            <w:r>
              <w:t>Shifts with project stage and handovers</w:t>
            </w:r>
          </w:p>
        </w:tc>
      </w:tr>
      <w:tr>
        <w:tc>
          <w:tcPr>
            <w:tcW w:type="dxa" w:w="1987"/>
            <w:tcMar>
              <w:top w:w="80" w:type="dxa"/>
              <w:start w:w="90" w:type="dxa"/>
              <w:bottom w:w="80" w:type="dxa"/>
              <w:end w:w="90" w:type="dxa"/>
            </w:tcMar>
            <w:shd w:fill="F3F6FA"/>
          </w:tcPr>
          <w:p>
            <w:r>
              <w:t>Real-estate transfer &amp; registration fees (USD m)</w:t>
            </w:r>
          </w:p>
        </w:tc>
        <w:tc>
          <w:tcPr>
            <w:tcW w:type="dxa" w:w="1987"/>
            <w:tcMar>
              <w:top w:w="80" w:type="dxa"/>
              <w:start w:w="90" w:type="dxa"/>
              <w:bottom w:w="80" w:type="dxa"/>
              <w:end w:w="90" w:type="dxa"/>
            </w:tcMar>
          </w:tcPr>
          <w:p>
            <w:pPr>
              <w:jc w:val="right"/>
            </w:pPr>
            <w:r>
              <w:t>21.7</w:t>
            </w:r>
          </w:p>
        </w:tc>
        <w:tc>
          <w:tcPr>
            <w:tcW w:type="dxa" w:w="1987"/>
            <w:tcMar>
              <w:top w:w="80" w:type="dxa"/>
              <w:start w:w="90" w:type="dxa"/>
              <w:bottom w:w="80" w:type="dxa"/>
              <w:end w:w="90" w:type="dxa"/>
            </w:tcMar>
          </w:tcPr>
          <w:p>
            <w:pPr>
              <w:jc w:val="right"/>
            </w:pPr>
            <w:r>
              <w:t>26.9</w:t>
            </w:r>
          </w:p>
        </w:tc>
        <w:tc>
          <w:tcPr>
            <w:tcW w:type="dxa" w:w="1987"/>
            <w:tcMar>
              <w:top w:w="80" w:type="dxa"/>
              <w:start w:w="90" w:type="dxa"/>
              <w:bottom w:w="80" w:type="dxa"/>
              <w:end w:w="90" w:type="dxa"/>
            </w:tcMar>
          </w:tcPr>
          <w:p>
            <w:pPr>
              <w:jc w:val="right"/>
            </w:pPr>
            <w:r>
              <w:t>34.3</w:t>
            </w:r>
          </w:p>
        </w:tc>
        <w:tc>
          <w:tcPr>
            <w:tcW w:type="dxa" w:w="1987"/>
            <w:tcMar>
              <w:top w:w="80" w:type="dxa"/>
              <w:start w:w="90" w:type="dxa"/>
              <w:bottom w:w="80" w:type="dxa"/>
              <w:end w:w="90" w:type="dxa"/>
            </w:tcMar>
          </w:tcPr>
          <w:p>
            <w:r>
              <w:t>Primarily land and project registration activity</w:t>
            </w:r>
          </w:p>
        </w:tc>
      </w:tr>
      <w:tr>
        <w:tc>
          <w:tcPr>
            <w:tcW w:type="dxa" w:w="1987"/>
            <w:tcMar>
              <w:top w:w="80" w:type="dxa"/>
              <w:start w:w="90" w:type="dxa"/>
              <w:bottom w:w="80" w:type="dxa"/>
              <w:end w:w="90" w:type="dxa"/>
            </w:tcMar>
            <w:shd w:fill="F3F6FA"/>
          </w:tcPr>
          <w:p>
            <w:r>
              <w:t>Deferred tax net position (USD m)</w:t>
            </w:r>
          </w:p>
        </w:tc>
        <w:tc>
          <w:tcPr>
            <w:tcW w:type="dxa" w:w="1987"/>
            <w:tcMar>
              <w:top w:w="80" w:type="dxa"/>
              <w:start w:w="90" w:type="dxa"/>
              <w:bottom w:w="80" w:type="dxa"/>
              <w:end w:w="90" w:type="dxa"/>
            </w:tcMar>
          </w:tcPr>
          <w:p>
            <w:pPr>
              <w:jc w:val="right"/>
            </w:pPr>
            <w:r>
              <w:t>1.4</w:t>
            </w:r>
          </w:p>
        </w:tc>
        <w:tc>
          <w:tcPr>
            <w:tcW w:type="dxa" w:w="1987"/>
            <w:tcMar>
              <w:top w:w="80" w:type="dxa"/>
              <w:start w:w="90" w:type="dxa"/>
              <w:bottom w:w="80" w:type="dxa"/>
              <w:end w:w="90" w:type="dxa"/>
            </w:tcMar>
          </w:tcPr>
          <w:p>
            <w:pPr>
              <w:jc w:val="right"/>
            </w:pPr>
            <w:r>
              <w:t>3.1</w:t>
            </w:r>
          </w:p>
        </w:tc>
        <w:tc>
          <w:tcPr>
            <w:tcW w:type="dxa" w:w="1987"/>
            <w:tcMar>
              <w:top w:w="80" w:type="dxa"/>
              <w:start w:w="90" w:type="dxa"/>
              <w:bottom w:w="80" w:type="dxa"/>
              <w:end w:w="90" w:type="dxa"/>
            </w:tcMar>
          </w:tcPr>
          <w:p>
            <w:pPr>
              <w:jc w:val="right"/>
            </w:pPr>
            <w:r>
              <w:t>5.6</w:t>
            </w:r>
          </w:p>
        </w:tc>
        <w:tc>
          <w:tcPr>
            <w:tcW w:type="dxa" w:w="1987"/>
            <w:tcMar>
              <w:top w:w="80" w:type="dxa"/>
              <w:start w:w="90" w:type="dxa"/>
              <w:bottom w:w="80" w:type="dxa"/>
              <w:end w:w="90" w:type="dxa"/>
            </w:tcMar>
          </w:tcPr>
          <w:p>
            <w:r>
              <w:t>Illustrative temporary differences</w:t>
            </w:r>
          </w:p>
        </w:tc>
      </w:tr>
    </w:tbl>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7"/>
      </w:rPr>
      <w:t>Aurelia Developments LLC | Tax Compliance Documentation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reliaTitle">
    <w:name w:val="Aurelia Title"/>
    <w:pPr>
      <w:spacing w:before="0" w:after="100"/>
    </w:pPr>
    <w:rPr>
      <w:rFonts w:ascii="Aptos" w:hAnsi="Aptos"/>
      <w:b/>
      <w:color w:val="1F4E79"/>
      <w:sz w:val="36"/>
    </w:rPr>
  </w:style>
  <w:style w:type="paragraph" w:customStyle="1" w:styleId="AureliaSubtitle">
    <w:name w:val="Aurelia Subtitle"/>
    <w:pPr>
      <w:spacing w:before="0" w:after="100"/>
    </w:pPr>
    <w:rPr>
      <w:rFonts w:ascii="Aptos" w:hAnsi="Aptos"/>
      <w:b w:val="0"/>
      <w:color w:val="666666"/>
      <w:sz w:val="20"/>
    </w:rPr>
  </w:style>
  <w:style w:type="paragraph" w:customStyle="1" w:styleId="AureliaH1">
    <w:name w:val="Aurelia H1"/>
    <w:pPr>
      <w:spacing w:before="160" w:after="100"/>
    </w:pPr>
    <w:rPr>
      <w:rFonts w:ascii="Aptos" w:hAnsi="Aptos"/>
      <w:b/>
      <w:color w:val="1F4E79"/>
      <w:sz w:val="28"/>
    </w:rPr>
  </w:style>
  <w:style w:type="paragraph" w:customStyle="1" w:styleId="AureliaH2">
    <w:name w:val="Aurelia H2"/>
    <w:pPr>
      <w:spacing w:before="160" w:after="100"/>
    </w:pPr>
    <w:rPr>
      <w:rFonts w:ascii="Aptos" w:hAnsi="Aptos"/>
      <w:b/>
      <w:color w:val="2F2F2F"/>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