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Government Grants and Non-Dilutive Funding</w:t>
      </w:r>
    </w:p>
    <w:p>
      <w:pPr>
        <w:jc w:val="center"/>
      </w:pPr>
      <w:r>
        <w:rPr>
          <w:i/>
          <w:sz w:val="22"/>
        </w:rPr>
        <w:t>Aurelia Developments LLC</w:t>
        <w:br/>
        <w:t>FY2021–FY2023 | All amounts in USD</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1F4E79"/>
          </w:tcPr>
          <w:p>
            <w:r>
              <w:rPr>
                <w:b/>
                <w:color w:val="FFFFFF"/>
                <w:sz w:val="19"/>
              </w:rPr>
              <w:t>Headquarters</w:t>
            </w:r>
          </w:p>
        </w:tc>
        <w:tc>
          <w:tcPr>
            <w:tcW w:type="dxa" w:w="2484"/>
            <w:vAlign w:val="center"/>
            <w:shd w:fill="D9EAF7"/>
          </w:tcPr>
          <w:p>
            <w:r>
              <w:rPr>
                <w:sz w:val="19"/>
              </w:rPr>
              <w:t>Dubai, UAE</w:t>
            </w:r>
          </w:p>
        </w:tc>
        <w:tc>
          <w:tcPr>
            <w:tcW w:type="dxa" w:w="2484"/>
            <w:vAlign w:val="center"/>
            <w:shd w:fill="1F4E79"/>
          </w:tcPr>
          <w:p>
            <w:r>
              <w:rPr>
                <w:b/>
                <w:color w:val="FFFFFF"/>
                <w:sz w:val="19"/>
              </w:rPr>
              <w:t>Industry</w:t>
            </w:r>
          </w:p>
        </w:tc>
        <w:tc>
          <w:tcPr>
            <w:tcW w:type="dxa" w:w="2484"/>
            <w:vAlign w:val="center"/>
            <w:shd w:fill="D9EAF7"/>
          </w:tcPr>
          <w:p>
            <w:r>
              <w:rPr>
                <w:sz w:val="19"/>
              </w:rPr>
              <w:t>Luxury real estate development</w:t>
            </w:r>
          </w:p>
        </w:tc>
      </w:tr>
      <w:tr>
        <w:tc>
          <w:tcPr>
            <w:tcW w:type="dxa" w:w="2484"/>
            <w:vAlign w:val="center"/>
            <w:shd w:fill="1F4E79"/>
          </w:tcPr>
          <w:p>
            <w:r>
              <w:rPr>
                <w:b/>
                <w:color w:val="FFFFFF"/>
                <w:sz w:val="19"/>
              </w:rPr>
              <w:t>Review period</w:t>
            </w:r>
          </w:p>
        </w:tc>
        <w:tc>
          <w:tcPr>
            <w:tcW w:type="dxa" w:w="2484"/>
            <w:vAlign w:val="center"/>
            <w:shd w:fill="D9EAF7"/>
          </w:tcPr>
          <w:p>
            <w:r>
              <w:rPr>
                <w:sz w:val="19"/>
              </w:rPr>
              <w:t>FY2021–FY2023</w:t>
            </w:r>
          </w:p>
        </w:tc>
        <w:tc>
          <w:tcPr>
            <w:tcW w:type="dxa" w:w="2484"/>
            <w:vAlign w:val="center"/>
            <w:shd w:fill="1F4E79"/>
          </w:tcPr>
          <w:p>
            <w:r>
              <w:rPr>
                <w:b/>
                <w:color w:val="FFFFFF"/>
                <w:sz w:val="19"/>
              </w:rPr>
              <w:t>Currency</w:t>
            </w:r>
          </w:p>
        </w:tc>
        <w:tc>
          <w:tcPr>
            <w:tcW w:type="dxa" w:w="2484"/>
            <w:vAlign w:val="center"/>
            <w:shd w:fill="D9EAF7"/>
          </w:tcPr>
          <w:p>
            <w:r>
              <w:rPr>
                <w:sz w:val="19"/>
              </w:rPr>
              <w:t>USD presentation</w:t>
            </w:r>
          </w:p>
        </w:tc>
      </w:tr>
      <w:tr>
        <w:tc>
          <w:tcPr>
            <w:tcW w:type="dxa" w:w="2484"/>
            <w:vAlign w:val="center"/>
            <w:shd w:fill="1F4E79"/>
          </w:tcPr>
          <w:p>
            <w:r>
              <w:rPr>
                <w:b/>
                <w:color w:val="FFFFFF"/>
                <w:sz w:val="19"/>
              </w:rPr>
              <w:t>Total incentives received</w:t>
            </w:r>
          </w:p>
        </w:tc>
        <w:tc>
          <w:tcPr>
            <w:tcW w:type="dxa" w:w="2484"/>
            <w:vAlign w:val="center"/>
            <w:shd w:fill="D9EAF7"/>
          </w:tcPr>
          <w:p>
            <w:r>
              <w:rPr>
                <w:sz w:val="19"/>
              </w:rPr>
              <w:t>$93.0 million</w:t>
            </w:r>
          </w:p>
        </w:tc>
        <w:tc>
          <w:tcPr>
            <w:tcW w:type="dxa" w:w="2484"/>
            <w:vAlign w:val="center"/>
            <w:shd w:fill="1F4E79"/>
          </w:tcPr>
          <w:p>
            <w:r>
              <w:rPr>
                <w:b/>
                <w:color w:val="FFFFFF"/>
                <w:sz w:val="19"/>
              </w:rPr>
              <w:t>Projects covered</w:t>
            </w:r>
          </w:p>
        </w:tc>
        <w:tc>
          <w:tcPr>
            <w:tcW w:type="dxa" w:w="2484"/>
            <w:vAlign w:val="center"/>
            <w:shd w:fill="D9EAF7"/>
          </w:tcPr>
          <w:p>
            <w:r>
              <w:rPr>
                <w:sz w:val="19"/>
              </w:rPr>
              <w:t>6 major developments</w:t>
            </w:r>
          </w:p>
        </w:tc>
      </w:tr>
      <w:tr>
        <w:tc>
          <w:tcPr>
            <w:tcW w:type="dxa" w:w="2484"/>
            <w:vAlign w:val="center"/>
            <w:shd w:fill="1F4E79"/>
          </w:tcPr>
          <w:p>
            <w:r>
              <w:rPr>
                <w:b/>
                <w:color w:val="FFFFFF"/>
                <w:sz w:val="19"/>
              </w:rPr>
              <w:t>Primary themes</w:t>
            </w:r>
          </w:p>
        </w:tc>
        <w:tc>
          <w:tcPr>
            <w:tcW w:type="dxa" w:w="2484"/>
            <w:vAlign w:val="center"/>
            <w:shd w:fill="D9EAF7"/>
          </w:tcPr>
          <w:p>
            <w:r>
              <w:rPr>
                <w:sz w:val="19"/>
              </w:rPr>
              <w:t>Infrastructure, sustainability, tourism, smart-city support</w:t>
            </w:r>
          </w:p>
        </w:tc>
        <w:tc>
          <w:tcPr>
            <w:tcW w:type="dxa" w:w="2484"/>
            <w:vAlign w:val="center"/>
            <w:shd w:fill="1F4E79"/>
          </w:tcPr>
          <w:p>
            <w:r>
              <w:rPr>
                <w:b/>
                <w:color w:val="FFFFFF"/>
                <w:sz w:val="19"/>
              </w:rPr>
              <w:t>Prepared for</w:t>
            </w:r>
          </w:p>
        </w:tc>
        <w:tc>
          <w:tcPr>
            <w:tcW w:type="dxa" w:w="2484"/>
            <w:vAlign w:val="center"/>
            <w:shd w:fill="D9EAF7"/>
          </w:tcPr>
          <w:p>
            <w:r>
              <w:rPr>
                <w:sz w:val="19"/>
              </w:rPr>
              <w:t>PE diligence / audit / lender review</w:t>
            </w:r>
          </w:p>
        </w:tc>
      </w:tr>
    </w:tbl>
    <w:p/>
    <w:p>
      <w:pPr>
        <w:pStyle w:val="Heading1"/>
      </w:pPr>
      <w:r>
        <w:t>1. Executive Summary</w:t>
      </w:r>
    </w:p>
    <w:p>
      <w:r>
        <w:t>This memorandum summarizes the government grants, subsidies, tax incentives, fee waivers, infrastructure reimbursements, and other non-dilutive support received by Aurelia Developments LLC during FY2021 through FY2023. The company has historically used public-sector incentive programs to offset district infrastructure contributions, accelerate sustainability-related capex, support smart-building deployment, and partially reimburse public-realm works connected with mixed-use and hospitality-oriented developments.</w:t>
      </w:r>
    </w:p>
    <w:p>
      <w:r>
        <w:t>During the review period, Aurelia Developments received or realized approximately $93.0 million of total non-dilutive support on a cash or economic-benefit basis. These benefits were concentrated in four categories: infrastructure development reimbursements, green-building and sustainability incentives, tourism-linked support for branded residence and hospitality projects, and innovation / smart-city subsidies tied to digital building systems. In addition, the company benefited from administrative fee waivers and staged municipal concessions that reduced total project cash outflows.</w:t>
      </w:r>
    </w:p>
    <w:p>
      <w:r>
        <w:t>From a private equity diligence perspective, these arrangements are relevant because they improve project-level gross margins, reduce peak funding requirements, and affect historical comparability of development costs and EBITDA. They also carry compliance conditions—such as milestone completion, sustainability certification, use-of-funds restrictions, and periodic reporting obligations—that could result in delayed disbursement, forfeiture, or clawback if not satisfied. Based on the documents summarized in this package, Aurelia’s compliance posture appears broadly satisfactory, with no material clawback events identified during the review period.</w:t>
      </w:r>
    </w:p>
    <w:p>
      <w:pPr>
        <w:pStyle w:val="Heading2"/>
      </w:pPr>
      <w:r>
        <w:t>Summary of major programs</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1F4E79"/>
          </w:tcPr>
          <w:p>
            <w:r>
              <w:rPr>
                <w:b/>
                <w:color w:val="FFFFFF"/>
                <w:sz w:val="18"/>
              </w:rPr>
              <w:t>Program</w:t>
            </w:r>
          </w:p>
        </w:tc>
        <w:tc>
          <w:tcPr>
            <w:tcW w:type="dxa" w:w="1656"/>
            <w:shd w:fill="1F4E79"/>
          </w:tcPr>
          <w:p>
            <w:r>
              <w:rPr>
                <w:b/>
                <w:color w:val="FFFFFF"/>
                <w:sz w:val="18"/>
              </w:rPr>
              <w:t>Authority</w:t>
            </w:r>
          </w:p>
        </w:tc>
        <w:tc>
          <w:tcPr>
            <w:tcW w:type="dxa" w:w="1656"/>
            <w:shd w:fill="1F4E79"/>
          </w:tcPr>
          <w:p>
            <w:r>
              <w:rPr>
                <w:b/>
                <w:color w:val="FFFFFF"/>
                <w:sz w:val="18"/>
              </w:rPr>
              <w:t>Project / Purpose</w:t>
            </w:r>
          </w:p>
        </w:tc>
        <w:tc>
          <w:tcPr>
            <w:tcW w:type="dxa" w:w="1656"/>
            <w:shd w:fill="1F4E79"/>
          </w:tcPr>
          <w:p>
            <w:r>
              <w:rPr>
                <w:b/>
                <w:color w:val="FFFFFF"/>
                <w:sz w:val="18"/>
              </w:rPr>
              <w:t>Approved (USD)</w:t>
            </w:r>
          </w:p>
        </w:tc>
        <w:tc>
          <w:tcPr>
            <w:tcW w:type="dxa" w:w="1656"/>
            <w:shd w:fill="1F4E79"/>
          </w:tcPr>
          <w:p>
            <w:r>
              <w:rPr>
                <w:b/>
                <w:color w:val="FFFFFF"/>
                <w:sz w:val="18"/>
              </w:rPr>
              <w:t>Received / Realized (USD)</w:t>
            </w:r>
          </w:p>
        </w:tc>
        <w:tc>
          <w:tcPr>
            <w:tcW w:type="dxa" w:w="1656"/>
            <w:shd w:fill="1F4E79"/>
          </w:tcPr>
          <w:p>
            <w:r>
              <w:rPr>
                <w:b/>
                <w:color w:val="FFFFFF"/>
                <w:sz w:val="18"/>
              </w:rPr>
              <w:t>Status</w:t>
            </w:r>
          </w:p>
        </w:tc>
      </w:tr>
      <w:tr>
        <w:tc>
          <w:tcPr>
            <w:tcW w:type="dxa" w:w="1656"/>
          </w:tcPr>
          <w:p>
            <w:r>
              <w:rPr>
                <w:sz w:val="17"/>
              </w:rPr>
              <w:t>Urban Infrastructure Cost Reimbursement Program</w:t>
            </w:r>
          </w:p>
        </w:tc>
        <w:tc>
          <w:tcPr>
            <w:tcW w:type="dxa" w:w="1656"/>
          </w:tcPr>
          <w:p>
            <w:r>
              <w:rPr>
                <w:sz w:val="17"/>
              </w:rPr>
              <w:t>Dubai Development Authority</w:t>
            </w:r>
          </w:p>
        </w:tc>
        <w:tc>
          <w:tcPr>
            <w:tcW w:type="dxa" w:w="1656"/>
          </w:tcPr>
          <w:p>
            <w:r>
              <w:rPr>
                <w:sz w:val="17"/>
              </w:rPr>
              <w:t>Marina Residences Tower public realm and road interface</w:t>
            </w:r>
          </w:p>
        </w:tc>
        <w:tc>
          <w:tcPr>
            <w:tcW w:type="dxa" w:w="1656"/>
          </w:tcPr>
          <w:p>
            <w:r>
              <w:rPr>
                <w:sz w:val="17"/>
              </w:rPr>
              <w:t>28,000,000</w:t>
            </w:r>
          </w:p>
        </w:tc>
        <w:tc>
          <w:tcPr>
            <w:tcW w:type="dxa" w:w="1656"/>
          </w:tcPr>
          <w:p>
            <w:r>
              <w:rPr>
                <w:sz w:val="17"/>
              </w:rPr>
              <w:t>24,000,000</w:t>
            </w:r>
          </w:p>
        </w:tc>
        <w:tc>
          <w:tcPr>
            <w:tcW w:type="dxa" w:w="1656"/>
          </w:tcPr>
          <w:p>
            <w:r>
              <w:rPr>
                <w:sz w:val="17"/>
              </w:rPr>
              <w:t>Substantially complete</w:t>
            </w:r>
          </w:p>
        </w:tc>
      </w:tr>
      <w:tr>
        <w:tc>
          <w:tcPr>
            <w:tcW w:type="dxa" w:w="1656"/>
          </w:tcPr>
          <w:p>
            <w:r>
              <w:rPr>
                <w:sz w:val="17"/>
              </w:rPr>
              <w:t>Dubai Green Building Incentive</w:t>
            </w:r>
          </w:p>
        </w:tc>
        <w:tc>
          <w:tcPr>
            <w:tcW w:type="dxa" w:w="1656"/>
          </w:tcPr>
          <w:p>
            <w:r>
              <w:rPr>
                <w:sz w:val="17"/>
              </w:rPr>
              <w:t>Dubai Municipality / sustainability office</w:t>
            </w:r>
          </w:p>
        </w:tc>
        <w:tc>
          <w:tcPr>
            <w:tcW w:type="dxa" w:w="1656"/>
          </w:tcPr>
          <w:p>
            <w:r>
              <w:rPr>
                <w:sz w:val="17"/>
              </w:rPr>
              <w:t>Palm Waterfront Villas and Creekside Apartments</w:t>
            </w:r>
          </w:p>
        </w:tc>
        <w:tc>
          <w:tcPr>
            <w:tcW w:type="dxa" w:w="1656"/>
          </w:tcPr>
          <w:p>
            <w:r>
              <w:rPr>
                <w:sz w:val="17"/>
              </w:rPr>
              <w:t>14,500,000</w:t>
            </w:r>
          </w:p>
        </w:tc>
        <w:tc>
          <w:tcPr>
            <w:tcW w:type="dxa" w:w="1656"/>
          </w:tcPr>
          <w:p>
            <w:r>
              <w:rPr>
                <w:sz w:val="17"/>
              </w:rPr>
              <w:t>12,000,000</w:t>
            </w:r>
          </w:p>
        </w:tc>
        <w:tc>
          <w:tcPr>
            <w:tcW w:type="dxa" w:w="1656"/>
          </w:tcPr>
          <w:p>
            <w:r>
              <w:rPr>
                <w:sz w:val="17"/>
              </w:rPr>
              <w:t>Active, milestone-based</w:t>
            </w:r>
          </w:p>
        </w:tc>
      </w:tr>
      <w:tr>
        <w:tc>
          <w:tcPr>
            <w:tcW w:type="dxa" w:w="1656"/>
          </w:tcPr>
          <w:p>
            <w:r>
              <w:rPr>
                <w:sz w:val="17"/>
              </w:rPr>
              <w:t>Tourism-Linked Destination Enhancement Support</w:t>
            </w:r>
          </w:p>
        </w:tc>
        <w:tc>
          <w:tcPr>
            <w:tcW w:type="dxa" w:w="1656"/>
          </w:tcPr>
          <w:p>
            <w:r>
              <w:rPr>
                <w:sz w:val="17"/>
              </w:rPr>
              <w:t>DET / tourism authority</w:t>
            </w:r>
          </w:p>
        </w:tc>
        <w:tc>
          <w:tcPr>
            <w:tcW w:type="dxa" w:w="1656"/>
          </w:tcPr>
          <w:p>
            <w:r>
              <w:rPr>
                <w:sz w:val="17"/>
              </w:rPr>
              <w:t>Downtown Branded Residences hospitality integration</w:t>
            </w:r>
          </w:p>
        </w:tc>
        <w:tc>
          <w:tcPr>
            <w:tcW w:type="dxa" w:w="1656"/>
          </w:tcPr>
          <w:p>
            <w:r>
              <w:rPr>
                <w:sz w:val="17"/>
              </w:rPr>
              <w:t>19,000,000</w:t>
            </w:r>
          </w:p>
        </w:tc>
        <w:tc>
          <w:tcPr>
            <w:tcW w:type="dxa" w:w="1656"/>
          </w:tcPr>
          <w:p>
            <w:r>
              <w:rPr>
                <w:sz w:val="17"/>
              </w:rPr>
              <w:t>17,500,000</w:t>
            </w:r>
          </w:p>
        </w:tc>
        <w:tc>
          <w:tcPr>
            <w:tcW w:type="dxa" w:w="1656"/>
          </w:tcPr>
          <w:p>
            <w:r>
              <w:rPr>
                <w:sz w:val="17"/>
              </w:rPr>
              <w:t>Active, compliance confirmed</w:t>
            </w:r>
          </w:p>
        </w:tc>
      </w:tr>
      <w:tr>
        <w:tc>
          <w:tcPr>
            <w:tcW w:type="dxa" w:w="1656"/>
          </w:tcPr>
          <w:p>
            <w:r>
              <w:rPr>
                <w:sz w:val="17"/>
              </w:rPr>
              <w:t>Smart City PropTech Enablement Subsidy</w:t>
            </w:r>
          </w:p>
        </w:tc>
        <w:tc>
          <w:tcPr>
            <w:tcW w:type="dxa" w:w="1656"/>
          </w:tcPr>
          <w:p>
            <w:r>
              <w:rPr>
                <w:sz w:val="17"/>
              </w:rPr>
              <w:t>Digital Dubai / smart-city program</w:t>
            </w:r>
          </w:p>
        </w:tc>
        <w:tc>
          <w:tcPr>
            <w:tcW w:type="dxa" w:w="1656"/>
          </w:tcPr>
          <w:p>
            <w:r>
              <w:rPr>
                <w:sz w:val="17"/>
              </w:rPr>
              <w:t>Building systems, smart metering, resident app stack</w:t>
            </w:r>
          </w:p>
        </w:tc>
        <w:tc>
          <w:tcPr>
            <w:tcW w:type="dxa" w:w="1656"/>
          </w:tcPr>
          <w:p>
            <w:r>
              <w:rPr>
                <w:sz w:val="17"/>
              </w:rPr>
              <w:t>9,000,000</w:t>
            </w:r>
          </w:p>
        </w:tc>
        <w:tc>
          <w:tcPr>
            <w:tcW w:type="dxa" w:w="1656"/>
          </w:tcPr>
          <w:p>
            <w:r>
              <w:rPr>
                <w:sz w:val="17"/>
              </w:rPr>
              <w:t>8,000,000</w:t>
            </w:r>
          </w:p>
        </w:tc>
        <w:tc>
          <w:tcPr>
            <w:tcW w:type="dxa" w:w="1656"/>
          </w:tcPr>
          <w:p>
            <w:r>
              <w:rPr>
                <w:sz w:val="17"/>
              </w:rPr>
              <w:t>Completed</w:t>
            </w:r>
          </w:p>
        </w:tc>
      </w:tr>
      <w:tr>
        <w:tc>
          <w:tcPr>
            <w:tcW w:type="dxa" w:w="1656"/>
          </w:tcPr>
          <w:p>
            <w:r>
              <w:rPr>
                <w:sz w:val="17"/>
              </w:rPr>
              <w:t>Utility Connection and District Cooling Rebate</w:t>
            </w:r>
          </w:p>
        </w:tc>
        <w:tc>
          <w:tcPr>
            <w:tcW w:type="dxa" w:w="1656"/>
          </w:tcPr>
          <w:p>
            <w:r>
              <w:rPr>
                <w:sz w:val="17"/>
              </w:rPr>
              <w:t>Utility-related authority support</w:t>
            </w:r>
          </w:p>
        </w:tc>
        <w:tc>
          <w:tcPr>
            <w:tcW w:type="dxa" w:w="1656"/>
          </w:tcPr>
          <w:p>
            <w:r>
              <w:rPr>
                <w:sz w:val="17"/>
              </w:rPr>
              <w:t>Jumeirah Mixed-Use Development</w:t>
            </w:r>
          </w:p>
        </w:tc>
        <w:tc>
          <w:tcPr>
            <w:tcW w:type="dxa" w:w="1656"/>
          </w:tcPr>
          <w:p>
            <w:r>
              <w:rPr>
                <w:sz w:val="17"/>
              </w:rPr>
              <w:t>16,000,000</w:t>
            </w:r>
          </w:p>
        </w:tc>
        <w:tc>
          <w:tcPr>
            <w:tcW w:type="dxa" w:w="1656"/>
          </w:tcPr>
          <w:p>
            <w:r>
              <w:rPr>
                <w:sz w:val="17"/>
              </w:rPr>
              <w:t>15,000,000</w:t>
            </w:r>
          </w:p>
        </w:tc>
        <w:tc>
          <w:tcPr>
            <w:tcW w:type="dxa" w:w="1656"/>
          </w:tcPr>
          <w:p>
            <w:r>
              <w:rPr>
                <w:sz w:val="17"/>
              </w:rPr>
              <w:t>Completed</w:t>
            </w:r>
          </w:p>
        </w:tc>
      </w:tr>
      <w:tr>
        <w:tc>
          <w:tcPr>
            <w:tcW w:type="dxa" w:w="1656"/>
          </w:tcPr>
          <w:p>
            <w:r>
              <w:rPr>
                <w:sz w:val="17"/>
              </w:rPr>
              <w:t>Municipal Fee Waiver and Fast-Track Concession</w:t>
            </w:r>
          </w:p>
        </w:tc>
        <w:tc>
          <w:tcPr>
            <w:tcW w:type="dxa" w:w="1656"/>
          </w:tcPr>
          <w:p>
            <w:r>
              <w:rPr>
                <w:sz w:val="17"/>
              </w:rPr>
              <w:t>Dubai municipal and planning bodies</w:t>
            </w:r>
          </w:p>
        </w:tc>
        <w:tc>
          <w:tcPr>
            <w:tcW w:type="dxa" w:w="1656"/>
          </w:tcPr>
          <w:p>
            <w:r>
              <w:rPr>
                <w:sz w:val="17"/>
              </w:rPr>
              <w:t>Portfolio-wide permit and plan-review relief</w:t>
            </w:r>
          </w:p>
        </w:tc>
        <w:tc>
          <w:tcPr>
            <w:tcW w:type="dxa" w:w="1656"/>
          </w:tcPr>
          <w:p>
            <w:r>
              <w:rPr>
                <w:sz w:val="17"/>
              </w:rPr>
              <w:t>18,500,000</w:t>
            </w:r>
          </w:p>
        </w:tc>
        <w:tc>
          <w:tcPr>
            <w:tcW w:type="dxa" w:w="1656"/>
          </w:tcPr>
          <w:p>
            <w:r>
              <w:rPr>
                <w:sz w:val="17"/>
              </w:rPr>
              <w:t>16,500,000</w:t>
            </w:r>
          </w:p>
        </w:tc>
        <w:tc>
          <w:tcPr>
            <w:tcW w:type="dxa" w:w="1656"/>
          </w:tcPr>
          <w:p>
            <w:r>
              <w:rPr>
                <w:sz w:val="17"/>
              </w:rPr>
              <w:t>Completed / realized</w:t>
            </w:r>
          </w:p>
        </w:tc>
      </w:tr>
    </w:tbl>
    <w:p/>
    <w:p>
      <w:pPr>
        <w:pStyle w:val="Heading1"/>
      </w:pPr>
      <w:r>
        <w:t>2. Overview of Government Incentive Programs</w:t>
      </w:r>
    </w:p>
    <w:p>
      <w:r>
        <w:t>Government incentives relevant to Dubai-based real estate developers generally fall into five economic categories: direct cash grants or reimbursable cost-sharing arrangements, administrative fee reductions or waivers, tax-related incentives or recoveries, utility and infrastructure support, and strategic development incentives tied to tourism, sustainability, smart-city, or district-activation goals. Although the UAE historically had a low direct-tax environment, developers still interact with numerous quasi-fiscal programs that influence project economics through municipal charges, infrastructure contributions, permitting costs, and development authority support.</w:t>
      </w:r>
    </w:p>
    <w:p>
      <w:r>
        <w:t>For a developer such as Aurelia, the most relevant programs are those that improve site-enabling economics or accelerate destination-quality features that public authorities consider strategic. These typically require a documented business case, evidence of capital expenditure, milestone reporting, and confirmation that the underlying development supports broader policy objectives such as tourism growth, sustainable construction, urban density optimization, public-realm enhancement, or digital city infrastructure.</w:t>
      </w:r>
    </w:p>
    <w:p>
      <w:r>
        <w:t>Eligibility is generally determined through a combination of project location, scale, use type, sustainability performance, and economic impact. Branded residences and mixed-use projects may qualify for support where they strengthen tourism flows or district activation. Large waterfront or master-planned developments may be eligible for infrastructure reimbursement where the developer is funding public-benefit works that would otherwise be staged by authorities. Sustainability incentives usually require targeted certifications, performance thresholds, or implementation of qualifying technologies such as greywater recycling, district cooling optimization, smart metering, or low-carbon materials.</w:t>
      </w:r>
    </w:p>
    <w:p>
      <w:pPr>
        <w:pStyle w:val="Heading1"/>
      </w:pPr>
      <w:r>
        <w:t>3. Summary of Government Grants Received</w:t>
      </w:r>
    </w:p>
    <w:p>
      <w:r>
        <w:t>Aurelia’s incentives portfolio during FY2021–FY2023 was diversified across direct and indirect support mechanisms. Total approved support across the review period was approximately $105.0 million, of which $93.0 million was either received in cash, credited through reimbursable mechanisms, or realized economically through waivers and rebates by the end of FY2023.</w:t>
      </w:r>
    </w:p>
    <w:p>
      <w:r>
        <w:t>The most material program was the Urban Infrastructure Cost Reimbursement Program tied to Marina Residences Tower, under which the company funded adjacent road widening, pedestrian connectivity, landscaping, and utility-interface works with a public-benefit component. The second most significant category was destination and tourism-linked support for Downtown Branded Residences, where the project’s hospitality positioning and public activation plan aligned with wider tourism-development priorities.</w:t>
      </w:r>
    </w:p>
    <w:p>
      <w:r>
        <w:t>At a consolidated level, management treated these items as a mix of cost offsets, deferred grant income, and direct reductions to project development spend, depending on the underlying program structure. The schedules in the workbook summarize both approval values and actual disbursement or economic realization.</w:t>
      </w:r>
    </w:p>
    <w:p>
      <w:pPr>
        <w:pStyle w:val="Heading1"/>
      </w:pPr>
      <w:r>
        <w:t>4. Detailed Description of Each Grant</w:t>
      </w:r>
    </w:p>
    <w:p>
      <w:r>
        <w:t>Urban Infrastructure Cost Reimbursement Program (Marina Residences Tower). Approved in September 2021, this program supported public-facing road access upgrades, promenade landscaping, drainage interface works, and district mobility improvements adjacent to the development. Total approved support amounted to $28.0 million, with $24.0 million received by the end of FY2023 in three staged reimbursements linked to engineering certification and public-agency inspection. Funds were applied primarily against infrastructure capex otherwise recorded within project development costs.</w:t>
      </w:r>
    </w:p>
    <w:p>
      <w:r>
        <w:t>Dubai Green Building Incentive (Palm Waterfront Villas and Creekside Apartments). This program was designed to encourage low-energy design, smart water systems, rooftop solar integration for common-area loads, and enhanced waste and cooling efficiency. Approved support totaled $14.5 million, of which $12.0 million had been received or recognized by year-end FY2023. Disbursements were linked to sustainability consultant certification, commissioning evidence, and maintenance of required performance thresholds.</w:t>
      </w:r>
    </w:p>
    <w:p>
      <w:r>
        <w:t>Tourism-Linked Destination Enhancement Support (Downtown Branded Residences). Approved support of $19.0 million was structured to encourage the inclusion of a branded residence component, hospitality-oriented amenities, curated retail frontage, and public activation features expected to contribute to destination appeal. $17.5 million had been received by FY2023. Management allocated the funding across fit-out contributions, public-space activation costs, and destination-marketing infrastructure.</w:t>
      </w:r>
    </w:p>
    <w:p>
      <w:r>
        <w:t>Smart City PropTech Enablement Subsidy. This program supported deployment of resident mobile experience tools, smart access systems, metering infrastructure, integrated building controls, and data-enabled operating systems for select projects. Approved support totaled $9.0 million, with $8.0 million realized over FY2022–FY2023. The program was non-dilutive and milestone-driven, with evidence required for system go-live, cyber readiness, and resident experience deployment.</w:t>
      </w:r>
    </w:p>
    <w:p>
      <w:r>
        <w:t>Utility Connection and District Cooling Rebate. The company received support totaling $15.0 million against an approved amount of $16.0 million in connection with network connection charges, district cooling tie-ins, and infrastructure interface works at Jumeirah Mixed-Use Development. The economic effect was equivalent to a reduction in project cash outlay and supported liquidity during peak construction periods.</w:t>
      </w:r>
    </w:p>
    <w:p>
      <w:r>
        <w:t>Municipal Fee Waiver and Fast-Track Concession. During the review period, Aurelia benefited from an estimated $16.5 million of realized savings through permit fee relief, accelerated review concessions, selected municipality charge waivers, and staged administrative offsets. Though not always presented as cash disbursements, these items represent non-dilutive economic support and are relevant to normalized project cost analysis.</w:t>
      </w:r>
    </w:p>
    <w:p>
      <w:pPr>
        <w:pStyle w:val="Heading1"/>
      </w:pPr>
      <w:r>
        <w:t>5. Eligibility and Qualification Criteria</w:t>
      </w:r>
    </w:p>
    <w:p>
      <w:r>
        <w:t>The company generally qualified for these programs by combining project scale, strategic location, destination value, and policy alignment. For infrastructure reimbursements, qualifying criteria centered on the extent to which Aurelia-funded works had demonstrable public-benefit characteristics, such as road access improvements, utility interfaces, public landscaping, or district-level enhancements beyond purely private-use scope.</w:t>
      </w:r>
    </w:p>
    <w:p>
      <w:r>
        <w:t>For sustainability incentives, projects were required to meet green-building criteria, submit design and commissioning evidence, and maintain specified performance attributes. The company’s larger developments qualified on the basis of energy intensity improvements, water efficiency, smart metering, and integrated building-management systems. The tourism-linked programs relied more heavily on destination impact, hospitality integration, and expected visitor-economy contribution.</w:t>
      </w:r>
    </w:p>
    <w:p>
      <w:r>
        <w:t>Smart-city and innovation support required evidence that the underlying systems were deployed, measurable, and aligned with digital-city objectives. In practice, Aurelia’s qualification package included feasibility memoranda, capex schedules, engineering certifications, invoices, project progress reports, and in some cases independent consultant sign-off.</w:t>
      </w:r>
    </w:p>
    <w:p>
      <w:pPr>
        <w:pStyle w:val="Heading1"/>
      </w:pPr>
      <w:r>
        <w:t>6. Conditions and Compliance Requirements</w:t>
      </w:r>
    </w:p>
    <w:p>
      <w:r>
        <w:t>Most programs contained milestone-based conditions rather than unconditional disbursement. These typically included project progression thresholds, completion of specific work packages, evidence that costs were incurred for approved uses, and periodic submission of supporting documentation. Some programs also required that the project remain in qualifying use for a minimum period or that certain operating features remain active after completion.</w:t>
      </w:r>
    </w:p>
    <w:p>
      <w:r>
        <w:t>The tourism and sustainability programs were more control-heavy than the administrative waivers. For example, hospitality-linked support required continued delivery of specified amenities and brand-standard features; sustainability incentives required maintenance of certified standards and completion evidence; smart-city support required system implementation and in-service validation. Fee waivers and rebates, by contrast, were usually evidenced through official approvals and billing offsets.</w:t>
      </w:r>
    </w:p>
    <w:p>
      <w:r>
        <w:t>The company maintained a grant-condition tracker within its finance and development functions. Based on the internal schedules summarized here, no material breaches were identified, although a small portion of approved amounts remained conditional at FY2023 year-end pending final inspection or documentation closure.</w:t>
      </w:r>
    </w:p>
    <w:p>
      <w:pPr>
        <w:pStyle w:val="Heading1"/>
      </w:pPr>
      <w:r>
        <w:t>7. Accounting Treatment</w:t>
      </w:r>
    </w:p>
    <w:p>
      <w:r>
        <w:t>Aurelia’s accounting treatment varied by grant type. Direct reimbursement of infrastructure and development spend was generally presented as a reduction to the cost basis of the relevant project assets or development inventory where the funding directly offset specific capitalized expenditures. Programs linked to broader operating or destination-support activities were in some cases recognized as other income or deferred grant income and released in line with the associated cost pattern.</w:t>
      </w:r>
    </w:p>
    <w:p>
      <w:r>
        <w:t>Fee waivers and charge rebates were generally reflected as lower recorded project or administrative costs rather than as gross income. Sustainability and technology incentives tied to qualifying capital expenditure were treated as cost offsets or deferred amounts depending on the substance of the program and whether they were conditional on future performance. Management’s approach appears broadly aligned with the principle that grants should be matched to the expenditure or obligation they are intended to offset.</w:t>
      </w:r>
    </w:p>
    <w:p>
      <w:r>
        <w:t>For diligence purposes, the principal issue is not only recognition classification but also normalization. Investors should identify which historical margin benefits are recurring and which arose from discrete public support. The schedules in the workbook separately show project cost reduction and approximate profit impact to support that analysis.</w:t>
      </w:r>
    </w:p>
    <w:p>
      <w:pPr>
        <w:pStyle w:val="Heading1"/>
      </w:pPr>
      <w:r>
        <w:t>8. Financial Impact on Development Projects</w:t>
      </w:r>
    </w:p>
    <w:p>
      <w:r>
        <w:t>The grants and incentives materially improved project economics in selected developments. Infrastructure reimbursements reduced enabling-cost pressure at Marina Residences Tower; tourism-linked support improved the branded residence return profile; sustainability incentives reduced incremental green-capex burden; and fee waivers decreased administrative and permitting costs. Collectively, these items reduced peak equity and debt funding requirements across the portfolio.</w:t>
      </w:r>
    </w:p>
    <w:p>
      <w:r>
        <w:t>At the company level, management estimates that the review-period support improved reported project profitability and reduced cash development costs by an amount broadly consistent with the $93.0 million realized benefit. The precise timing effect varied by program: some improved margins through lower recognized costs, while others primarily improved liquidity by reimbursing costs after initial spend.</w:t>
      </w:r>
    </w:p>
    <w:p>
      <w:r>
        <w:t>For private equity underwriting, the key question is how much of this benefit should be treated as core versus project-specific. The company’s historical performance benefited from genuine, documentary support; however, forward-looking underwriting should evaluate whether future developments are likely to access comparable programs on similar terms.</w:t>
      </w:r>
    </w:p>
    <w:p>
      <w:pPr>
        <w:pStyle w:val="Heading1"/>
      </w:pPr>
      <w:r>
        <w:t>9. Compliance Monitoring and Reporting</w:t>
      </w:r>
    </w:p>
    <w:p>
      <w:r>
        <w:t>Aurelia’s finance team, project controls team, and legal/compliance function jointly manage incentive compliance. Project accountants track qualifying expenditures; development managers certify milestone completion; sustainability and technical consultants provide supporting sign-off where required; and finance prepares periodic submissions to authorities. Larger programs are reviewed quarterly by senior management.</w:t>
      </w:r>
    </w:p>
    <w:p>
      <w:r>
        <w:t>The company retains award letters, claim submissions, disbursement notices, supporting invoices, inspection records, and compliance certifications in its controlled records repository. According to management, external auditors have reviewed the accounting treatment and related support for material items as part of the annual financial statement process.</w:t>
      </w:r>
    </w:p>
    <w:p>
      <w:pPr>
        <w:pStyle w:val="Heading1"/>
      </w:pPr>
      <w:r>
        <w:t>10. Risk Assessment</w:t>
      </w:r>
    </w:p>
    <w:p>
      <w:r>
        <w:t>The primary risks are clawback or delayed disbursement if reporting or milestone conditions are not satisfied, overstatement risk if management assumes approval value rather than realizable value, accounting presentation risk if grant income is misclassified, and forward-looking dependency risk if future projects rely too heavily on incentives not yet approved.</w:t>
      </w:r>
    </w:p>
    <w:p>
      <w:r>
        <w:t>On the evidence available, immediate clawback risk appears low to moderate, with most major programs substantially completed or well documented. The more relevant diligence concern is forecasting discipline: future project returns should be sensitized for lower incentive capture, slower reimbursements, or more stringent qualification conditions.</w:t>
      </w:r>
    </w:p>
    <w:p>
      <w:pPr>
        <w:pStyle w:val="Heading1"/>
      </w:pPr>
      <w:r>
        <w:t>Appendix A – Key diligence observations</w:t>
      </w:r>
    </w:p>
    <w:p>
      <w:pPr>
        <w:pStyle w:val="ListBullet"/>
      </w:pPr>
      <w:r>
        <w:t>Non-dilutive support represented a meaningful but not dominant contributor to project economics; it improved funding efficiency more than it transformed the business model.</w:t>
      </w:r>
    </w:p>
    <w:p>
      <w:pPr>
        <w:pStyle w:val="ListBullet"/>
      </w:pPr>
      <w:r>
        <w:t>Most material programs are tied to identifiable projects and documented milestone structures, which supports diligence verification.</w:t>
      </w:r>
    </w:p>
    <w:p>
      <w:pPr>
        <w:pStyle w:val="ListBullet"/>
      </w:pPr>
      <w:r>
        <w:t>Future underwriting should separate recurring municipal concessions from one-off strategic incentives.</w:t>
      </w:r>
    </w:p>
    <w:p>
      <w:pPr>
        <w:pStyle w:val="ListBullet"/>
      </w:pPr>
      <w:r>
        <w:t>Remaining exposure primarily relates to conditional amounts not yet fully disbursed and to continued compliance with program reporting requirements.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472C4"/>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