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Key Milestones to be Achieved with Funding</w:t>
      </w:r>
    </w:p>
    <w:p>
      <w:pPr>
        <w:jc w:val="center"/>
      </w:pPr>
      <w:r>
        <w:rPr>
          <w:b/>
          <w:color w:val="3F5F7A"/>
          <w:sz w:val="28"/>
        </w:rPr>
        <w:t>Aurelia Developments LLC</w:t>
      </w:r>
    </w:p>
    <w:p>
      <w:pPr>
        <w:jc w:val="center"/>
      </w:pPr>
      <w:r>
        <w:rPr>
          <w:i/>
        </w:rPr>
        <w:t>Strategic Milestone Roadmap for Deployment of Newly Raised Institutional Capital</w:t>
        <w:br/>
      </w:r>
      <w:r>
        <w:t>Prepared in a private equity portfolio planning format | Amounts in USD</w:t>
      </w:r>
    </w:p>
    <w:tbl>
      <w:tblPr>
        <w:tblStyle w:val="TableGrid"/>
        <w:tblW w:type="auto" w:w="0"/>
        <w:jc w:val="center"/>
        <w:tblLook w:firstColumn="1" w:firstRow="1" w:lastColumn="0" w:lastRow="0" w:noHBand="0" w:noVBand="1" w:val="04A0"/>
      </w:tblPr>
      <w:tblGrid>
        <w:gridCol w:w="3168"/>
        <w:gridCol w:w="6912"/>
      </w:tblGrid>
      <w:tr>
        <w:tc>
          <w:tcPr>
            <w:tcW w:type="dxa" w:w="4968"/>
            <w:vAlign w:val="center"/>
            <w:tcMar>
              <w:top w:w="80" w:type="dxa"/>
              <w:start w:w="100" w:type="dxa"/>
              <w:bottom w:w="80" w:type="dxa"/>
              <w:end w:w="100" w:type="dxa"/>
            </w:tcMar>
            <w:shd w:fill="D9EAF7"/>
          </w:tcPr>
          <w:p>
            <w:pPr>
              <w:spacing w:before="20" w:after="20" w:line="264" w:lineRule="auto"/>
            </w:pPr>
            <w:r>
              <w:rPr>
                <w:b/>
              </w:rPr>
              <w:t>Planning horizon</w:t>
            </w:r>
          </w:p>
        </w:tc>
        <w:tc>
          <w:tcPr>
            <w:tcW w:type="dxa" w:w="4968"/>
            <w:vAlign w:val="center"/>
            <w:tcMar>
              <w:top w:w="80" w:type="dxa"/>
              <w:start w:w="100" w:type="dxa"/>
              <w:bottom w:w="80" w:type="dxa"/>
              <w:end w:w="100" w:type="dxa"/>
            </w:tcMar>
          </w:tcPr>
          <w:p>
            <w:r>
              <w:t>48 months from initial deployment date</w:t>
            </w:r>
          </w:p>
        </w:tc>
      </w:tr>
      <w:tr>
        <w:tc>
          <w:tcPr>
            <w:tcW w:type="dxa" w:w="4968"/>
            <w:vAlign w:val="center"/>
            <w:tcMar>
              <w:top w:w="80" w:type="dxa"/>
              <w:start w:w="100" w:type="dxa"/>
              <w:bottom w:w="80" w:type="dxa"/>
              <w:end w:w="100" w:type="dxa"/>
            </w:tcMar>
            <w:shd w:fill="D9EAF7"/>
          </w:tcPr>
          <w:p>
            <w:pPr>
              <w:spacing w:before="20" w:after="20" w:line="264" w:lineRule="auto"/>
            </w:pPr>
            <w:r>
              <w:rPr>
                <w:b/>
              </w:rPr>
              <w:t>Illustrative institutional funding base</w:t>
            </w:r>
          </w:p>
        </w:tc>
        <w:tc>
          <w:tcPr>
            <w:tcW w:type="dxa" w:w="4968"/>
            <w:vAlign w:val="center"/>
            <w:tcMar>
              <w:top w:w="80" w:type="dxa"/>
              <w:start w:w="100" w:type="dxa"/>
              <w:bottom w:w="80" w:type="dxa"/>
              <w:end w:w="100" w:type="dxa"/>
            </w:tcMar>
          </w:tcPr>
          <w:p>
            <w:r>
              <w:t>$825.0 million of newly raised capital</w:t>
            </w:r>
          </w:p>
        </w:tc>
      </w:tr>
      <w:tr>
        <w:tc>
          <w:tcPr>
            <w:tcW w:type="dxa" w:w="4968"/>
            <w:vAlign w:val="center"/>
            <w:tcMar>
              <w:top w:w="80" w:type="dxa"/>
              <w:start w:w="100" w:type="dxa"/>
              <w:bottom w:w="80" w:type="dxa"/>
              <w:end w:w="100" w:type="dxa"/>
            </w:tcMar>
            <w:shd w:fill="D9EAF7"/>
          </w:tcPr>
          <w:p>
            <w:pPr>
              <w:spacing w:before="20" w:after="20" w:line="264" w:lineRule="auto"/>
            </w:pPr>
            <w:r>
              <w:rPr>
                <w:b/>
              </w:rPr>
              <w:t>Primary objective</w:t>
            </w:r>
          </w:p>
        </w:tc>
        <w:tc>
          <w:tcPr>
            <w:tcW w:type="dxa" w:w="4968"/>
            <w:vAlign w:val="center"/>
            <w:tcMar>
              <w:top w:w="80" w:type="dxa"/>
              <w:start w:w="100" w:type="dxa"/>
              <w:bottom w:w="80" w:type="dxa"/>
              <w:end w:w="100" w:type="dxa"/>
            </w:tcMar>
          </w:tcPr>
          <w:p>
            <w:r>
              <w:t>Execute a sequenced development, commercialization, and operational scaling program across flagship Dubai and wider GCC projects</w:t>
            </w:r>
          </w:p>
        </w:tc>
      </w:tr>
      <w:tr>
        <w:tc>
          <w:tcPr>
            <w:tcW w:type="dxa" w:w="4968"/>
            <w:vAlign w:val="center"/>
            <w:tcMar>
              <w:top w:w="80" w:type="dxa"/>
              <w:start w:w="100" w:type="dxa"/>
              <w:bottom w:w="80" w:type="dxa"/>
              <w:end w:w="100" w:type="dxa"/>
            </w:tcMar>
            <w:shd w:fill="D9EAF7"/>
          </w:tcPr>
          <w:p>
            <w:pPr>
              <w:spacing w:before="20" w:after="20" w:line="264" w:lineRule="auto"/>
            </w:pPr>
            <w:r>
              <w:rPr>
                <w:b/>
              </w:rPr>
              <w:t>Principal investor lens</w:t>
            </w:r>
          </w:p>
        </w:tc>
        <w:tc>
          <w:tcPr>
            <w:tcW w:type="dxa" w:w="4968"/>
            <w:vAlign w:val="center"/>
            <w:tcMar>
              <w:top w:w="80" w:type="dxa"/>
              <w:start w:w="100" w:type="dxa"/>
              <w:bottom w:w="80" w:type="dxa"/>
              <w:end w:w="100" w:type="dxa"/>
            </w:tcMar>
          </w:tcPr>
          <w:p>
            <w:r>
              <w:t>Visibility on capital discipline, milestone achievement, revenue ramp timing, margin expansion, and readiness for valuation uplift / strategic exit optionality</w:t>
            </w:r>
          </w:p>
        </w:tc>
      </w:tr>
    </w:tbl>
    <w:p/>
    <w:p>
      <w:pPr>
        <w:pStyle w:val="Heading1"/>
      </w:pPr>
      <w:r>
        <w:t>1. Executive Summary</w:t>
      </w:r>
    </w:p>
    <w:p>
      <w:r>
        <w:t>This memorandum sets out the principal milestones Aurelia Developments LLC expects to achieve using the recently raised institutional capital. The document is intended to provide private equity investors, lenders, and board members with a structured roadmap linking use of proceeds to tangible strategic, operational, development, and financial outcomes over a 3–5 year period.</w:t>
      </w:r>
    </w:p>
    <w:p>
      <w:r>
        <w:t>For planning purposes, the roadmap assumes total newly raised capital of $825.0 million to be deployed in staged tranches rather than as a single lump-sum disbursement. Management’s deployment philosophy is to match investor funds to the risk curve of each project: earlier capital is concentrated in land control, design, entitlement, and enabling infrastructure; mid-cycle capital is directed toward core construction and branded residence fit-out; later capital supports commercialization, handover readiness, working capital, and enterprise scale-up.</w:t>
      </w:r>
    </w:p>
    <w:p>
      <w:r>
        <w:t>The central value-creation thesis is that disciplined deployment of funding will allow Aurelia to accelerate four flagship developments in Dubai, launch two adjacent GCC opportunities, institutionalize its operating platform, widen higher-margin branded and mixed-use revenue streams, and improve enterprise valuation through better pipeline visibility, stronger presales, and enhanced execution credibility. Milestones therefore have been defined not only in construction terms, but also in revenue, operating capability, technology enablement, governance, and investor return terms.</w:t>
      </w:r>
    </w:p>
    <w:p>
      <w:pPr>
        <w:pStyle w:val="Heading1"/>
      </w:pPr>
      <w:r>
        <w:t>2. Overview of Strategic Objectives</w:t>
      </w:r>
    </w:p>
    <w:p>
      <w:r>
        <w:t>Management has organized the post-funding plan around five strategic objectives: (i) accelerate core Dubai luxury project execution, (ii) deepen the branded and mixed-use component of the portfolio, (iii) expand recurring and quasi-recurring revenue streams through hospitality, leasing, and ancillary services, (iv) professionalize the operating platform to institutional standards, and (v) create a path to future recapitalization, strategic partnership, or portfolio monetization at a materially higher enterprise valuation.</w:t>
      </w:r>
    </w:p>
    <w:p>
      <w:r>
        <w:t>The milestones tied to the new funding are therefore designed to be measurable, sequenced, and linked to specific investment outcomes. Each milestone is intended to answer one of three investor questions: what is being built, what capability is being created, and how does that translate into risk reduction and value accretion?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100" w:type="dxa"/>
              <w:bottom w:w="80" w:type="dxa"/>
              <w:end w:w="100" w:type="dxa"/>
            </w:tcMar>
            <w:shd w:fill="1F4E79"/>
          </w:tcPr>
          <w:p>
            <w:r>
              <w:rPr>
                <w:b/>
                <w:color w:val="FFFFFF"/>
              </w:rPr>
              <w:t>Strategic objective</w:t>
            </w:r>
          </w:p>
        </w:tc>
        <w:tc>
          <w:tcPr>
            <w:tcW w:type="dxa" w:w="2484"/>
            <w:vAlign w:val="center"/>
            <w:tcMar>
              <w:top w:w="80" w:type="dxa"/>
              <w:start w:w="100" w:type="dxa"/>
              <w:bottom w:w="80" w:type="dxa"/>
              <w:end w:w="100" w:type="dxa"/>
            </w:tcMar>
            <w:shd w:fill="1F4E79"/>
          </w:tcPr>
          <w:p>
            <w:r>
              <w:rPr>
                <w:b/>
                <w:color w:val="FFFFFF"/>
              </w:rPr>
              <w:t>Illustrative initiatives</w:t>
            </w:r>
          </w:p>
        </w:tc>
        <w:tc>
          <w:tcPr>
            <w:tcW w:type="dxa" w:w="2484"/>
            <w:vAlign w:val="center"/>
            <w:tcMar>
              <w:top w:w="80" w:type="dxa"/>
              <w:start w:w="100" w:type="dxa"/>
              <w:bottom w:w="80" w:type="dxa"/>
              <w:end w:w="100" w:type="dxa"/>
            </w:tcMar>
            <w:shd w:fill="1F4E79"/>
          </w:tcPr>
          <w:p>
            <w:r>
              <w:rPr>
                <w:b/>
                <w:color w:val="FFFFFF"/>
              </w:rPr>
              <w:t>Primary KPI lens</w:t>
            </w:r>
          </w:p>
        </w:tc>
        <w:tc>
          <w:tcPr>
            <w:tcW w:type="dxa" w:w="2484"/>
            <w:vAlign w:val="center"/>
            <w:tcMar>
              <w:top w:w="80" w:type="dxa"/>
              <w:start w:w="100" w:type="dxa"/>
              <w:bottom w:w="80" w:type="dxa"/>
              <w:end w:w="100" w:type="dxa"/>
            </w:tcMar>
            <w:shd w:fill="1F4E79"/>
          </w:tcPr>
          <w:p>
            <w:r>
              <w:rPr>
                <w:b/>
                <w:color w:val="FFFFFF"/>
              </w:rPr>
              <w:t>Indicative funding linkage</w:t>
            </w:r>
          </w:p>
        </w:tc>
      </w:tr>
      <w:tr>
        <w:tc>
          <w:tcPr>
            <w:tcW w:type="dxa" w:w="2484"/>
            <w:vAlign w:val="center"/>
            <w:tcMar>
              <w:top w:w="80" w:type="dxa"/>
              <w:start w:w="100" w:type="dxa"/>
              <w:bottom w:w="80" w:type="dxa"/>
              <w:end w:w="100" w:type="dxa"/>
            </w:tcMar>
          </w:tcPr>
          <w:p>
            <w:r>
              <w:t>Accelerate flagship developments</w:t>
            </w:r>
          </w:p>
        </w:tc>
        <w:tc>
          <w:tcPr>
            <w:tcW w:type="dxa" w:w="2484"/>
            <w:vAlign w:val="center"/>
            <w:tcMar>
              <w:top w:w="80" w:type="dxa"/>
              <w:start w:w="100" w:type="dxa"/>
              <w:bottom w:w="80" w:type="dxa"/>
              <w:end w:w="100" w:type="dxa"/>
            </w:tcMar>
          </w:tcPr>
          <w:p>
            <w:r>
              <w:t>Advance Marina Residences, Palm Waterfront Villas, Downtown Branded Residences, and Jumeirah Mixed-Use phases</w:t>
            </w:r>
          </w:p>
        </w:tc>
        <w:tc>
          <w:tcPr>
            <w:tcW w:type="dxa" w:w="2484"/>
            <w:vAlign w:val="center"/>
            <w:tcMar>
              <w:top w:w="80" w:type="dxa"/>
              <w:start w:w="100" w:type="dxa"/>
              <w:bottom w:w="80" w:type="dxa"/>
              <w:end w:w="100" w:type="dxa"/>
            </w:tcMar>
          </w:tcPr>
          <w:p>
            <w:r>
              <w:t>Presales, construction completion %, delivery dates</w:t>
            </w:r>
          </w:p>
        </w:tc>
        <w:tc>
          <w:tcPr>
            <w:tcW w:type="dxa" w:w="2484"/>
            <w:vAlign w:val="center"/>
            <w:tcMar>
              <w:top w:w="80" w:type="dxa"/>
              <w:start w:w="100" w:type="dxa"/>
              <w:bottom w:w="80" w:type="dxa"/>
              <w:end w:w="100" w:type="dxa"/>
            </w:tcMar>
          </w:tcPr>
          <w:p>
            <w:r>
              <w:t>Land drawdowns, contractor mobilization, design and infrastructure spend</w:t>
            </w:r>
          </w:p>
        </w:tc>
      </w:tr>
      <w:tr>
        <w:tc>
          <w:tcPr>
            <w:tcW w:type="dxa" w:w="2484"/>
            <w:vAlign w:val="center"/>
            <w:tcMar>
              <w:top w:w="80" w:type="dxa"/>
              <w:start w:w="100" w:type="dxa"/>
              <w:bottom w:w="80" w:type="dxa"/>
              <w:end w:w="100" w:type="dxa"/>
            </w:tcMar>
          </w:tcPr>
          <w:p>
            <w:r>
              <w:t>Expand brand-led offering</w:t>
            </w:r>
          </w:p>
        </w:tc>
        <w:tc>
          <w:tcPr>
            <w:tcW w:type="dxa" w:w="2484"/>
            <w:vAlign w:val="center"/>
            <w:tcMar>
              <w:top w:w="80" w:type="dxa"/>
              <w:start w:w="100" w:type="dxa"/>
              <w:bottom w:w="80" w:type="dxa"/>
              <w:end w:w="100" w:type="dxa"/>
            </w:tcMar>
          </w:tcPr>
          <w:p>
            <w:r>
              <w:t>Execute hospitality/operator partnerships and premium amenity positioning</w:t>
            </w:r>
          </w:p>
        </w:tc>
        <w:tc>
          <w:tcPr>
            <w:tcW w:type="dxa" w:w="2484"/>
            <w:vAlign w:val="center"/>
            <w:tcMar>
              <w:top w:w="80" w:type="dxa"/>
              <w:start w:w="100" w:type="dxa"/>
              <w:bottom w:w="80" w:type="dxa"/>
              <w:end w:w="100" w:type="dxa"/>
            </w:tcMar>
          </w:tcPr>
          <w:p>
            <w:r>
              <w:t>ASP uplift, branded unit absorption, mixed-use margin</w:t>
            </w:r>
          </w:p>
        </w:tc>
        <w:tc>
          <w:tcPr>
            <w:tcW w:type="dxa" w:w="2484"/>
            <w:vAlign w:val="center"/>
            <w:tcMar>
              <w:top w:w="80" w:type="dxa"/>
              <w:start w:w="100" w:type="dxa"/>
              <w:bottom w:w="80" w:type="dxa"/>
              <w:end w:w="100" w:type="dxa"/>
            </w:tcMar>
          </w:tcPr>
          <w:p>
            <w:r>
              <w:t>Branded fit-out, design premiums, launch marketing</w:t>
            </w:r>
          </w:p>
        </w:tc>
      </w:tr>
      <w:tr>
        <w:tc>
          <w:tcPr>
            <w:tcW w:type="dxa" w:w="2484"/>
            <w:vAlign w:val="center"/>
            <w:tcMar>
              <w:top w:w="80" w:type="dxa"/>
              <w:start w:w="100" w:type="dxa"/>
              <w:bottom w:w="80" w:type="dxa"/>
              <w:end w:w="100" w:type="dxa"/>
            </w:tcMar>
          </w:tcPr>
          <w:p>
            <w:r>
              <w:t>Institutionalize operating platform</w:t>
            </w:r>
          </w:p>
        </w:tc>
        <w:tc>
          <w:tcPr>
            <w:tcW w:type="dxa" w:w="2484"/>
            <w:vAlign w:val="center"/>
            <w:tcMar>
              <w:top w:w="80" w:type="dxa"/>
              <w:start w:w="100" w:type="dxa"/>
              <w:bottom w:w="80" w:type="dxa"/>
              <w:end w:w="100" w:type="dxa"/>
            </w:tcMar>
          </w:tcPr>
          <w:p>
            <w:r>
              <w:t>Strengthen finance, controls, PMO, procurement, sales ops, and reporting</w:t>
            </w:r>
          </w:p>
        </w:tc>
        <w:tc>
          <w:tcPr>
            <w:tcW w:type="dxa" w:w="2484"/>
            <w:vAlign w:val="center"/>
            <w:tcMar>
              <w:top w:w="80" w:type="dxa"/>
              <w:start w:w="100" w:type="dxa"/>
              <w:bottom w:w="80" w:type="dxa"/>
              <w:end w:w="100" w:type="dxa"/>
            </w:tcMar>
          </w:tcPr>
          <w:p>
            <w:r>
              <w:t>Budget adherence, cycle times, governance quality</w:t>
            </w:r>
          </w:p>
        </w:tc>
        <w:tc>
          <w:tcPr>
            <w:tcW w:type="dxa" w:w="2484"/>
            <w:vAlign w:val="center"/>
            <w:tcMar>
              <w:top w:w="80" w:type="dxa"/>
              <w:start w:w="100" w:type="dxa"/>
              <w:bottom w:w="80" w:type="dxa"/>
              <w:end w:w="100" w:type="dxa"/>
            </w:tcMar>
          </w:tcPr>
          <w:p>
            <w:r>
              <w:t>Hiring, systems, advisor support, reporting stack</w:t>
            </w:r>
          </w:p>
        </w:tc>
      </w:tr>
      <w:tr>
        <w:tc>
          <w:tcPr>
            <w:tcW w:type="dxa" w:w="2484"/>
            <w:vAlign w:val="center"/>
            <w:tcMar>
              <w:top w:w="80" w:type="dxa"/>
              <w:start w:w="100" w:type="dxa"/>
              <w:bottom w:w="80" w:type="dxa"/>
              <w:end w:w="100" w:type="dxa"/>
            </w:tcMar>
          </w:tcPr>
          <w:p>
            <w:r>
              <w:t>Broaden commercial monetization</w:t>
            </w:r>
          </w:p>
        </w:tc>
        <w:tc>
          <w:tcPr>
            <w:tcW w:type="dxa" w:w="2484"/>
            <w:vAlign w:val="center"/>
            <w:tcMar>
              <w:top w:w="80" w:type="dxa"/>
              <w:start w:w="100" w:type="dxa"/>
              <w:bottom w:w="80" w:type="dxa"/>
              <w:end w:w="100" w:type="dxa"/>
            </w:tcMar>
          </w:tcPr>
          <w:p>
            <w:r>
              <w:t>Increase leasing, hospitality, and ancillary service monetization</w:t>
            </w:r>
          </w:p>
        </w:tc>
        <w:tc>
          <w:tcPr>
            <w:tcW w:type="dxa" w:w="2484"/>
            <w:vAlign w:val="center"/>
            <w:tcMar>
              <w:top w:w="80" w:type="dxa"/>
              <w:start w:w="100" w:type="dxa"/>
              <w:bottom w:w="80" w:type="dxa"/>
              <w:end w:w="100" w:type="dxa"/>
            </w:tcMar>
          </w:tcPr>
          <w:p>
            <w:r>
              <w:t>Recurring revenue share, NOI contribution</w:t>
            </w:r>
          </w:p>
        </w:tc>
        <w:tc>
          <w:tcPr>
            <w:tcW w:type="dxa" w:w="2484"/>
            <w:vAlign w:val="center"/>
            <w:tcMar>
              <w:top w:w="80" w:type="dxa"/>
              <w:start w:w="100" w:type="dxa"/>
              <w:bottom w:w="80" w:type="dxa"/>
              <w:end w:w="100" w:type="dxa"/>
            </w:tcMar>
          </w:tcPr>
          <w:p>
            <w:r>
              <w:t>Leasing capex, hospitality enablement, tenant improvements</w:t>
            </w:r>
          </w:p>
        </w:tc>
      </w:tr>
      <w:tr>
        <w:tc>
          <w:tcPr>
            <w:tcW w:type="dxa" w:w="2484"/>
            <w:vAlign w:val="center"/>
            <w:tcMar>
              <w:top w:w="80" w:type="dxa"/>
              <w:start w:w="100" w:type="dxa"/>
              <w:bottom w:w="80" w:type="dxa"/>
              <w:end w:w="100" w:type="dxa"/>
            </w:tcMar>
          </w:tcPr>
          <w:p>
            <w:r>
              <w:t>Prepare for investor value realization</w:t>
            </w:r>
          </w:p>
        </w:tc>
        <w:tc>
          <w:tcPr>
            <w:tcW w:type="dxa" w:w="2484"/>
            <w:vAlign w:val="center"/>
            <w:tcMar>
              <w:top w:w="80" w:type="dxa"/>
              <w:start w:w="100" w:type="dxa"/>
              <w:bottom w:w="80" w:type="dxa"/>
              <w:end w:w="100" w:type="dxa"/>
            </w:tcMar>
          </w:tcPr>
          <w:p>
            <w:r>
              <w:t>Create conditions for refinancing, partial exit, or strategic capital partnership</w:t>
            </w:r>
          </w:p>
        </w:tc>
        <w:tc>
          <w:tcPr>
            <w:tcW w:type="dxa" w:w="2484"/>
            <w:vAlign w:val="center"/>
            <w:tcMar>
              <w:top w:w="80" w:type="dxa"/>
              <w:start w:w="100" w:type="dxa"/>
              <w:bottom w:w="80" w:type="dxa"/>
              <w:end w:w="100" w:type="dxa"/>
            </w:tcMar>
          </w:tcPr>
          <w:p>
            <w:r>
              <w:t>NAV growth, valuation benchmarks, leverage profile</w:t>
            </w:r>
          </w:p>
        </w:tc>
        <w:tc>
          <w:tcPr>
            <w:tcW w:type="dxa" w:w="2484"/>
            <w:vAlign w:val="center"/>
            <w:tcMar>
              <w:top w:w="80" w:type="dxa"/>
              <w:start w:w="100" w:type="dxa"/>
              <w:bottom w:w="80" w:type="dxa"/>
              <w:end w:w="100" w:type="dxa"/>
            </w:tcMar>
          </w:tcPr>
          <w:p>
            <w:r>
              <w:t>Portfolio proof points, audit readiness, KPI credibility</w:t>
            </w:r>
          </w:p>
        </w:tc>
      </w:tr>
    </w:tbl>
    <w:p>
      <w:pPr>
        <w:pStyle w:val="Heading1"/>
      </w:pPr>
      <w:r>
        <w:t>3. Development Project Milestones</w:t>
      </w:r>
    </w:p>
    <w:p>
      <w:r>
        <w:t>The development milestone framework is anchored around six primary projects that collectively represent the bulk of the funded execution agenda. The funding is expected to move each project through defined phases: site control and land payments, concept design, enabling works, regulatory approvals, main construction mobilization, vertical build-out, interior fit-out, sales launch, handover preparation, and operational stabilization.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Mar>
              <w:top w:w="80" w:type="dxa"/>
              <w:start w:w="100" w:type="dxa"/>
              <w:bottom w:w="80" w:type="dxa"/>
              <w:end w:w="100" w:type="dxa"/>
            </w:tcMar>
            <w:shd w:fill="1F4E79"/>
          </w:tcPr>
          <w:p>
            <w:r>
              <w:rPr>
                <w:b/>
                <w:color w:val="FFFFFF"/>
              </w:rPr>
              <w:t>Project</w:t>
            </w:r>
          </w:p>
        </w:tc>
        <w:tc>
          <w:tcPr>
            <w:tcW w:type="dxa" w:w="1987"/>
            <w:vAlign w:val="center"/>
            <w:tcMar>
              <w:top w:w="80" w:type="dxa"/>
              <w:start w:w="100" w:type="dxa"/>
              <w:bottom w:w="80" w:type="dxa"/>
              <w:end w:w="100" w:type="dxa"/>
            </w:tcMar>
            <w:shd w:fill="1F4E79"/>
          </w:tcPr>
          <w:p>
            <w:r>
              <w:rPr>
                <w:b/>
                <w:color w:val="FFFFFF"/>
              </w:rPr>
              <w:t>Location</w:t>
            </w:r>
          </w:p>
        </w:tc>
        <w:tc>
          <w:tcPr>
            <w:tcW w:type="dxa" w:w="1987"/>
            <w:vAlign w:val="center"/>
            <w:tcMar>
              <w:top w:w="80" w:type="dxa"/>
              <w:start w:w="100" w:type="dxa"/>
              <w:bottom w:w="80" w:type="dxa"/>
              <w:end w:w="100" w:type="dxa"/>
            </w:tcMar>
            <w:shd w:fill="1F4E79"/>
          </w:tcPr>
          <w:p>
            <w:r>
              <w:rPr>
                <w:b/>
                <w:color w:val="FFFFFF"/>
              </w:rPr>
              <w:t>Description</w:t>
            </w:r>
          </w:p>
        </w:tc>
        <w:tc>
          <w:tcPr>
            <w:tcW w:type="dxa" w:w="1987"/>
            <w:vAlign w:val="center"/>
            <w:tcMar>
              <w:top w:w="80" w:type="dxa"/>
              <w:start w:w="100" w:type="dxa"/>
              <w:bottom w:w="80" w:type="dxa"/>
              <w:end w:w="100" w:type="dxa"/>
            </w:tcMar>
            <w:shd w:fill="1F4E79"/>
          </w:tcPr>
          <w:p>
            <w:r>
              <w:rPr>
                <w:b/>
                <w:color w:val="FFFFFF"/>
              </w:rPr>
              <w:t>Illustrative development budget</w:t>
            </w:r>
          </w:p>
        </w:tc>
        <w:tc>
          <w:tcPr>
            <w:tcW w:type="dxa" w:w="1987"/>
            <w:vAlign w:val="center"/>
            <w:tcMar>
              <w:top w:w="80" w:type="dxa"/>
              <w:start w:w="100" w:type="dxa"/>
              <w:bottom w:w="80" w:type="dxa"/>
              <w:end w:w="100" w:type="dxa"/>
            </w:tcMar>
            <w:shd w:fill="1F4E79"/>
          </w:tcPr>
          <w:p>
            <w:r>
              <w:rPr>
                <w:b/>
                <w:color w:val="FFFFFF"/>
              </w:rPr>
              <w:t>Planned delivery window</w:t>
            </w:r>
          </w:p>
        </w:tc>
      </w:tr>
      <w:tr>
        <w:tc>
          <w:tcPr>
            <w:tcW w:type="dxa" w:w="1987"/>
            <w:vAlign w:val="center"/>
            <w:tcMar>
              <w:top w:w="80" w:type="dxa"/>
              <w:start w:w="100" w:type="dxa"/>
              <w:bottom w:w="80" w:type="dxa"/>
              <w:end w:w="100" w:type="dxa"/>
            </w:tcMar>
          </w:tcPr>
          <w:p>
            <w:r>
              <w:t>Marina Residences Tower</w:t>
            </w:r>
          </w:p>
        </w:tc>
        <w:tc>
          <w:tcPr>
            <w:tcW w:type="dxa" w:w="1987"/>
            <w:vAlign w:val="center"/>
            <w:tcMar>
              <w:top w:w="80" w:type="dxa"/>
              <w:start w:w="100" w:type="dxa"/>
              <w:bottom w:w="80" w:type="dxa"/>
              <w:end w:w="100" w:type="dxa"/>
            </w:tcMar>
          </w:tcPr>
          <w:p>
            <w:r>
              <w:t>Dubai Marina</w:t>
            </w:r>
          </w:p>
        </w:tc>
        <w:tc>
          <w:tcPr>
            <w:tcW w:type="dxa" w:w="1987"/>
            <w:vAlign w:val="center"/>
            <w:tcMar>
              <w:top w:w="80" w:type="dxa"/>
              <w:start w:w="100" w:type="dxa"/>
              <w:bottom w:w="80" w:type="dxa"/>
              <w:end w:w="100" w:type="dxa"/>
            </w:tcMar>
          </w:tcPr>
          <w:p>
            <w:r>
              <w:t>Luxury waterfront residential tower with branded amenities</w:t>
            </w:r>
          </w:p>
        </w:tc>
        <w:tc>
          <w:tcPr>
            <w:tcW w:type="dxa" w:w="1987"/>
            <w:vAlign w:val="center"/>
            <w:tcMar>
              <w:top w:w="80" w:type="dxa"/>
              <w:start w:w="100" w:type="dxa"/>
              <w:bottom w:w="80" w:type="dxa"/>
              <w:end w:w="100" w:type="dxa"/>
            </w:tcMar>
          </w:tcPr>
          <w:p>
            <w:r>
              <w:t>$410.0m</w:t>
            </w:r>
          </w:p>
        </w:tc>
        <w:tc>
          <w:tcPr>
            <w:tcW w:type="dxa" w:w="1987"/>
            <w:vAlign w:val="center"/>
            <w:tcMar>
              <w:top w:w="80" w:type="dxa"/>
              <w:start w:w="100" w:type="dxa"/>
              <w:bottom w:w="80" w:type="dxa"/>
              <w:end w:w="100" w:type="dxa"/>
            </w:tcMar>
          </w:tcPr>
          <w:p>
            <w:r>
              <w:t>Q2 2025–Q4 2028</w:t>
            </w:r>
          </w:p>
        </w:tc>
      </w:tr>
      <w:tr>
        <w:tc>
          <w:tcPr>
            <w:tcW w:type="dxa" w:w="1987"/>
            <w:vAlign w:val="center"/>
            <w:tcMar>
              <w:top w:w="80" w:type="dxa"/>
              <w:start w:w="100" w:type="dxa"/>
              <w:bottom w:w="80" w:type="dxa"/>
              <w:end w:w="100" w:type="dxa"/>
            </w:tcMar>
          </w:tcPr>
          <w:p>
            <w:r>
              <w:t>Palm Waterfront Villas</w:t>
            </w:r>
          </w:p>
        </w:tc>
        <w:tc>
          <w:tcPr>
            <w:tcW w:type="dxa" w:w="1987"/>
            <w:vAlign w:val="center"/>
            <w:tcMar>
              <w:top w:w="80" w:type="dxa"/>
              <w:start w:w="100" w:type="dxa"/>
              <w:bottom w:w="80" w:type="dxa"/>
              <w:end w:w="100" w:type="dxa"/>
            </w:tcMar>
          </w:tcPr>
          <w:p>
            <w:r>
              <w:t>Palm Jumeirah</w:t>
            </w:r>
          </w:p>
        </w:tc>
        <w:tc>
          <w:tcPr>
            <w:tcW w:type="dxa" w:w="1987"/>
            <w:vAlign w:val="center"/>
            <w:tcMar>
              <w:top w:w="80" w:type="dxa"/>
              <w:start w:w="100" w:type="dxa"/>
              <w:bottom w:w="80" w:type="dxa"/>
              <w:end w:w="100" w:type="dxa"/>
            </w:tcMar>
          </w:tcPr>
          <w:p>
            <w:r>
              <w:t>Ultra-premium villa enclave and club offering</w:t>
            </w:r>
          </w:p>
        </w:tc>
        <w:tc>
          <w:tcPr>
            <w:tcW w:type="dxa" w:w="1987"/>
            <w:vAlign w:val="center"/>
            <w:tcMar>
              <w:top w:w="80" w:type="dxa"/>
              <w:start w:w="100" w:type="dxa"/>
              <w:bottom w:w="80" w:type="dxa"/>
              <w:end w:w="100" w:type="dxa"/>
            </w:tcMar>
          </w:tcPr>
          <w:p>
            <w:r>
              <w:t>$295.0m</w:t>
            </w:r>
          </w:p>
        </w:tc>
        <w:tc>
          <w:tcPr>
            <w:tcW w:type="dxa" w:w="1987"/>
            <w:vAlign w:val="center"/>
            <w:tcMar>
              <w:top w:w="80" w:type="dxa"/>
              <w:start w:w="100" w:type="dxa"/>
              <w:bottom w:w="80" w:type="dxa"/>
              <w:end w:w="100" w:type="dxa"/>
            </w:tcMar>
          </w:tcPr>
          <w:p>
            <w:r>
              <w:t>Q3 2025–Q2 2028</w:t>
            </w:r>
          </w:p>
        </w:tc>
      </w:tr>
      <w:tr>
        <w:tc>
          <w:tcPr>
            <w:tcW w:type="dxa" w:w="1987"/>
            <w:vAlign w:val="center"/>
            <w:tcMar>
              <w:top w:w="80" w:type="dxa"/>
              <w:start w:w="100" w:type="dxa"/>
              <w:bottom w:w="80" w:type="dxa"/>
              <w:end w:w="100" w:type="dxa"/>
            </w:tcMar>
          </w:tcPr>
          <w:p>
            <w:r>
              <w:t>Downtown Branded Residences</w:t>
            </w:r>
          </w:p>
        </w:tc>
        <w:tc>
          <w:tcPr>
            <w:tcW w:type="dxa" w:w="1987"/>
            <w:vAlign w:val="center"/>
            <w:tcMar>
              <w:top w:w="80" w:type="dxa"/>
              <w:start w:w="100" w:type="dxa"/>
              <w:bottom w:w="80" w:type="dxa"/>
              <w:end w:w="100" w:type="dxa"/>
            </w:tcMar>
          </w:tcPr>
          <w:p>
            <w:r>
              <w:t>Downtown Dubai</w:t>
            </w:r>
          </w:p>
        </w:tc>
        <w:tc>
          <w:tcPr>
            <w:tcW w:type="dxa" w:w="1987"/>
            <w:vAlign w:val="center"/>
            <w:tcMar>
              <w:top w:w="80" w:type="dxa"/>
              <w:start w:w="100" w:type="dxa"/>
              <w:bottom w:w="80" w:type="dxa"/>
              <w:end w:w="100" w:type="dxa"/>
            </w:tcMar>
          </w:tcPr>
          <w:p>
            <w:r>
              <w:t>Branded residence tower with hospitality services</w:t>
            </w:r>
          </w:p>
        </w:tc>
        <w:tc>
          <w:tcPr>
            <w:tcW w:type="dxa" w:w="1987"/>
            <w:vAlign w:val="center"/>
            <w:tcMar>
              <w:top w:w="80" w:type="dxa"/>
              <w:start w:w="100" w:type="dxa"/>
              <w:bottom w:w="80" w:type="dxa"/>
              <w:end w:w="100" w:type="dxa"/>
            </w:tcMar>
          </w:tcPr>
          <w:p>
            <w:r>
              <w:t>$360.0m</w:t>
            </w:r>
          </w:p>
        </w:tc>
        <w:tc>
          <w:tcPr>
            <w:tcW w:type="dxa" w:w="1987"/>
            <w:vAlign w:val="center"/>
            <w:tcMar>
              <w:top w:w="80" w:type="dxa"/>
              <w:start w:w="100" w:type="dxa"/>
              <w:bottom w:w="80" w:type="dxa"/>
              <w:end w:w="100" w:type="dxa"/>
            </w:tcMar>
          </w:tcPr>
          <w:p>
            <w:r>
              <w:t>Q1 2026–Q4 2028</w:t>
            </w:r>
          </w:p>
        </w:tc>
      </w:tr>
      <w:tr>
        <w:tc>
          <w:tcPr>
            <w:tcW w:type="dxa" w:w="1987"/>
            <w:vAlign w:val="center"/>
            <w:tcMar>
              <w:top w:w="80" w:type="dxa"/>
              <w:start w:w="100" w:type="dxa"/>
              <w:bottom w:w="80" w:type="dxa"/>
              <w:end w:w="100" w:type="dxa"/>
            </w:tcMar>
          </w:tcPr>
          <w:p>
            <w:r>
              <w:t>Jumeirah Mixed-Use Development</w:t>
            </w:r>
          </w:p>
        </w:tc>
        <w:tc>
          <w:tcPr>
            <w:tcW w:type="dxa" w:w="1987"/>
            <w:vAlign w:val="center"/>
            <w:tcMar>
              <w:top w:w="80" w:type="dxa"/>
              <w:start w:w="100" w:type="dxa"/>
              <w:bottom w:w="80" w:type="dxa"/>
              <w:end w:w="100" w:type="dxa"/>
            </w:tcMar>
          </w:tcPr>
          <w:p>
            <w:r>
              <w:t>Jumeirah corridor</w:t>
            </w:r>
          </w:p>
        </w:tc>
        <w:tc>
          <w:tcPr>
            <w:tcW w:type="dxa" w:w="1987"/>
            <w:vAlign w:val="center"/>
            <w:tcMar>
              <w:top w:w="80" w:type="dxa"/>
              <w:start w:w="100" w:type="dxa"/>
              <w:bottom w:w="80" w:type="dxa"/>
              <w:end w:w="100" w:type="dxa"/>
            </w:tcMar>
          </w:tcPr>
          <w:p>
            <w:r>
              <w:t>Residential, retail, hospitality podium mix</w:t>
            </w:r>
          </w:p>
        </w:tc>
        <w:tc>
          <w:tcPr>
            <w:tcW w:type="dxa" w:w="1987"/>
            <w:vAlign w:val="center"/>
            <w:tcMar>
              <w:top w:w="80" w:type="dxa"/>
              <w:start w:w="100" w:type="dxa"/>
              <w:bottom w:w="80" w:type="dxa"/>
              <w:end w:w="100" w:type="dxa"/>
            </w:tcMar>
          </w:tcPr>
          <w:p>
            <w:r>
              <w:t>$275.0m</w:t>
            </w:r>
          </w:p>
        </w:tc>
        <w:tc>
          <w:tcPr>
            <w:tcW w:type="dxa" w:w="1987"/>
            <w:vAlign w:val="center"/>
            <w:tcMar>
              <w:top w:w="80" w:type="dxa"/>
              <w:start w:w="100" w:type="dxa"/>
              <w:bottom w:w="80" w:type="dxa"/>
              <w:end w:w="100" w:type="dxa"/>
            </w:tcMar>
          </w:tcPr>
          <w:p>
            <w:r>
              <w:t>Q4 2025–Q4 2028</w:t>
            </w:r>
          </w:p>
        </w:tc>
      </w:tr>
      <w:tr>
        <w:tc>
          <w:tcPr>
            <w:tcW w:type="dxa" w:w="1987"/>
            <w:vAlign w:val="center"/>
            <w:tcMar>
              <w:top w:w="80" w:type="dxa"/>
              <w:start w:w="100" w:type="dxa"/>
              <w:bottom w:w="80" w:type="dxa"/>
              <w:end w:w="100" w:type="dxa"/>
            </w:tcMar>
          </w:tcPr>
          <w:p>
            <w:r>
              <w:t>Creekside Executive Residences</w:t>
            </w:r>
          </w:p>
        </w:tc>
        <w:tc>
          <w:tcPr>
            <w:tcW w:type="dxa" w:w="1987"/>
            <w:vAlign w:val="center"/>
            <w:tcMar>
              <w:top w:w="80" w:type="dxa"/>
              <w:start w:w="100" w:type="dxa"/>
              <w:bottom w:w="80" w:type="dxa"/>
              <w:end w:w="100" w:type="dxa"/>
            </w:tcMar>
          </w:tcPr>
          <w:p>
            <w:r>
              <w:t>Dubai Creek district</w:t>
            </w:r>
          </w:p>
        </w:tc>
        <w:tc>
          <w:tcPr>
            <w:tcW w:type="dxa" w:w="1987"/>
            <w:vAlign w:val="center"/>
            <w:tcMar>
              <w:top w:w="80" w:type="dxa"/>
              <w:start w:w="100" w:type="dxa"/>
              <w:bottom w:w="80" w:type="dxa"/>
              <w:end w:w="100" w:type="dxa"/>
            </w:tcMar>
          </w:tcPr>
          <w:p>
            <w:r>
              <w:t>Mid/high-luxury residential expansion phase</w:t>
            </w:r>
          </w:p>
        </w:tc>
        <w:tc>
          <w:tcPr>
            <w:tcW w:type="dxa" w:w="1987"/>
            <w:vAlign w:val="center"/>
            <w:tcMar>
              <w:top w:w="80" w:type="dxa"/>
              <w:start w:w="100" w:type="dxa"/>
              <w:bottom w:w="80" w:type="dxa"/>
              <w:end w:w="100" w:type="dxa"/>
            </w:tcMar>
          </w:tcPr>
          <w:p>
            <w:r>
              <w:t>$180.0m</w:t>
            </w:r>
          </w:p>
        </w:tc>
        <w:tc>
          <w:tcPr>
            <w:tcW w:type="dxa" w:w="1987"/>
            <w:vAlign w:val="center"/>
            <w:tcMar>
              <w:top w:w="80" w:type="dxa"/>
              <w:start w:w="100" w:type="dxa"/>
              <w:bottom w:w="80" w:type="dxa"/>
              <w:end w:w="100" w:type="dxa"/>
            </w:tcMar>
          </w:tcPr>
          <w:p>
            <w:r>
              <w:t>Q2 2026–Q4 2027</w:t>
            </w:r>
          </w:p>
        </w:tc>
      </w:tr>
      <w:tr>
        <w:tc>
          <w:tcPr>
            <w:tcW w:type="dxa" w:w="1987"/>
            <w:vAlign w:val="center"/>
            <w:tcMar>
              <w:top w:w="80" w:type="dxa"/>
              <w:start w:w="100" w:type="dxa"/>
              <w:bottom w:w="80" w:type="dxa"/>
              <w:end w:w="100" w:type="dxa"/>
            </w:tcMar>
          </w:tcPr>
          <w:p>
            <w:r>
              <w:t>Riyadh Gateway Villas (GCC expansion)</w:t>
            </w:r>
          </w:p>
        </w:tc>
        <w:tc>
          <w:tcPr>
            <w:tcW w:type="dxa" w:w="1987"/>
            <w:vAlign w:val="center"/>
            <w:tcMar>
              <w:top w:w="80" w:type="dxa"/>
              <w:start w:w="100" w:type="dxa"/>
              <w:bottom w:w="80" w:type="dxa"/>
              <w:end w:w="100" w:type="dxa"/>
            </w:tcMar>
          </w:tcPr>
          <w:p>
            <w:r>
              <w:t>Riyadh</w:t>
            </w:r>
          </w:p>
        </w:tc>
        <w:tc>
          <w:tcPr>
            <w:tcW w:type="dxa" w:w="1987"/>
            <w:vAlign w:val="center"/>
            <w:tcMar>
              <w:top w:w="80" w:type="dxa"/>
              <w:start w:w="100" w:type="dxa"/>
              <w:bottom w:w="80" w:type="dxa"/>
              <w:end w:w="100" w:type="dxa"/>
            </w:tcMar>
          </w:tcPr>
          <w:p>
            <w:r>
              <w:t>Selective GCC pilot development via partnership structure</w:t>
            </w:r>
          </w:p>
        </w:tc>
        <w:tc>
          <w:tcPr>
            <w:tcW w:type="dxa" w:w="1987"/>
            <w:vAlign w:val="center"/>
            <w:tcMar>
              <w:top w:w="80" w:type="dxa"/>
              <w:start w:w="100" w:type="dxa"/>
              <w:bottom w:w="80" w:type="dxa"/>
              <w:end w:w="100" w:type="dxa"/>
            </w:tcMar>
          </w:tcPr>
          <w:p>
            <w:r>
              <w:t>$140.0m</w:t>
            </w:r>
          </w:p>
        </w:tc>
        <w:tc>
          <w:tcPr>
            <w:tcW w:type="dxa" w:w="1987"/>
            <w:vAlign w:val="center"/>
            <w:tcMar>
              <w:top w:w="80" w:type="dxa"/>
              <w:start w:w="100" w:type="dxa"/>
              <w:bottom w:w="80" w:type="dxa"/>
              <w:end w:w="100" w:type="dxa"/>
            </w:tcMar>
          </w:tcPr>
          <w:p>
            <w:r>
              <w:t>Q1 2027–Q2 2029</w:t>
            </w:r>
          </w:p>
        </w:tc>
      </w:tr>
    </w:tbl>
    <w:p>
      <w:r>
        <w:t>The table below summarizes the principal milestone categories expected to be achieved with funding and the illustrative capital envelope associated with each category over the planning horizon.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100" w:type="dxa"/>
              <w:bottom w:w="80" w:type="dxa"/>
              <w:end w:w="100" w:type="dxa"/>
            </w:tcMar>
            <w:shd w:fill="1F4E79"/>
          </w:tcPr>
          <w:p>
            <w:r>
              <w:rPr>
                <w:b/>
                <w:color w:val="FFFFFF"/>
              </w:rPr>
              <w:t>Milestone category</w:t>
            </w:r>
          </w:p>
        </w:tc>
        <w:tc>
          <w:tcPr>
            <w:tcW w:type="dxa" w:w="3312"/>
            <w:vAlign w:val="center"/>
            <w:tcMar>
              <w:top w:w="80" w:type="dxa"/>
              <w:start w:w="100" w:type="dxa"/>
              <w:bottom w:w="80" w:type="dxa"/>
              <w:end w:w="100" w:type="dxa"/>
            </w:tcMar>
            <w:shd w:fill="1F4E79"/>
          </w:tcPr>
          <w:p>
            <w:r>
              <w:rPr>
                <w:b/>
                <w:color w:val="FFFFFF"/>
              </w:rPr>
              <w:t>Indicative capital envelope</w:t>
            </w:r>
          </w:p>
        </w:tc>
        <w:tc>
          <w:tcPr>
            <w:tcW w:type="dxa" w:w="3312"/>
            <w:vAlign w:val="center"/>
            <w:tcMar>
              <w:top w:w="80" w:type="dxa"/>
              <w:start w:w="100" w:type="dxa"/>
              <w:bottom w:w="80" w:type="dxa"/>
              <w:end w:w="100" w:type="dxa"/>
            </w:tcMar>
            <w:shd w:fill="1F4E79"/>
          </w:tcPr>
          <w:p>
            <w:r>
              <w:rPr>
                <w:b/>
                <w:color w:val="FFFFFF"/>
              </w:rPr>
              <w:t>Key outcome expected</w:t>
            </w:r>
          </w:p>
        </w:tc>
      </w:tr>
      <w:tr>
        <w:tc>
          <w:tcPr>
            <w:tcW w:type="dxa" w:w="3312"/>
            <w:vAlign w:val="center"/>
            <w:tcMar>
              <w:top w:w="80" w:type="dxa"/>
              <w:start w:w="100" w:type="dxa"/>
              <w:bottom w:w="80" w:type="dxa"/>
              <w:end w:w="100" w:type="dxa"/>
            </w:tcMar>
          </w:tcPr>
          <w:p>
            <w:r>
              <w:t>Land acquisition and site control</w:t>
            </w:r>
          </w:p>
        </w:tc>
        <w:tc>
          <w:tcPr>
            <w:tcW w:type="dxa" w:w="3312"/>
            <w:vAlign w:val="center"/>
            <w:tcMar>
              <w:top w:w="80" w:type="dxa"/>
              <w:start w:w="100" w:type="dxa"/>
              <w:bottom w:w="80" w:type="dxa"/>
              <w:end w:w="100" w:type="dxa"/>
            </w:tcMar>
          </w:tcPr>
          <w:p>
            <w:r>
              <w:t>$142.0m</w:t>
            </w:r>
          </w:p>
        </w:tc>
        <w:tc>
          <w:tcPr>
            <w:tcW w:type="dxa" w:w="3312"/>
            <w:vAlign w:val="center"/>
            <w:tcMar>
              <w:top w:w="80" w:type="dxa"/>
              <w:start w:w="100" w:type="dxa"/>
              <w:bottom w:w="80" w:type="dxa"/>
              <w:end w:w="100" w:type="dxa"/>
            </w:tcMar>
          </w:tcPr>
          <w:p>
            <w:r>
              <w:t>Completion of deferred land payments, adjacent parcel options, title perfection, and project SPV capitalization.</w:t>
            </w:r>
          </w:p>
        </w:tc>
      </w:tr>
      <w:tr>
        <w:tc>
          <w:tcPr>
            <w:tcW w:type="dxa" w:w="3312"/>
            <w:vAlign w:val="center"/>
            <w:tcMar>
              <w:top w:w="80" w:type="dxa"/>
              <w:start w:w="100" w:type="dxa"/>
              <w:bottom w:w="80" w:type="dxa"/>
              <w:end w:w="100" w:type="dxa"/>
            </w:tcMar>
          </w:tcPr>
          <w:p>
            <w:r>
              <w:t>Project planning and design</w:t>
            </w:r>
          </w:p>
        </w:tc>
        <w:tc>
          <w:tcPr>
            <w:tcW w:type="dxa" w:w="3312"/>
            <w:vAlign w:val="center"/>
            <w:tcMar>
              <w:top w:w="80" w:type="dxa"/>
              <w:start w:w="100" w:type="dxa"/>
              <w:bottom w:w="80" w:type="dxa"/>
              <w:end w:w="100" w:type="dxa"/>
            </w:tcMar>
          </w:tcPr>
          <w:p>
            <w:r>
              <w:t>$48.0m</w:t>
            </w:r>
          </w:p>
        </w:tc>
        <w:tc>
          <w:tcPr>
            <w:tcW w:type="dxa" w:w="3312"/>
            <w:vAlign w:val="center"/>
            <w:tcMar>
              <w:top w:w="80" w:type="dxa"/>
              <w:start w:w="100" w:type="dxa"/>
              <w:bottom w:w="80" w:type="dxa"/>
              <w:end w:w="100" w:type="dxa"/>
            </w:tcMar>
          </w:tcPr>
          <w:p>
            <w:r>
              <w:t>Master planning, architecture, engineering, branded design integration, traffic and infrastructure planning.</w:t>
            </w:r>
          </w:p>
        </w:tc>
      </w:tr>
      <w:tr>
        <w:tc>
          <w:tcPr>
            <w:tcW w:type="dxa" w:w="3312"/>
            <w:vAlign w:val="center"/>
            <w:tcMar>
              <w:top w:w="80" w:type="dxa"/>
              <w:start w:w="100" w:type="dxa"/>
              <w:bottom w:w="80" w:type="dxa"/>
              <w:end w:w="100" w:type="dxa"/>
            </w:tcMar>
          </w:tcPr>
          <w:p>
            <w:r>
              <w:t>Regulatory approvals</w:t>
            </w:r>
          </w:p>
        </w:tc>
        <w:tc>
          <w:tcPr>
            <w:tcW w:type="dxa" w:w="3312"/>
            <w:vAlign w:val="center"/>
            <w:tcMar>
              <w:top w:w="80" w:type="dxa"/>
              <w:start w:w="100" w:type="dxa"/>
              <w:bottom w:w="80" w:type="dxa"/>
              <w:end w:w="100" w:type="dxa"/>
            </w:tcMar>
          </w:tcPr>
          <w:p>
            <w:r>
              <w:t>$21.0m</w:t>
            </w:r>
          </w:p>
        </w:tc>
        <w:tc>
          <w:tcPr>
            <w:tcW w:type="dxa" w:w="3312"/>
            <w:vAlign w:val="center"/>
            <w:tcMar>
              <w:top w:w="80" w:type="dxa"/>
              <w:start w:w="100" w:type="dxa"/>
              <w:bottom w:w="80" w:type="dxa"/>
              <w:end w:w="100" w:type="dxa"/>
            </w:tcMar>
          </w:tcPr>
          <w:p>
            <w:r>
              <w:t>Permitting, municipality interactions, environmental and utility coordination, compliance submissions.</w:t>
            </w:r>
          </w:p>
        </w:tc>
      </w:tr>
      <w:tr>
        <w:tc>
          <w:tcPr>
            <w:tcW w:type="dxa" w:w="3312"/>
            <w:vAlign w:val="center"/>
            <w:tcMar>
              <w:top w:w="80" w:type="dxa"/>
              <w:start w:w="100" w:type="dxa"/>
              <w:bottom w:w="80" w:type="dxa"/>
              <w:end w:w="100" w:type="dxa"/>
            </w:tcMar>
          </w:tcPr>
          <w:p>
            <w:r>
              <w:t>Construction and development</w:t>
            </w:r>
          </w:p>
        </w:tc>
        <w:tc>
          <w:tcPr>
            <w:tcW w:type="dxa" w:w="3312"/>
            <w:vAlign w:val="center"/>
            <w:tcMar>
              <w:top w:w="80" w:type="dxa"/>
              <w:start w:w="100" w:type="dxa"/>
              <w:bottom w:w="80" w:type="dxa"/>
              <w:end w:w="100" w:type="dxa"/>
            </w:tcMar>
          </w:tcPr>
          <w:p>
            <w:r>
              <w:t>$509.0m</w:t>
            </w:r>
          </w:p>
        </w:tc>
        <w:tc>
          <w:tcPr>
            <w:tcW w:type="dxa" w:w="3312"/>
            <w:vAlign w:val="center"/>
            <w:tcMar>
              <w:top w:w="80" w:type="dxa"/>
              <w:start w:w="100" w:type="dxa"/>
              <w:bottom w:w="80" w:type="dxa"/>
              <w:end w:w="100" w:type="dxa"/>
            </w:tcMar>
          </w:tcPr>
          <w:p>
            <w:r>
              <w:t>Main contractor packages, infrastructure, façade, MEP, interior build-out, contingency utilization.</w:t>
            </w:r>
          </w:p>
        </w:tc>
      </w:tr>
      <w:tr>
        <w:tc>
          <w:tcPr>
            <w:tcW w:type="dxa" w:w="3312"/>
            <w:vAlign w:val="center"/>
            <w:tcMar>
              <w:top w:w="80" w:type="dxa"/>
              <w:start w:w="100" w:type="dxa"/>
              <w:bottom w:w="80" w:type="dxa"/>
              <w:end w:w="100" w:type="dxa"/>
            </w:tcMar>
          </w:tcPr>
          <w:p>
            <w:r>
              <w:t>Marketing and sales launch</w:t>
            </w:r>
          </w:p>
        </w:tc>
        <w:tc>
          <w:tcPr>
            <w:tcW w:type="dxa" w:w="3312"/>
            <w:vAlign w:val="center"/>
            <w:tcMar>
              <w:top w:w="80" w:type="dxa"/>
              <w:start w:w="100" w:type="dxa"/>
              <w:bottom w:w="80" w:type="dxa"/>
              <w:end w:w="100" w:type="dxa"/>
            </w:tcMar>
          </w:tcPr>
          <w:p>
            <w:r>
              <w:t>$56.0m</w:t>
            </w:r>
          </w:p>
        </w:tc>
        <w:tc>
          <w:tcPr>
            <w:tcW w:type="dxa" w:w="3312"/>
            <w:vAlign w:val="center"/>
            <w:tcMar>
              <w:top w:w="80" w:type="dxa"/>
              <w:start w:w="100" w:type="dxa"/>
              <w:bottom w:w="80" w:type="dxa"/>
              <w:end w:w="100" w:type="dxa"/>
            </w:tcMar>
          </w:tcPr>
          <w:p>
            <w:r>
              <w:t>Global campaigns, broker network activation, sales center operations, digital lead generation.</w:t>
            </w:r>
          </w:p>
        </w:tc>
      </w:tr>
      <w:tr>
        <w:tc>
          <w:tcPr>
            <w:tcW w:type="dxa" w:w="3312"/>
            <w:vAlign w:val="center"/>
            <w:tcMar>
              <w:top w:w="80" w:type="dxa"/>
              <w:start w:w="100" w:type="dxa"/>
              <w:bottom w:w="80" w:type="dxa"/>
              <w:end w:w="100" w:type="dxa"/>
            </w:tcMar>
          </w:tcPr>
          <w:p>
            <w:r>
              <w:t>Completion and delivery readiness</w:t>
            </w:r>
          </w:p>
        </w:tc>
        <w:tc>
          <w:tcPr>
            <w:tcW w:type="dxa" w:w="3312"/>
            <w:vAlign w:val="center"/>
            <w:tcMar>
              <w:top w:w="80" w:type="dxa"/>
              <w:start w:w="100" w:type="dxa"/>
              <w:bottom w:w="80" w:type="dxa"/>
              <w:end w:w="100" w:type="dxa"/>
            </w:tcMar>
          </w:tcPr>
          <w:p>
            <w:r>
              <w:t>$29.0m</w:t>
            </w:r>
          </w:p>
        </w:tc>
        <w:tc>
          <w:tcPr>
            <w:tcW w:type="dxa" w:w="3312"/>
            <w:vAlign w:val="center"/>
            <w:tcMar>
              <w:top w:w="80" w:type="dxa"/>
              <w:start w:w="100" w:type="dxa"/>
              <w:bottom w:w="80" w:type="dxa"/>
              <w:end w:w="100" w:type="dxa"/>
            </w:tcMar>
          </w:tcPr>
          <w:p>
            <w:r>
              <w:t>Testing, commissioning, snagging, handover support, post-completion operating ramp.</w:t>
            </w:r>
          </w:p>
        </w:tc>
      </w:tr>
      <w:tr>
        <w:tc>
          <w:tcPr>
            <w:tcW w:type="dxa" w:w="3312"/>
            <w:vAlign w:val="center"/>
            <w:tcMar>
              <w:top w:w="80" w:type="dxa"/>
              <w:start w:w="100" w:type="dxa"/>
              <w:bottom w:w="80" w:type="dxa"/>
              <w:end w:w="100" w:type="dxa"/>
            </w:tcMar>
          </w:tcPr>
          <w:p>
            <w:r>
              <w:t>Corporate and platform expansion</w:t>
            </w:r>
          </w:p>
        </w:tc>
        <w:tc>
          <w:tcPr>
            <w:tcW w:type="dxa" w:w="3312"/>
            <w:vAlign w:val="center"/>
            <w:tcMar>
              <w:top w:w="80" w:type="dxa"/>
              <w:start w:w="100" w:type="dxa"/>
              <w:bottom w:w="80" w:type="dxa"/>
              <w:end w:w="100" w:type="dxa"/>
            </w:tcMar>
          </w:tcPr>
          <w:p>
            <w:r>
              <w:t>$20.0m</w:t>
            </w:r>
          </w:p>
        </w:tc>
        <w:tc>
          <w:tcPr>
            <w:tcW w:type="dxa" w:w="3312"/>
            <w:vAlign w:val="center"/>
            <w:tcMar>
              <w:top w:w="80" w:type="dxa"/>
              <w:start w:w="100" w:type="dxa"/>
              <w:bottom w:w="80" w:type="dxa"/>
              <w:end w:w="100" w:type="dxa"/>
            </w:tcMar>
          </w:tcPr>
          <w:p>
            <w:r>
              <w:t>Hiring, technology, finance controls, PMO build-out, investor reporting systems.</w:t>
            </w:r>
          </w:p>
        </w:tc>
      </w:tr>
    </w:tbl>
    <w:p>
      <w:pPr>
        <w:pStyle w:val="Heading1"/>
      </w:pPr>
      <w:r>
        <w:t>4. Revenue and Sales Milestones</w:t>
      </w:r>
    </w:p>
    <w:p>
      <w:r>
        <w:t>A material portion of value creation depends on converting funded project execution into early commercial validation. Accordingly, the milestone plan includes presale targets, absorption milestones, average selling price protection targets, and leasing ramp objectives. These metrics serve as both external market proof points and internal indicators that capital is being deployed into commercially bankable assets.</w:t>
      </w:r>
    </w:p>
    <w:p>
      <w:r>
        <w:t>Illustrative revenue-related milestones include: achieving 25% presales at Marina Residences within six months of launch, securing 40% villa reservations at Palm Waterfront Villas by the end of the first full selling cycle, reaching signed operator branding and service agreements before the commercial launch of Downtown Branded Residences, and stabilizing initial retail leasing commitments at the Jumeirah Mixed-Use Development before vertical construction reaches late-stage completion.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100" w:type="dxa"/>
              <w:bottom w:w="80" w:type="dxa"/>
              <w:end w:w="100" w:type="dxa"/>
            </w:tcMar>
            <w:shd w:fill="D9EAF7"/>
          </w:tcPr>
          <w:p>
            <w:r>
              <w:rPr>
                <w:b/>
              </w:rPr>
              <w:t>Metric</w:t>
            </w:r>
          </w:p>
        </w:tc>
        <w:tc>
          <w:tcPr>
            <w:tcW w:type="dxa" w:w="2484"/>
            <w:vAlign w:val="center"/>
            <w:tcMar>
              <w:top w:w="80" w:type="dxa"/>
              <w:start w:w="100" w:type="dxa"/>
              <w:bottom w:w="80" w:type="dxa"/>
              <w:end w:w="100" w:type="dxa"/>
            </w:tcMar>
            <w:shd w:fill="D9EAF7"/>
          </w:tcPr>
          <w:p>
            <w:r>
              <w:rPr>
                <w:b/>
              </w:rPr>
              <w:t>Year 1 target</w:t>
            </w:r>
          </w:p>
        </w:tc>
        <w:tc>
          <w:tcPr>
            <w:tcW w:type="dxa" w:w="2484"/>
            <w:vAlign w:val="center"/>
            <w:tcMar>
              <w:top w:w="80" w:type="dxa"/>
              <w:start w:w="100" w:type="dxa"/>
              <w:bottom w:w="80" w:type="dxa"/>
              <w:end w:w="100" w:type="dxa"/>
            </w:tcMar>
            <w:shd w:fill="D9EAF7"/>
          </w:tcPr>
          <w:p>
            <w:r>
              <w:rPr>
                <w:b/>
              </w:rPr>
              <w:t>Year 3 target</w:t>
            </w:r>
          </w:p>
        </w:tc>
        <w:tc>
          <w:tcPr>
            <w:tcW w:type="dxa" w:w="2484"/>
            <w:vAlign w:val="center"/>
            <w:tcMar>
              <w:top w:w="80" w:type="dxa"/>
              <w:start w:w="100" w:type="dxa"/>
              <w:bottom w:w="80" w:type="dxa"/>
              <w:end w:w="100" w:type="dxa"/>
            </w:tcMar>
            <w:shd w:fill="D9EAF7"/>
          </w:tcPr>
          <w:p>
            <w:r>
              <w:rPr>
                <w:b/>
              </w:rPr>
              <w:t>Milestone significance</w:t>
            </w:r>
          </w:p>
        </w:tc>
      </w:tr>
      <w:tr>
        <w:tc>
          <w:tcPr>
            <w:tcW w:type="dxa" w:w="2484"/>
            <w:vAlign w:val="center"/>
            <w:tcMar>
              <w:top w:w="80" w:type="dxa"/>
              <w:start w:w="100" w:type="dxa"/>
              <w:bottom w:w="80" w:type="dxa"/>
              <w:end w:w="100" w:type="dxa"/>
            </w:tcMar>
          </w:tcPr>
          <w:p>
            <w:r>
              <w:t>Cumulative contracted presales</w:t>
            </w:r>
          </w:p>
        </w:tc>
        <w:tc>
          <w:tcPr>
            <w:tcW w:type="dxa" w:w="2484"/>
            <w:vAlign w:val="center"/>
            <w:tcMar>
              <w:top w:w="80" w:type="dxa"/>
              <w:start w:w="100" w:type="dxa"/>
              <w:bottom w:w="80" w:type="dxa"/>
              <w:end w:w="100" w:type="dxa"/>
            </w:tcMar>
          </w:tcPr>
          <w:p>
            <w:r>
              <w:t>$190.0m</w:t>
            </w:r>
          </w:p>
        </w:tc>
        <w:tc>
          <w:tcPr>
            <w:tcW w:type="dxa" w:w="2484"/>
            <w:vAlign w:val="center"/>
            <w:tcMar>
              <w:top w:w="80" w:type="dxa"/>
              <w:start w:w="100" w:type="dxa"/>
              <w:bottom w:w="80" w:type="dxa"/>
              <w:end w:w="100" w:type="dxa"/>
            </w:tcMar>
          </w:tcPr>
          <w:p>
            <w:r>
              <w:t>$845.0m</w:t>
            </w:r>
          </w:p>
        </w:tc>
        <w:tc>
          <w:tcPr>
            <w:tcW w:type="dxa" w:w="2484"/>
            <w:vAlign w:val="center"/>
            <w:tcMar>
              <w:top w:w="80" w:type="dxa"/>
              <w:start w:w="100" w:type="dxa"/>
              <w:bottom w:w="80" w:type="dxa"/>
              <w:end w:w="100" w:type="dxa"/>
            </w:tcMar>
          </w:tcPr>
          <w:p>
            <w:r>
              <w:t>Demonstrates market acceptance and supports project-level funding efficiency</w:t>
            </w:r>
          </w:p>
        </w:tc>
      </w:tr>
      <w:tr>
        <w:tc>
          <w:tcPr>
            <w:tcW w:type="dxa" w:w="2484"/>
            <w:vAlign w:val="center"/>
            <w:tcMar>
              <w:top w:w="80" w:type="dxa"/>
              <w:start w:w="100" w:type="dxa"/>
              <w:bottom w:w="80" w:type="dxa"/>
              <w:end w:w="100" w:type="dxa"/>
            </w:tcMar>
          </w:tcPr>
          <w:p>
            <w:r>
              <w:t>Average selling price realization</w:t>
            </w:r>
          </w:p>
        </w:tc>
        <w:tc>
          <w:tcPr>
            <w:tcW w:type="dxa" w:w="2484"/>
            <w:vAlign w:val="center"/>
            <w:tcMar>
              <w:top w:w="80" w:type="dxa"/>
              <w:start w:w="100" w:type="dxa"/>
              <w:bottom w:w="80" w:type="dxa"/>
              <w:end w:w="100" w:type="dxa"/>
            </w:tcMar>
          </w:tcPr>
          <w:p>
            <w:r>
              <w:t>Within 98% of launch pricing</w:t>
            </w:r>
          </w:p>
        </w:tc>
        <w:tc>
          <w:tcPr>
            <w:tcW w:type="dxa" w:w="2484"/>
            <w:vAlign w:val="center"/>
            <w:tcMar>
              <w:top w:w="80" w:type="dxa"/>
              <w:start w:w="100" w:type="dxa"/>
              <w:bottom w:w="80" w:type="dxa"/>
              <w:end w:w="100" w:type="dxa"/>
            </w:tcMar>
          </w:tcPr>
          <w:p>
            <w:r>
              <w:t>3%–5% cumulative uplift vs initial launch pricing</w:t>
            </w:r>
          </w:p>
        </w:tc>
        <w:tc>
          <w:tcPr>
            <w:tcW w:type="dxa" w:w="2484"/>
            <w:vAlign w:val="center"/>
            <w:tcMar>
              <w:top w:w="80" w:type="dxa"/>
              <w:start w:w="100" w:type="dxa"/>
              <w:bottom w:w="80" w:type="dxa"/>
              <w:end w:w="100" w:type="dxa"/>
            </w:tcMar>
          </w:tcPr>
          <w:p>
            <w:r>
              <w:t>Protects margin integrity and validates luxury positioning</w:t>
            </w:r>
          </w:p>
        </w:tc>
      </w:tr>
      <w:tr>
        <w:tc>
          <w:tcPr>
            <w:tcW w:type="dxa" w:w="2484"/>
            <w:vAlign w:val="center"/>
            <w:tcMar>
              <w:top w:w="80" w:type="dxa"/>
              <w:start w:w="100" w:type="dxa"/>
              <w:bottom w:w="80" w:type="dxa"/>
              <w:end w:w="100" w:type="dxa"/>
            </w:tcMar>
          </w:tcPr>
          <w:p>
            <w:r>
              <w:t>Commercial / retail pre-leasing</w:t>
            </w:r>
          </w:p>
        </w:tc>
        <w:tc>
          <w:tcPr>
            <w:tcW w:type="dxa" w:w="2484"/>
            <w:vAlign w:val="center"/>
            <w:tcMar>
              <w:top w:w="80" w:type="dxa"/>
              <w:start w:w="100" w:type="dxa"/>
              <w:bottom w:w="80" w:type="dxa"/>
              <w:end w:w="100" w:type="dxa"/>
            </w:tcMar>
          </w:tcPr>
          <w:p>
            <w:r>
              <w:t>15% of leasable area</w:t>
            </w:r>
          </w:p>
        </w:tc>
        <w:tc>
          <w:tcPr>
            <w:tcW w:type="dxa" w:w="2484"/>
            <w:vAlign w:val="center"/>
            <w:tcMar>
              <w:top w:w="80" w:type="dxa"/>
              <w:start w:w="100" w:type="dxa"/>
              <w:bottom w:w="80" w:type="dxa"/>
              <w:end w:w="100" w:type="dxa"/>
            </w:tcMar>
          </w:tcPr>
          <w:p>
            <w:r>
              <w:t>65% of leasable area</w:t>
            </w:r>
          </w:p>
        </w:tc>
        <w:tc>
          <w:tcPr>
            <w:tcW w:type="dxa" w:w="2484"/>
            <w:vAlign w:val="center"/>
            <w:tcMar>
              <w:top w:w="80" w:type="dxa"/>
              <w:start w:w="100" w:type="dxa"/>
              <w:bottom w:w="80" w:type="dxa"/>
              <w:end w:w="100" w:type="dxa"/>
            </w:tcMar>
          </w:tcPr>
          <w:p>
            <w:r>
              <w:t>Improves mixed-use underwriting and recurring revenue visibility</w:t>
            </w:r>
          </w:p>
        </w:tc>
      </w:tr>
      <w:tr>
        <w:tc>
          <w:tcPr>
            <w:tcW w:type="dxa" w:w="2484"/>
            <w:vAlign w:val="center"/>
            <w:tcMar>
              <w:top w:w="80" w:type="dxa"/>
              <w:start w:w="100" w:type="dxa"/>
              <w:bottom w:w="80" w:type="dxa"/>
              <w:end w:w="100" w:type="dxa"/>
            </w:tcMar>
          </w:tcPr>
          <w:p>
            <w:r>
              <w:t>Hospitality / branded revenue commitments</w:t>
            </w:r>
          </w:p>
        </w:tc>
        <w:tc>
          <w:tcPr>
            <w:tcW w:type="dxa" w:w="2484"/>
            <w:vAlign w:val="center"/>
            <w:tcMar>
              <w:top w:w="80" w:type="dxa"/>
              <w:start w:w="100" w:type="dxa"/>
              <w:bottom w:w="80" w:type="dxa"/>
              <w:end w:w="100" w:type="dxa"/>
            </w:tcMar>
          </w:tcPr>
          <w:p>
            <w:r>
              <w:t>$8.0m annualized run-rate secured</w:t>
            </w:r>
          </w:p>
        </w:tc>
        <w:tc>
          <w:tcPr>
            <w:tcW w:type="dxa" w:w="2484"/>
            <w:vAlign w:val="center"/>
            <w:tcMar>
              <w:top w:w="80" w:type="dxa"/>
              <w:start w:w="100" w:type="dxa"/>
              <w:bottom w:w="80" w:type="dxa"/>
              <w:end w:w="100" w:type="dxa"/>
            </w:tcMar>
          </w:tcPr>
          <w:p>
            <w:r>
              <w:t>$26.0m annualized run-rate secured</w:t>
            </w:r>
          </w:p>
        </w:tc>
        <w:tc>
          <w:tcPr>
            <w:tcW w:type="dxa" w:w="2484"/>
            <w:vAlign w:val="center"/>
            <w:tcMar>
              <w:top w:w="80" w:type="dxa"/>
              <w:start w:w="100" w:type="dxa"/>
              <w:bottom w:w="80" w:type="dxa"/>
              <w:end w:w="100" w:type="dxa"/>
            </w:tcMar>
          </w:tcPr>
          <w:p>
            <w:r>
              <w:t>Supports premium valuation narrative and diversified income mix</w:t>
            </w:r>
          </w:p>
        </w:tc>
      </w:tr>
    </w:tbl>
    <w:p>
      <w:pPr>
        <w:pStyle w:val="Heading1"/>
      </w:pPr>
      <w:r>
        <w:t>5. Operational Expansion Milestones</w:t>
      </w:r>
    </w:p>
    <w:p>
      <w:r>
        <w:t>Institutional capital is expected to finance not only concrete and steel, but also the operating platform required to execute a larger and more complex development book. Management intends to build a fit-for-scale operating model with stronger project management office capability, procurement rigor, finance control, investor relations, legal and compliance oversight, and centralized sales operations.</w:t>
      </w:r>
    </w:p>
    <w:p>
      <w:r>
        <w:t>Key milestones include completion of a centralized PMO framework, implementation of monthly project risk reviews, procurement panel consolidation, recruitment of senior leadership across development finance and investor relations, and the creation of a portfolio-level reporting cadence suitable for board and investor oversight.</w:t>
      </w:r>
    </w:p>
    <w:p>
      <w:pPr>
        <w:pStyle w:val="Heading1"/>
      </w:pPr>
      <w:r>
        <w:t>6. Marketing and Brand Development Milestones</w:t>
      </w:r>
    </w:p>
    <w:p>
      <w:r>
        <w:t>Because Aurelia operates in the premium and ultra-premium segment, brand milestones are commercially meaningful and directly tied to pricing power. The funding plan therefore includes staged milestones related to international launch campaigns, channel partner activation, hospitality branding announcements, and cross-border investor targeting across Europe, Asia, and the GCC.</w:t>
      </w:r>
    </w:p>
    <w:p>
      <w:r>
        <w:t>Illustrative brand milestones include: launch of a global luxury brand architecture for the Aurelia master brand, activation of a priority broker network with measurable lead conversion targets, announcement of at least two additional branded residence or hospitality collaborations, and completion of digital campaign infrastructure capable of attributing investor leads to campaign channels and property launches.</w:t>
      </w:r>
    </w:p>
    <w:p>
      <w:pPr>
        <w:pStyle w:val="Heading1"/>
      </w:pPr>
      <w:r>
        <w:t>7. Technology and Innovation Milestones</w:t>
      </w:r>
    </w:p>
    <w:p>
      <w:r>
        <w:t>A portion of the raised capital is designated for technology enablement that supports pricing, sales, project management, and investor reporting. Management intends to implement an integrated project controls environment, CRM and lead analytics tools, digital document workflows, budget-vs-actual dashboards, and data models for pricing optimization and inventory release sequencing.</w:t>
      </w:r>
    </w:p>
    <w:p>
      <w:r>
        <w:t>Technology-related milestones include: implementation of a centralized development dashboard, rollout of digital procurement approvals, deployment of CRM-integrated broker and lead analytics, and migration of board and investor reporting to a standardized monthly performance pack.</w:t>
      </w:r>
    </w:p>
    <w:p>
      <w:pPr>
        <w:pStyle w:val="Heading1"/>
      </w:pPr>
      <w:r>
        <w:t>8. Financial Performance Milestones</w:t>
      </w:r>
    </w:p>
    <w:p>
      <w:r>
        <w:t>Financial milestones are intended to convert operational progress into investor-relevant outcomes. Management expects the new funding to drive both scale and quality of earnings, with the core financial objectives being revenue acceleration, margin protection, improved cash conversion through presales and escrow release discipline, and stronger visibility on debt servicing and future refinancing capacity.</w:t>
      </w:r>
    </w:p>
    <w:p>
      <w:r>
        <w:t>Illustrative financial milestones include revenue surpassing $1.15 billion by Year 3 and $1.55 billion by Year 5, gross project margin holding within the low-to-mid 30% range despite build cost inflation, corporate EBITDA margin expanding through operating leverage, and unrestricted cash coverage remaining above internal minimum liquidity thresholds through the principal construction ramp.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100" w:type="dxa"/>
              <w:bottom w:w="80" w:type="dxa"/>
              <w:end w:w="100" w:type="dxa"/>
            </w:tcMar>
            <w:shd w:fill="D9EAF7"/>
          </w:tcPr>
          <w:p>
            <w:r>
              <w:rPr>
                <w:b/>
              </w:rPr>
              <w:t>Financial KPI</w:t>
            </w:r>
          </w:p>
        </w:tc>
        <w:tc>
          <w:tcPr>
            <w:tcW w:type="dxa" w:w="2484"/>
            <w:vAlign w:val="center"/>
            <w:tcMar>
              <w:top w:w="80" w:type="dxa"/>
              <w:start w:w="100" w:type="dxa"/>
              <w:bottom w:w="80" w:type="dxa"/>
              <w:end w:w="100" w:type="dxa"/>
            </w:tcMar>
            <w:shd w:fill="D9EAF7"/>
          </w:tcPr>
          <w:p>
            <w:r>
              <w:rPr>
                <w:b/>
              </w:rPr>
              <w:t>Year 1</w:t>
            </w:r>
          </w:p>
        </w:tc>
        <w:tc>
          <w:tcPr>
            <w:tcW w:type="dxa" w:w="2484"/>
            <w:vAlign w:val="center"/>
            <w:tcMar>
              <w:top w:w="80" w:type="dxa"/>
              <w:start w:w="100" w:type="dxa"/>
              <w:bottom w:w="80" w:type="dxa"/>
              <w:end w:w="100" w:type="dxa"/>
            </w:tcMar>
            <w:shd w:fill="D9EAF7"/>
          </w:tcPr>
          <w:p>
            <w:r>
              <w:rPr>
                <w:b/>
              </w:rPr>
              <w:t>Year 3</w:t>
            </w:r>
          </w:p>
        </w:tc>
        <w:tc>
          <w:tcPr>
            <w:tcW w:type="dxa" w:w="2484"/>
            <w:vAlign w:val="center"/>
            <w:tcMar>
              <w:top w:w="80" w:type="dxa"/>
              <w:start w:w="100" w:type="dxa"/>
              <w:bottom w:w="80" w:type="dxa"/>
              <w:end w:w="100" w:type="dxa"/>
            </w:tcMar>
            <w:shd w:fill="D9EAF7"/>
          </w:tcPr>
          <w:p>
            <w:r>
              <w:rPr>
                <w:b/>
              </w:rPr>
              <w:t>Year 5 / exit-oriented ambition</w:t>
            </w:r>
          </w:p>
        </w:tc>
      </w:tr>
      <w:tr>
        <w:tc>
          <w:tcPr>
            <w:tcW w:type="dxa" w:w="2484"/>
            <w:vAlign w:val="center"/>
            <w:tcMar>
              <w:top w:w="80" w:type="dxa"/>
              <w:start w:w="100" w:type="dxa"/>
              <w:bottom w:w="80" w:type="dxa"/>
              <w:end w:w="100" w:type="dxa"/>
            </w:tcMar>
          </w:tcPr>
          <w:p>
            <w:r>
              <w:t>Revenue</w:t>
            </w:r>
          </w:p>
        </w:tc>
        <w:tc>
          <w:tcPr>
            <w:tcW w:type="dxa" w:w="2484"/>
            <w:vAlign w:val="center"/>
            <w:tcMar>
              <w:top w:w="80" w:type="dxa"/>
              <w:start w:w="100" w:type="dxa"/>
              <w:bottom w:w="80" w:type="dxa"/>
              <w:end w:w="100" w:type="dxa"/>
            </w:tcMar>
          </w:tcPr>
          <w:p>
            <w:r>
              <w:t>$980.0m</w:t>
            </w:r>
          </w:p>
        </w:tc>
        <w:tc>
          <w:tcPr>
            <w:tcW w:type="dxa" w:w="2484"/>
            <w:vAlign w:val="center"/>
            <w:tcMar>
              <w:top w:w="80" w:type="dxa"/>
              <w:start w:w="100" w:type="dxa"/>
              <w:bottom w:w="80" w:type="dxa"/>
              <w:end w:w="100" w:type="dxa"/>
            </w:tcMar>
          </w:tcPr>
          <w:p>
            <w:r>
              <w:t>$1.15bn</w:t>
            </w:r>
          </w:p>
        </w:tc>
        <w:tc>
          <w:tcPr>
            <w:tcW w:type="dxa" w:w="2484"/>
            <w:vAlign w:val="center"/>
            <w:tcMar>
              <w:top w:w="80" w:type="dxa"/>
              <w:start w:w="100" w:type="dxa"/>
              <w:bottom w:w="80" w:type="dxa"/>
              <w:end w:w="100" w:type="dxa"/>
            </w:tcMar>
          </w:tcPr>
          <w:p>
            <w:r>
              <w:t>$1.55bn</w:t>
            </w:r>
          </w:p>
        </w:tc>
      </w:tr>
      <w:tr>
        <w:tc>
          <w:tcPr>
            <w:tcW w:type="dxa" w:w="2484"/>
            <w:vAlign w:val="center"/>
            <w:tcMar>
              <w:top w:w="80" w:type="dxa"/>
              <w:start w:w="100" w:type="dxa"/>
              <w:bottom w:w="80" w:type="dxa"/>
              <w:end w:w="100" w:type="dxa"/>
            </w:tcMar>
          </w:tcPr>
          <w:p>
            <w:r>
              <w:t>Gross project margin</w:t>
            </w:r>
          </w:p>
        </w:tc>
        <w:tc>
          <w:tcPr>
            <w:tcW w:type="dxa" w:w="2484"/>
            <w:vAlign w:val="center"/>
            <w:tcMar>
              <w:top w:w="80" w:type="dxa"/>
              <w:start w:w="100" w:type="dxa"/>
              <w:bottom w:w="80" w:type="dxa"/>
              <w:end w:w="100" w:type="dxa"/>
            </w:tcMar>
          </w:tcPr>
          <w:p>
            <w:r>
              <w:t>31%–33%</w:t>
            </w:r>
          </w:p>
        </w:tc>
        <w:tc>
          <w:tcPr>
            <w:tcW w:type="dxa" w:w="2484"/>
            <w:vAlign w:val="center"/>
            <w:tcMar>
              <w:top w:w="80" w:type="dxa"/>
              <w:start w:w="100" w:type="dxa"/>
              <w:bottom w:w="80" w:type="dxa"/>
              <w:end w:w="100" w:type="dxa"/>
            </w:tcMar>
          </w:tcPr>
          <w:p>
            <w:r>
              <w:t>32%–34%</w:t>
            </w:r>
          </w:p>
        </w:tc>
        <w:tc>
          <w:tcPr>
            <w:tcW w:type="dxa" w:w="2484"/>
            <w:vAlign w:val="center"/>
            <w:tcMar>
              <w:top w:w="80" w:type="dxa"/>
              <w:start w:w="100" w:type="dxa"/>
              <w:bottom w:w="80" w:type="dxa"/>
              <w:end w:w="100" w:type="dxa"/>
            </w:tcMar>
          </w:tcPr>
          <w:p>
            <w:r>
              <w:t>33%–35%</w:t>
            </w:r>
          </w:p>
        </w:tc>
      </w:tr>
      <w:tr>
        <w:tc>
          <w:tcPr>
            <w:tcW w:type="dxa" w:w="2484"/>
            <w:vAlign w:val="center"/>
            <w:tcMar>
              <w:top w:w="80" w:type="dxa"/>
              <w:start w:w="100" w:type="dxa"/>
              <w:bottom w:w="80" w:type="dxa"/>
              <w:end w:w="100" w:type="dxa"/>
            </w:tcMar>
          </w:tcPr>
          <w:p>
            <w:r>
              <w:t>Unrestricted cash floor</w:t>
            </w:r>
          </w:p>
        </w:tc>
        <w:tc>
          <w:tcPr>
            <w:tcW w:type="dxa" w:w="2484"/>
            <w:vAlign w:val="center"/>
            <w:tcMar>
              <w:top w:w="80" w:type="dxa"/>
              <w:start w:w="100" w:type="dxa"/>
              <w:bottom w:w="80" w:type="dxa"/>
              <w:end w:w="100" w:type="dxa"/>
            </w:tcMar>
          </w:tcPr>
          <w:p>
            <w:r>
              <w:t>$90.0m</w:t>
            </w:r>
          </w:p>
        </w:tc>
        <w:tc>
          <w:tcPr>
            <w:tcW w:type="dxa" w:w="2484"/>
            <w:vAlign w:val="center"/>
            <w:tcMar>
              <w:top w:w="80" w:type="dxa"/>
              <w:start w:w="100" w:type="dxa"/>
              <w:bottom w:w="80" w:type="dxa"/>
              <w:end w:w="100" w:type="dxa"/>
            </w:tcMar>
          </w:tcPr>
          <w:p>
            <w:r>
              <w:t>$110.0m</w:t>
            </w:r>
          </w:p>
        </w:tc>
        <w:tc>
          <w:tcPr>
            <w:tcW w:type="dxa" w:w="2484"/>
            <w:vAlign w:val="center"/>
            <w:tcMar>
              <w:top w:w="80" w:type="dxa"/>
              <w:start w:w="100" w:type="dxa"/>
              <w:bottom w:w="80" w:type="dxa"/>
              <w:end w:w="100" w:type="dxa"/>
            </w:tcMar>
          </w:tcPr>
          <w:p>
            <w:r>
              <w:t>$140.0m</w:t>
            </w:r>
          </w:p>
        </w:tc>
      </w:tr>
      <w:tr>
        <w:tc>
          <w:tcPr>
            <w:tcW w:type="dxa" w:w="2484"/>
            <w:vAlign w:val="center"/>
            <w:tcMar>
              <w:top w:w="80" w:type="dxa"/>
              <w:start w:w="100" w:type="dxa"/>
              <w:bottom w:w="80" w:type="dxa"/>
              <w:end w:w="100" w:type="dxa"/>
            </w:tcMar>
          </w:tcPr>
          <w:p>
            <w:r>
              <w:t>Net debt / stabilized EBITDA proxy</w:t>
            </w:r>
          </w:p>
        </w:tc>
        <w:tc>
          <w:tcPr>
            <w:tcW w:type="dxa" w:w="2484"/>
            <w:vAlign w:val="center"/>
            <w:tcMar>
              <w:top w:w="80" w:type="dxa"/>
              <w:start w:w="100" w:type="dxa"/>
              <w:bottom w:w="80" w:type="dxa"/>
              <w:end w:w="100" w:type="dxa"/>
            </w:tcMar>
          </w:tcPr>
          <w:p>
            <w:r>
              <w:t>Below 5.5x</w:t>
            </w:r>
          </w:p>
        </w:tc>
        <w:tc>
          <w:tcPr>
            <w:tcW w:type="dxa" w:w="2484"/>
            <w:vAlign w:val="center"/>
            <w:tcMar>
              <w:top w:w="80" w:type="dxa"/>
              <w:start w:w="100" w:type="dxa"/>
              <w:bottom w:w="80" w:type="dxa"/>
              <w:end w:w="100" w:type="dxa"/>
            </w:tcMar>
          </w:tcPr>
          <w:p>
            <w:r>
              <w:t>Below 4.5x</w:t>
            </w:r>
          </w:p>
        </w:tc>
        <w:tc>
          <w:tcPr>
            <w:tcW w:type="dxa" w:w="2484"/>
            <w:vAlign w:val="center"/>
            <w:tcMar>
              <w:top w:w="80" w:type="dxa"/>
              <w:start w:w="100" w:type="dxa"/>
              <w:bottom w:w="80" w:type="dxa"/>
              <w:end w:w="100" w:type="dxa"/>
            </w:tcMar>
          </w:tcPr>
          <w:p>
            <w:r>
              <w:t>Below 3.5x</w:t>
            </w:r>
          </w:p>
        </w:tc>
      </w:tr>
    </w:tbl>
    <w:p>
      <w:pPr>
        <w:pStyle w:val="Heading1"/>
      </w:pPr>
      <w:r>
        <w:t>9. Investor Return Milestones</w:t>
      </w:r>
    </w:p>
    <w:p>
      <w:r>
        <w:t>Private equity investors ultimately evaluate milestone achievement through the lens of valuation and exit optionality. Accordingly, the company’s milestone framework includes explicit investor return milestones tied to project stabilization, branded premium realization, operating institutionalization, and readiness for strategic monetization or recapitalization pathways.</w:t>
      </w:r>
    </w:p>
    <w:p>
      <w:r>
        <w:t>Key investor-return-oriented milestones include: completion of at least two flagship development handovers on or near budget, demonstration of a repeatable branded residential commercialization engine, achievement of portfolio-level KPI reporting sufficient for third-party diligence, and evidence of enterprise value expansion through both NAV growth and improved perceived execution quality.</w:t>
      </w:r>
    </w:p>
    <w:p>
      <w:pPr>
        <w:pStyle w:val="Heading1"/>
      </w:pPr>
      <w:r>
        <w:t>10. Timeline for Milestone Achievement</w:t>
      </w:r>
    </w:p>
    <w:p>
      <w:r>
        <w:t>The roadmap below presents the milestones expected to be achieved over a five-year horizon. Timing remains subject to permitting, market conditions, contractor performance, and sales absorption, but the sequence reflects management’s current base-case execution plan.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Mar>
              <w:top w:w="80" w:type="dxa"/>
              <w:start w:w="100" w:type="dxa"/>
              <w:bottom w:w="80" w:type="dxa"/>
              <w:end w:w="100" w:type="dxa"/>
            </w:tcMar>
            <w:shd w:fill="1F4E79"/>
          </w:tcPr>
          <w:p>
            <w:r>
              <w:rPr>
                <w:b/>
                <w:color w:val="FFFFFF"/>
              </w:rPr>
              <w:t>Period</w:t>
            </w:r>
          </w:p>
        </w:tc>
        <w:tc>
          <w:tcPr>
            <w:tcW w:type="dxa" w:w="1987"/>
            <w:vAlign w:val="center"/>
            <w:tcMar>
              <w:top w:w="80" w:type="dxa"/>
              <w:start w:w="100" w:type="dxa"/>
              <w:bottom w:w="80" w:type="dxa"/>
              <w:end w:w="100" w:type="dxa"/>
            </w:tcMar>
            <w:shd w:fill="1F4E79"/>
          </w:tcPr>
          <w:p>
            <w:r>
              <w:rPr>
                <w:b/>
                <w:color w:val="FFFFFF"/>
              </w:rPr>
              <w:t>Core strategic milestones</w:t>
            </w:r>
          </w:p>
        </w:tc>
        <w:tc>
          <w:tcPr>
            <w:tcW w:type="dxa" w:w="1987"/>
            <w:vAlign w:val="center"/>
            <w:tcMar>
              <w:top w:w="80" w:type="dxa"/>
              <w:start w:w="100" w:type="dxa"/>
              <w:bottom w:w="80" w:type="dxa"/>
              <w:end w:w="100" w:type="dxa"/>
            </w:tcMar>
            <w:shd w:fill="1F4E79"/>
          </w:tcPr>
          <w:p>
            <w:r>
              <w:rPr>
                <w:b/>
                <w:color w:val="FFFFFF"/>
              </w:rPr>
              <w:t>Project milestones</w:t>
            </w:r>
          </w:p>
        </w:tc>
        <w:tc>
          <w:tcPr>
            <w:tcW w:type="dxa" w:w="1987"/>
            <w:vAlign w:val="center"/>
            <w:tcMar>
              <w:top w:w="80" w:type="dxa"/>
              <w:start w:w="100" w:type="dxa"/>
              <w:bottom w:w="80" w:type="dxa"/>
              <w:end w:w="100" w:type="dxa"/>
            </w:tcMar>
            <w:shd w:fill="1F4E79"/>
          </w:tcPr>
          <w:p>
            <w:r>
              <w:rPr>
                <w:b/>
                <w:color w:val="FFFFFF"/>
              </w:rPr>
              <w:t>Commercial / financial milestones</w:t>
            </w:r>
          </w:p>
        </w:tc>
        <w:tc>
          <w:tcPr>
            <w:tcW w:type="dxa" w:w="1987"/>
            <w:vAlign w:val="center"/>
            <w:tcMar>
              <w:top w:w="80" w:type="dxa"/>
              <w:start w:w="100" w:type="dxa"/>
              <w:bottom w:w="80" w:type="dxa"/>
              <w:end w:w="100" w:type="dxa"/>
            </w:tcMar>
            <w:shd w:fill="1F4E79"/>
          </w:tcPr>
          <w:p>
            <w:r>
              <w:rPr>
                <w:b/>
                <w:color w:val="FFFFFF"/>
              </w:rPr>
              <w:t>Illustrative capital deployed (USD)</w:t>
            </w:r>
          </w:p>
        </w:tc>
      </w:tr>
      <w:tr>
        <w:tc>
          <w:tcPr>
            <w:tcW w:type="dxa" w:w="1987"/>
            <w:vAlign w:val="center"/>
            <w:tcMar>
              <w:top w:w="80" w:type="dxa"/>
              <w:start w:w="100" w:type="dxa"/>
              <w:bottom w:w="80" w:type="dxa"/>
              <w:end w:w="100" w:type="dxa"/>
            </w:tcMar>
          </w:tcPr>
          <w:p>
            <w:r>
              <w:t>Year 1</w:t>
            </w:r>
          </w:p>
        </w:tc>
        <w:tc>
          <w:tcPr>
            <w:tcW w:type="dxa" w:w="1987"/>
            <w:vAlign w:val="center"/>
            <w:tcMar>
              <w:top w:w="80" w:type="dxa"/>
              <w:start w:w="100" w:type="dxa"/>
              <w:bottom w:w="80" w:type="dxa"/>
              <w:end w:w="100" w:type="dxa"/>
            </w:tcMar>
          </w:tcPr>
          <w:p>
            <w:r>
              <w:t>Finalize platform build-out, secure land control, complete design packages</w:t>
            </w:r>
          </w:p>
        </w:tc>
        <w:tc>
          <w:tcPr>
            <w:tcW w:type="dxa" w:w="1987"/>
            <w:vAlign w:val="center"/>
            <w:tcMar>
              <w:top w:w="80" w:type="dxa"/>
              <w:start w:w="100" w:type="dxa"/>
              <w:bottom w:w="80" w:type="dxa"/>
              <w:end w:w="100" w:type="dxa"/>
            </w:tcMar>
          </w:tcPr>
          <w:p>
            <w:r>
              <w:t>Land acquisition completion for priority parcels; design and permit submissions on 4 core projects</w:t>
            </w:r>
          </w:p>
        </w:tc>
        <w:tc>
          <w:tcPr>
            <w:tcW w:type="dxa" w:w="1987"/>
            <w:vAlign w:val="center"/>
            <w:tcMar>
              <w:top w:w="80" w:type="dxa"/>
              <w:start w:w="100" w:type="dxa"/>
              <w:bottom w:w="80" w:type="dxa"/>
              <w:end w:w="100" w:type="dxa"/>
            </w:tcMar>
          </w:tcPr>
          <w:p>
            <w:r>
              <w:t>Initial presales launches; first $190m contracted presales target</w:t>
            </w:r>
          </w:p>
        </w:tc>
        <w:tc>
          <w:tcPr>
            <w:tcW w:type="dxa" w:w="1987"/>
            <w:vAlign w:val="center"/>
            <w:tcMar>
              <w:top w:w="80" w:type="dxa"/>
              <w:start w:w="100" w:type="dxa"/>
              <w:bottom w:w="80" w:type="dxa"/>
              <w:end w:w="100" w:type="dxa"/>
            </w:tcMar>
          </w:tcPr>
          <w:p>
            <w:r>
              <w:t>$210.0m</w:t>
            </w:r>
          </w:p>
        </w:tc>
      </w:tr>
      <w:tr>
        <w:tc>
          <w:tcPr>
            <w:tcW w:type="dxa" w:w="1987"/>
            <w:vAlign w:val="center"/>
            <w:tcMar>
              <w:top w:w="80" w:type="dxa"/>
              <w:start w:w="100" w:type="dxa"/>
              <w:bottom w:w="80" w:type="dxa"/>
              <w:end w:w="100" w:type="dxa"/>
            </w:tcMar>
          </w:tcPr>
          <w:p>
            <w:r>
              <w:t>Year 2</w:t>
            </w:r>
          </w:p>
        </w:tc>
        <w:tc>
          <w:tcPr>
            <w:tcW w:type="dxa" w:w="1987"/>
            <w:vAlign w:val="center"/>
            <w:tcMar>
              <w:top w:w="80" w:type="dxa"/>
              <w:start w:w="100" w:type="dxa"/>
              <w:bottom w:w="80" w:type="dxa"/>
              <w:end w:w="100" w:type="dxa"/>
            </w:tcMar>
          </w:tcPr>
          <w:p>
            <w:r>
              <w:t>Transition from setup to full execution cadence</w:t>
            </w:r>
          </w:p>
        </w:tc>
        <w:tc>
          <w:tcPr>
            <w:tcW w:type="dxa" w:w="1987"/>
            <w:vAlign w:val="center"/>
            <w:tcMar>
              <w:top w:w="80" w:type="dxa"/>
              <w:start w:w="100" w:type="dxa"/>
              <w:bottom w:w="80" w:type="dxa"/>
              <w:end w:w="100" w:type="dxa"/>
            </w:tcMar>
          </w:tcPr>
          <w:p>
            <w:r>
              <w:t>Main contractor mobilization and enabling works across core Dubai projects</w:t>
            </w:r>
          </w:p>
        </w:tc>
        <w:tc>
          <w:tcPr>
            <w:tcW w:type="dxa" w:w="1987"/>
            <w:vAlign w:val="center"/>
            <w:tcMar>
              <w:top w:w="80" w:type="dxa"/>
              <w:start w:w="100" w:type="dxa"/>
              <w:bottom w:w="80" w:type="dxa"/>
              <w:end w:w="100" w:type="dxa"/>
            </w:tcMar>
          </w:tcPr>
          <w:p>
            <w:r>
              <w:t>Broader launch campaign; cumulative contracted sales exceed $420m</w:t>
            </w:r>
          </w:p>
        </w:tc>
        <w:tc>
          <w:tcPr>
            <w:tcW w:type="dxa" w:w="1987"/>
            <w:vAlign w:val="center"/>
            <w:tcMar>
              <w:top w:w="80" w:type="dxa"/>
              <w:start w:w="100" w:type="dxa"/>
              <w:bottom w:w="80" w:type="dxa"/>
              <w:end w:w="100" w:type="dxa"/>
            </w:tcMar>
          </w:tcPr>
          <w:p>
            <w:r>
              <w:t>$185.0m</w:t>
            </w:r>
          </w:p>
        </w:tc>
      </w:tr>
      <w:tr>
        <w:tc>
          <w:tcPr>
            <w:tcW w:type="dxa" w:w="1987"/>
            <w:vAlign w:val="center"/>
            <w:tcMar>
              <w:top w:w="80" w:type="dxa"/>
              <w:start w:w="100" w:type="dxa"/>
              <w:bottom w:w="80" w:type="dxa"/>
              <w:end w:w="100" w:type="dxa"/>
            </w:tcMar>
          </w:tcPr>
          <w:p>
            <w:r>
              <w:t>Year 3</w:t>
            </w:r>
          </w:p>
        </w:tc>
        <w:tc>
          <w:tcPr>
            <w:tcW w:type="dxa" w:w="1987"/>
            <w:vAlign w:val="center"/>
            <w:tcMar>
              <w:top w:w="80" w:type="dxa"/>
              <w:start w:w="100" w:type="dxa"/>
              <w:bottom w:w="80" w:type="dxa"/>
              <w:end w:w="100" w:type="dxa"/>
            </w:tcMar>
          </w:tcPr>
          <w:p>
            <w:r>
              <w:t>Scale execution and institutional reporting quality</w:t>
            </w:r>
          </w:p>
        </w:tc>
        <w:tc>
          <w:tcPr>
            <w:tcW w:type="dxa" w:w="1987"/>
            <w:vAlign w:val="center"/>
            <w:tcMar>
              <w:top w:w="80" w:type="dxa"/>
              <w:start w:w="100" w:type="dxa"/>
              <w:bottom w:w="80" w:type="dxa"/>
              <w:end w:w="100" w:type="dxa"/>
            </w:tcMar>
          </w:tcPr>
          <w:p>
            <w:r>
              <w:t>Vertical build progress across 3 major projects; GCC pilot launch decision</w:t>
            </w:r>
          </w:p>
        </w:tc>
        <w:tc>
          <w:tcPr>
            <w:tcW w:type="dxa" w:w="1987"/>
            <w:vAlign w:val="center"/>
            <w:tcMar>
              <w:top w:w="80" w:type="dxa"/>
              <w:start w:w="100" w:type="dxa"/>
              <w:bottom w:w="80" w:type="dxa"/>
              <w:end w:w="100" w:type="dxa"/>
            </w:tcMar>
          </w:tcPr>
          <w:p>
            <w:r>
              <w:t>Revenue exceeds $1.15bn run-rate basis; leasing/pre-opening milestones achieved</w:t>
            </w:r>
          </w:p>
        </w:tc>
        <w:tc>
          <w:tcPr>
            <w:tcW w:type="dxa" w:w="1987"/>
            <w:vAlign w:val="center"/>
            <w:tcMar>
              <w:top w:w="80" w:type="dxa"/>
              <w:start w:w="100" w:type="dxa"/>
              <w:bottom w:w="80" w:type="dxa"/>
              <w:end w:w="100" w:type="dxa"/>
            </w:tcMar>
          </w:tcPr>
          <w:p>
            <w:r>
              <w:t>$170.0m</w:t>
            </w:r>
          </w:p>
        </w:tc>
      </w:tr>
      <w:tr>
        <w:tc>
          <w:tcPr>
            <w:tcW w:type="dxa" w:w="1987"/>
            <w:vAlign w:val="center"/>
            <w:tcMar>
              <w:top w:w="80" w:type="dxa"/>
              <w:start w:w="100" w:type="dxa"/>
              <w:bottom w:w="80" w:type="dxa"/>
              <w:end w:w="100" w:type="dxa"/>
            </w:tcMar>
          </w:tcPr>
          <w:p>
            <w:r>
              <w:t>Year 4</w:t>
            </w:r>
          </w:p>
        </w:tc>
        <w:tc>
          <w:tcPr>
            <w:tcW w:type="dxa" w:w="1987"/>
            <w:vAlign w:val="center"/>
            <w:tcMar>
              <w:top w:w="80" w:type="dxa"/>
              <w:start w:w="100" w:type="dxa"/>
              <w:bottom w:w="80" w:type="dxa"/>
              <w:end w:w="100" w:type="dxa"/>
            </w:tcMar>
          </w:tcPr>
          <w:p>
            <w:r>
              <w:t>Begin monetization and handover cycle</w:t>
            </w:r>
          </w:p>
        </w:tc>
        <w:tc>
          <w:tcPr>
            <w:tcW w:type="dxa" w:w="1987"/>
            <w:vAlign w:val="center"/>
            <w:tcMar>
              <w:top w:w="80" w:type="dxa"/>
              <w:start w:w="100" w:type="dxa"/>
              <w:bottom w:w="80" w:type="dxa"/>
              <w:end w:w="100" w:type="dxa"/>
            </w:tcMar>
          </w:tcPr>
          <w:p>
            <w:r>
              <w:t>First major handovers; hospitality and retail components stabilize</w:t>
            </w:r>
          </w:p>
        </w:tc>
        <w:tc>
          <w:tcPr>
            <w:tcW w:type="dxa" w:w="1987"/>
            <w:vAlign w:val="center"/>
            <w:tcMar>
              <w:top w:w="80" w:type="dxa"/>
              <w:start w:w="100" w:type="dxa"/>
              <w:bottom w:w="80" w:type="dxa"/>
              <w:end w:w="100" w:type="dxa"/>
            </w:tcMar>
          </w:tcPr>
          <w:p>
            <w:r>
              <w:t>Margin proof points strengthen; refinancing / strategic optionality improves</w:t>
            </w:r>
          </w:p>
        </w:tc>
        <w:tc>
          <w:tcPr>
            <w:tcW w:type="dxa" w:w="1987"/>
            <w:vAlign w:val="center"/>
            <w:tcMar>
              <w:top w:w="80" w:type="dxa"/>
              <w:start w:w="100" w:type="dxa"/>
              <w:bottom w:w="80" w:type="dxa"/>
              <w:end w:w="100" w:type="dxa"/>
            </w:tcMar>
          </w:tcPr>
          <w:p>
            <w:r>
              <w:t>$145.0m</w:t>
            </w:r>
          </w:p>
        </w:tc>
      </w:tr>
      <w:tr>
        <w:tc>
          <w:tcPr>
            <w:tcW w:type="dxa" w:w="1987"/>
            <w:vAlign w:val="center"/>
            <w:tcMar>
              <w:top w:w="80" w:type="dxa"/>
              <w:start w:w="100" w:type="dxa"/>
              <w:bottom w:w="80" w:type="dxa"/>
              <w:end w:w="100" w:type="dxa"/>
            </w:tcMar>
          </w:tcPr>
          <w:p>
            <w:r>
              <w:t>Year 5</w:t>
            </w:r>
          </w:p>
        </w:tc>
        <w:tc>
          <w:tcPr>
            <w:tcW w:type="dxa" w:w="1987"/>
            <w:vAlign w:val="center"/>
            <w:tcMar>
              <w:top w:w="80" w:type="dxa"/>
              <w:start w:w="100" w:type="dxa"/>
              <w:bottom w:w="80" w:type="dxa"/>
              <w:end w:w="100" w:type="dxa"/>
            </w:tcMar>
          </w:tcPr>
          <w:p>
            <w:r>
              <w:t>Portfolio maturity and investor value realization preparation</w:t>
            </w:r>
          </w:p>
        </w:tc>
        <w:tc>
          <w:tcPr>
            <w:tcW w:type="dxa" w:w="1987"/>
            <w:vAlign w:val="center"/>
            <w:tcMar>
              <w:top w:w="80" w:type="dxa"/>
              <w:start w:w="100" w:type="dxa"/>
              <w:bottom w:w="80" w:type="dxa"/>
              <w:end w:w="100" w:type="dxa"/>
            </w:tcMar>
          </w:tcPr>
          <w:p>
            <w:r>
              <w:t>Second wave completions; selective expansion / recapitalization readiness</w:t>
            </w:r>
          </w:p>
        </w:tc>
        <w:tc>
          <w:tcPr>
            <w:tcW w:type="dxa" w:w="1987"/>
            <w:vAlign w:val="center"/>
            <w:tcMar>
              <w:top w:w="80" w:type="dxa"/>
              <w:start w:w="100" w:type="dxa"/>
              <w:bottom w:w="80" w:type="dxa"/>
              <w:end w:w="100" w:type="dxa"/>
            </w:tcMar>
          </w:tcPr>
          <w:p>
            <w:r>
              <w:t>Enterprise value uplift and exit preparedness supported by delivered assets</w:t>
            </w:r>
          </w:p>
        </w:tc>
        <w:tc>
          <w:tcPr>
            <w:tcW w:type="dxa" w:w="1987"/>
            <w:vAlign w:val="center"/>
            <w:tcMar>
              <w:top w:w="80" w:type="dxa"/>
              <w:start w:w="100" w:type="dxa"/>
              <w:bottom w:w="80" w:type="dxa"/>
              <w:end w:w="100" w:type="dxa"/>
            </w:tcMar>
          </w:tcPr>
          <w:p>
            <w:r>
              <w:t>$115.0m</w:t>
            </w:r>
          </w:p>
        </w:tc>
      </w:tr>
    </w:tbl>
    <w:p>
      <w:pPr>
        <w:pStyle w:val="Heading1"/>
      </w:pPr>
      <w:r>
        <w:t>11. Monitoring and Reporting</w:t>
      </w:r>
    </w:p>
    <w:p>
      <w:r>
        <w:t>Milestone progress will be monitored through a combination of monthly internal operating reviews, quarterly board reporting, and investor reporting packs aligned to the capital deployment plan. Each major milestone will be assigned an executive owner, a quantitative KPI, a milestone date, and a red/amber/green status rating. Material deviations from budget, timing, or presales assumptions will trigger a formal management response plan.</w:t>
      </w:r>
    </w:p>
    <w:p>
      <w:r>
        <w:t>Reporting to investors is expected to include quarterly updates on capital deployed by project, progress against development milestones, sales and leasing performance, construction completion percentages, budget variance, liquidity headroom, and updated milestone forecasts. This reporting structure is designed to ensure that investors can assess both the pace and the quality of capital deployment rather than relying solely on aggregate spending metrics.</w:t>
      </w:r>
    </w:p>
    <w:p>
      <w:r>
        <w:t>From a governance standpoint, the board is expected to review milestone achievement alongside deployment discipline, particularly for large contractor packages, brand partnership commitments, and any scope changes that could alter returns. Internal finance and PMO teams will maintain a milestone register and deployment dashboard, while the investor relations function will coordinate external reporting consistency.</w:t>
      </w:r>
    </w:p>
    <w:p>
      <w:pPr>
        <w:pStyle w:val="Heading1"/>
      </w:pPr>
      <w:r>
        <w:t>Appendix A. Illustrative Milestone Register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Mar>
              <w:top w:w="80" w:type="dxa"/>
              <w:start w:w="100" w:type="dxa"/>
              <w:bottom w:w="80" w:type="dxa"/>
              <w:end w:w="100" w:type="dxa"/>
            </w:tcMar>
            <w:shd w:fill="D9EAF7"/>
          </w:tcPr>
          <w:p>
            <w:r>
              <w:rPr>
                <w:b/>
              </w:rPr>
              <w:t>Milestone</w:t>
            </w:r>
          </w:p>
        </w:tc>
        <w:tc>
          <w:tcPr>
            <w:tcW w:type="dxa" w:w="1987"/>
            <w:vAlign w:val="center"/>
            <w:tcMar>
              <w:top w:w="80" w:type="dxa"/>
              <w:start w:w="100" w:type="dxa"/>
              <w:bottom w:w="80" w:type="dxa"/>
              <w:end w:w="100" w:type="dxa"/>
            </w:tcMar>
            <w:shd w:fill="D9EAF7"/>
          </w:tcPr>
          <w:p>
            <w:r>
              <w:rPr>
                <w:b/>
              </w:rPr>
              <w:t>Target timing</w:t>
            </w:r>
          </w:p>
        </w:tc>
        <w:tc>
          <w:tcPr>
            <w:tcW w:type="dxa" w:w="1987"/>
            <w:vAlign w:val="center"/>
            <w:tcMar>
              <w:top w:w="80" w:type="dxa"/>
              <w:start w:w="100" w:type="dxa"/>
              <w:bottom w:w="80" w:type="dxa"/>
              <w:end w:w="100" w:type="dxa"/>
            </w:tcMar>
            <w:shd w:fill="D9EAF7"/>
          </w:tcPr>
          <w:p>
            <w:r>
              <w:rPr>
                <w:b/>
              </w:rPr>
              <w:t>Owner</w:t>
            </w:r>
          </w:p>
        </w:tc>
        <w:tc>
          <w:tcPr>
            <w:tcW w:type="dxa" w:w="1987"/>
            <w:vAlign w:val="center"/>
            <w:tcMar>
              <w:top w:w="80" w:type="dxa"/>
              <w:start w:w="100" w:type="dxa"/>
              <w:bottom w:w="80" w:type="dxa"/>
              <w:end w:w="100" w:type="dxa"/>
            </w:tcMar>
            <w:shd w:fill="D9EAF7"/>
          </w:tcPr>
          <w:p>
            <w:r>
              <w:rPr>
                <w:b/>
              </w:rPr>
              <w:t>Success measure</w:t>
            </w:r>
          </w:p>
        </w:tc>
        <w:tc>
          <w:tcPr>
            <w:tcW w:type="dxa" w:w="1987"/>
            <w:vAlign w:val="center"/>
            <w:tcMar>
              <w:top w:w="80" w:type="dxa"/>
              <w:start w:w="100" w:type="dxa"/>
              <w:bottom w:w="80" w:type="dxa"/>
              <w:end w:w="100" w:type="dxa"/>
            </w:tcMar>
            <w:shd w:fill="D9EAF7"/>
          </w:tcPr>
          <w:p>
            <w:r>
              <w:rPr>
                <w:b/>
              </w:rPr>
              <w:t>Status at funding close</w:t>
            </w:r>
          </w:p>
        </w:tc>
      </w:tr>
      <w:tr>
        <w:tc>
          <w:tcPr>
            <w:tcW w:type="dxa" w:w="1987"/>
            <w:vAlign w:val="center"/>
            <w:tcMar>
              <w:top w:w="80" w:type="dxa"/>
              <w:start w:w="100" w:type="dxa"/>
              <w:bottom w:w="80" w:type="dxa"/>
              <w:end w:w="100" w:type="dxa"/>
            </w:tcMar>
          </w:tcPr>
          <w:p>
            <w:r>
              <w:t>Complete deferred land payments for priority parcels</w:t>
            </w:r>
          </w:p>
        </w:tc>
        <w:tc>
          <w:tcPr>
            <w:tcW w:type="dxa" w:w="1987"/>
            <w:vAlign w:val="center"/>
            <w:tcMar>
              <w:top w:w="80" w:type="dxa"/>
              <w:start w:w="100" w:type="dxa"/>
              <w:bottom w:w="80" w:type="dxa"/>
              <w:end w:w="100" w:type="dxa"/>
            </w:tcMar>
          </w:tcPr>
          <w:p>
            <w:r>
              <w:t>Months 1–6</w:t>
            </w:r>
          </w:p>
        </w:tc>
        <w:tc>
          <w:tcPr>
            <w:tcW w:type="dxa" w:w="1987"/>
            <w:vAlign w:val="center"/>
            <w:tcMar>
              <w:top w:w="80" w:type="dxa"/>
              <w:start w:w="100" w:type="dxa"/>
              <w:bottom w:w="80" w:type="dxa"/>
              <w:end w:w="100" w:type="dxa"/>
            </w:tcMar>
          </w:tcPr>
          <w:p>
            <w:r>
              <w:t>Chief Development Officer</w:t>
            </w:r>
          </w:p>
        </w:tc>
        <w:tc>
          <w:tcPr>
            <w:tcW w:type="dxa" w:w="1987"/>
            <w:vAlign w:val="center"/>
            <w:tcMar>
              <w:top w:w="80" w:type="dxa"/>
              <w:start w:w="100" w:type="dxa"/>
              <w:bottom w:w="80" w:type="dxa"/>
              <w:end w:w="100" w:type="dxa"/>
            </w:tcMar>
          </w:tcPr>
          <w:p>
            <w:r>
              <w:t>100% of targeted parcel control secured</w:t>
            </w:r>
          </w:p>
        </w:tc>
        <w:tc>
          <w:tcPr>
            <w:tcW w:type="dxa" w:w="1987"/>
            <w:vAlign w:val="center"/>
            <w:tcMar>
              <w:top w:w="80" w:type="dxa"/>
              <w:start w:w="100" w:type="dxa"/>
              <w:bottom w:w="80" w:type="dxa"/>
              <w:end w:w="100" w:type="dxa"/>
            </w:tcMar>
          </w:tcPr>
          <w:p>
            <w:r>
              <w:t>Not started</w:t>
            </w:r>
          </w:p>
        </w:tc>
      </w:tr>
      <w:tr>
        <w:tc>
          <w:tcPr>
            <w:tcW w:type="dxa" w:w="1987"/>
            <w:vAlign w:val="center"/>
            <w:tcMar>
              <w:top w:w="80" w:type="dxa"/>
              <w:start w:w="100" w:type="dxa"/>
              <w:bottom w:w="80" w:type="dxa"/>
              <w:end w:w="100" w:type="dxa"/>
            </w:tcMar>
          </w:tcPr>
          <w:p>
            <w:r>
              <w:t>Finalize design packages for Marina and Palm projects</w:t>
            </w:r>
          </w:p>
        </w:tc>
        <w:tc>
          <w:tcPr>
            <w:tcW w:type="dxa" w:w="1987"/>
            <w:vAlign w:val="center"/>
            <w:tcMar>
              <w:top w:w="80" w:type="dxa"/>
              <w:start w:w="100" w:type="dxa"/>
              <w:bottom w:w="80" w:type="dxa"/>
              <w:end w:w="100" w:type="dxa"/>
            </w:tcMar>
          </w:tcPr>
          <w:p>
            <w:r>
              <w:t>Months 3–9</w:t>
            </w:r>
          </w:p>
        </w:tc>
        <w:tc>
          <w:tcPr>
            <w:tcW w:type="dxa" w:w="1987"/>
            <w:vAlign w:val="center"/>
            <w:tcMar>
              <w:top w:w="80" w:type="dxa"/>
              <w:start w:w="100" w:type="dxa"/>
              <w:bottom w:w="80" w:type="dxa"/>
              <w:end w:w="100" w:type="dxa"/>
            </w:tcMar>
          </w:tcPr>
          <w:p>
            <w:r>
              <w:t>Head of Design / PMO</w:t>
            </w:r>
          </w:p>
        </w:tc>
        <w:tc>
          <w:tcPr>
            <w:tcW w:type="dxa" w:w="1987"/>
            <w:vAlign w:val="center"/>
            <w:tcMar>
              <w:top w:w="80" w:type="dxa"/>
              <w:start w:w="100" w:type="dxa"/>
              <w:bottom w:w="80" w:type="dxa"/>
              <w:end w:w="100" w:type="dxa"/>
            </w:tcMar>
          </w:tcPr>
          <w:p>
            <w:r>
              <w:t>Design freeze and tender issue completed</w:t>
            </w:r>
          </w:p>
        </w:tc>
        <w:tc>
          <w:tcPr>
            <w:tcW w:type="dxa" w:w="1987"/>
            <w:vAlign w:val="center"/>
            <w:tcMar>
              <w:top w:w="80" w:type="dxa"/>
              <w:start w:w="100" w:type="dxa"/>
              <w:bottom w:w="80" w:type="dxa"/>
              <w:end w:w="100" w:type="dxa"/>
            </w:tcMar>
          </w:tcPr>
          <w:p>
            <w:r>
              <w:t>In progress</w:t>
            </w:r>
          </w:p>
        </w:tc>
      </w:tr>
      <w:tr>
        <w:tc>
          <w:tcPr>
            <w:tcW w:type="dxa" w:w="1987"/>
            <w:vAlign w:val="center"/>
            <w:tcMar>
              <w:top w:w="80" w:type="dxa"/>
              <w:start w:w="100" w:type="dxa"/>
              <w:bottom w:w="80" w:type="dxa"/>
              <w:end w:w="100" w:type="dxa"/>
            </w:tcMar>
          </w:tcPr>
          <w:p>
            <w:r>
              <w:t>Secure major permitting approvals for first construction wave</w:t>
            </w:r>
          </w:p>
        </w:tc>
        <w:tc>
          <w:tcPr>
            <w:tcW w:type="dxa" w:w="1987"/>
            <w:vAlign w:val="center"/>
            <w:tcMar>
              <w:top w:w="80" w:type="dxa"/>
              <w:start w:w="100" w:type="dxa"/>
              <w:bottom w:w="80" w:type="dxa"/>
              <w:end w:w="100" w:type="dxa"/>
            </w:tcMar>
          </w:tcPr>
          <w:p>
            <w:r>
              <w:t>Months 6–12</w:t>
            </w:r>
          </w:p>
        </w:tc>
        <w:tc>
          <w:tcPr>
            <w:tcW w:type="dxa" w:w="1987"/>
            <w:vAlign w:val="center"/>
            <w:tcMar>
              <w:top w:w="80" w:type="dxa"/>
              <w:start w:w="100" w:type="dxa"/>
              <w:bottom w:w="80" w:type="dxa"/>
              <w:end w:w="100" w:type="dxa"/>
            </w:tcMar>
          </w:tcPr>
          <w:p>
            <w:r>
              <w:t>Regulatory Affairs Lead</w:t>
            </w:r>
          </w:p>
        </w:tc>
        <w:tc>
          <w:tcPr>
            <w:tcW w:type="dxa" w:w="1987"/>
            <w:vAlign w:val="center"/>
            <w:tcMar>
              <w:top w:w="80" w:type="dxa"/>
              <w:start w:w="100" w:type="dxa"/>
              <w:bottom w:w="80" w:type="dxa"/>
              <w:end w:w="100" w:type="dxa"/>
            </w:tcMar>
          </w:tcPr>
          <w:p>
            <w:r>
              <w:t>Critical approvals received</w:t>
            </w:r>
          </w:p>
        </w:tc>
        <w:tc>
          <w:tcPr>
            <w:tcW w:type="dxa" w:w="1987"/>
            <w:vAlign w:val="center"/>
            <w:tcMar>
              <w:top w:w="80" w:type="dxa"/>
              <w:start w:w="100" w:type="dxa"/>
              <w:bottom w:w="80" w:type="dxa"/>
              <w:end w:w="100" w:type="dxa"/>
            </w:tcMar>
          </w:tcPr>
          <w:p>
            <w:r>
              <w:t>Not started</w:t>
            </w:r>
          </w:p>
        </w:tc>
      </w:tr>
      <w:tr>
        <w:tc>
          <w:tcPr>
            <w:tcW w:type="dxa" w:w="1987"/>
            <w:vAlign w:val="center"/>
            <w:tcMar>
              <w:top w:w="80" w:type="dxa"/>
              <w:start w:w="100" w:type="dxa"/>
              <w:bottom w:w="80" w:type="dxa"/>
              <w:end w:w="100" w:type="dxa"/>
            </w:tcMar>
          </w:tcPr>
          <w:p>
            <w:r>
              <w:t>Launch global presales campaign</w:t>
            </w:r>
          </w:p>
        </w:tc>
        <w:tc>
          <w:tcPr>
            <w:tcW w:type="dxa" w:w="1987"/>
            <w:vAlign w:val="center"/>
            <w:tcMar>
              <w:top w:w="80" w:type="dxa"/>
              <w:start w:w="100" w:type="dxa"/>
              <w:bottom w:w="80" w:type="dxa"/>
              <w:end w:w="100" w:type="dxa"/>
            </w:tcMar>
          </w:tcPr>
          <w:p>
            <w:r>
              <w:t>Months 6–12</w:t>
            </w:r>
          </w:p>
        </w:tc>
        <w:tc>
          <w:tcPr>
            <w:tcW w:type="dxa" w:w="1987"/>
            <w:vAlign w:val="center"/>
            <w:tcMar>
              <w:top w:w="80" w:type="dxa"/>
              <w:start w:w="100" w:type="dxa"/>
              <w:bottom w:w="80" w:type="dxa"/>
              <w:end w:w="100" w:type="dxa"/>
            </w:tcMar>
          </w:tcPr>
          <w:p>
            <w:r>
              <w:t>Chief Commercial Officer</w:t>
            </w:r>
          </w:p>
        </w:tc>
        <w:tc>
          <w:tcPr>
            <w:tcW w:type="dxa" w:w="1987"/>
            <w:vAlign w:val="center"/>
            <w:tcMar>
              <w:top w:w="80" w:type="dxa"/>
              <w:start w:w="100" w:type="dxa"/>
              <w:bottom w:w="80" w:type="dxa"/>
              <w:end w:w="100" w:type="dxa"/>
            </w:tcMar>
          </w:tcPr>
          <w:p>
            <w:r>
              <w:t>Launch executed across target buyer corridors</w:t>
            </w:r>
          </w:p>
        </w:tc>
        <w:tc>
          <w:tcPr>
            <w:tcW w:type="dxa" w:w="1987"/>
            <w:vAlign w:val="center"/>
            <w:tcMar>
              <w:top w:w="80" w:type="dxa"/>
              <w:start w:w="100" w:type="dxa"/>
              <w:bottom w:w="80" w:type="dxa"/>
              <w:end w:w="100" w:type="dxa"/>
            </w:tcMar>
          </w:tcPr>
          <w:p>
            <w:r>
              <w:t>Planned</w:t>
            </w:r>
          </w:p>
        </w:tc>
      </w:tr>
      <w:tr>
        <w:tc>
          <w:tcPr>
            <w:tcW w:type="dxa" w:w="1987"/>
            <w:vAlign w:val="center"/>
            <w:tcMar>
              <w:top w:w="80" w:type="dxa"/>
              <w:start w:w="100" w:type="dxa"/>
              <w:bottom w:w="80" w:type="dxa"/>
              <w:end w:w="100" w:type="dxa"/>
            </w:tcMar>
          </w:tcPr>
          <w:p>
            <w:r>
              <w:t>Award main contractor packages</w:t>
            </w:r>
          </w:p>
        </w:tc>
        <w:tc>
          <w:tcPr>
            <w:tcW w:type="dxa" w:w="1987"/>
            <w:vAlign w:val="center"/>
            <w:tcMar>
              <w:top w:w="80" w:type="dxa"/>
              <w:start w:w="100" w:type="dxa"/>
              <w:bottom w:w="80" w:type="dxa"/>
              <w:end w:w="100" w:type="dxa"/>
            </w:tcMar>
          </w:tcPr>
          <w:p>
            <w:r>
              <w:t>Months 9–15</w:t>
            </w:r>
          </w:p>
        </w:tc>
        <w:tc>
          <w:tcPr>
            <w:tcW w:type="dxa" w:w="1987"/>
            <w:vAlign w:val="center"/>
            <w:tcMar>
              <w:top w:w="80" w:type="dxa"/>
              <w:start w:w="100" w:type="dxa"/>
              <w:bottom w:w="80" w:type="dxa"/>
              <w:end w:w="100" w:type="dxa"/>
            </w:tcMar>
          </w:tcPr>
          <w:p>
            <w:r>
              <w:t>COO / Procurement Committee</w:t>
            </w:r>
          </w:p>
        </w:tc>
        <w:tc>
          <w:tcPr>
            <w:tcW w:type="dxa" w:w="1987"/>
            <w:vAlign w:val="center"/>
            <w:tcMar>
              <w:top w:w="80" w:type="dxa"/>
              <w:start w:w="100" w:type="dxa"/>
              <w:bottom w:w="80" w:type="dxa"/>
              <w:end w:w="100" w:type="dxa"/>
            </w:tcMar>
          </w:tcPr>
          <w:p>
            <w:r>
              <w:t>Contracts executed within budget tolerance</w:t>
            </w:r>
          </w:p>
        </w:tc>
        <w:tc>
          <w:tcPr>
            <w:tcW w:type="dxa" w:w="1987"/>
            <w:vAlign w:val="center"/>
            <w:tcMar>
              <w:top w:w="80" w:type="dxa"/>
              <w:start w:w="100" w:type="dxa"/>
              <w:bottom w:w="80" w:type="dxa"/>
              <w:end w:w="100" w:type="dxa"/>
            </w:tcMar>
          </w:tcPr>
          <w:p>
            <w:r>
              <w:t>Planned</w:t>
            </w:r>
          </w:p>
        </w:tc>
      </w:tr>
      <w:tr>
        <w:tc>
          <w:tcPr>
            <w:tcW w:type="dxa" w:w="1987"/>
            <w:vAlign w:val="center"/>
            <w:tcMar>
              <w:top w:w="80" w:type="dxa"/>
              <w:start w:w="100" w:type="dxa"/>
              <w:bottom w:w="80" w:type="dxa"/>
              <w:end w:w="100" w:type="dxa"/>
            </w:tcMar>
          </w:tcPr>
          <w:p>
            <w:r>
              <w:t>Achieve first $190m contracted presales</w:t>
            </w:r>
          </w:p>
        </w:tc>
        <w:tc>
          <w:tcPr>
            <w:tcW w:type="dxa" w:w="1987"/>
            <w:vAlign w:val="center"/>
            <w:tcMar>
              <w:top w:w="80" w:type="dxa"/>
              <w:start w:w="100" w:type="dxa"/>
              <w:bottom w:w="80" w:type="dxa"/>
              <w:end w:w="100" w:type="dxa"/>
            </w:tcMar>
          </w:tcPr>
          <w:p>
            <w:r>
              <w:t>By end of Year 1</w:t>
            </w:r>
          </w:p>
        </w:tc>
        <w:tc>
          <w:tcPr>
            <w:tcW w:type="dxa" w:w="1987"/>
            <w:vAlign w:val="center"/>
            <w:tcMar>
              <w:top w:w="80" w:type="dxa"/>
              <w:start w:w="100" w:type="dxa"/>
              <w:bottom w:w="80" w:type="dxa"/>
              <w:end w:w="100" w:type="dxa"/>
            </w:tcMar>
          </w:tcPr>
          <w:p>
            <w:r>
              <w:t>Chief Commercial Officer</w:t>
            </w:r>
          </w:p>
        </w:tc>
        <w:tc>
          <w:tcPr>
            <w:tcW w:type="dxa" w:w="1987"/>
            <w:vAlign w:val="center"/>
            <w:tcMar>
              <w:top w:w="80" w:type="dxa"/>
              <w:start w:w="100" w:type="dxa"/>
              <w:bottom w:w="80" w:type="dxa"/>
              <w:end w:w="100" w:type="dxa"/>
            </w:tcMar>
          </w:tcPr>
          <w:p>
            <w:r>
              <w:t>Contracts signed and deposits received</w:t>
            </w:r>
          </w:p>
        </w:tc>
        <w:tc>
          <w:tcPr>
            <w:tcW w:type="dxa" w:w="1987"/>
            <w:vAlign w:val="center"/>
            <w:tcMar>
              <w:top w:w="80" w:type="dxa"/>
              <w:start w:w="100" w:type="dxa"/>
              <w:bottom w:w="80" w:type="dxa"/>
              <w:end w:w="100" w:type="dxa"/>
            </w:tcMar>
          </w:tcPr>
          <w:p>
            <w:r>
              <w:t>Planned</w:t>
            </w:r>
          </w:p>
        </w:tc>
      </w:tr>
      <w:tr>
        <w:tc>
          <w:tcPr>
            <w:tcW w:type="dxa" w:w="1987"/>
            <w:vAlign w:val="center"/>
            <w:tcMar>
              <w:top w:w="80" w:type="dxa"/>
              <w:start w:w="100" w:type="dxa"/>
              <w:bottom w:w="80" w:type="dxa"/>
              <w:end w:w="100" w:type="dxa"/>
            </w:tcMar>
          </w:tcPr>
          <w:p>
            <w:r>
              <w:t>Implement institutional reporting stack</w:t>
            </w:r>
          </w:p>
        </w:tc>
        <w:tc>
          <w:tcPr>
            <w:tcW w:type="dxa" w:w="1987"/>
            <w:vAlign w:val="center"/>
            <w:tcMar>
              <w:top w:w="80" w:type="dxa"/>
              <w:start w:w="100" w:type="dxa"/>
              <w:bottom w:w="80" w:type="dxa"/>
              <w:end w:w="100" w:type="dxa"/>
            </w:tcMar>
          </w:tcPr>
          <w:p>
            <w:r>
              <w:t>Months 1–9</w:t>
            </w:r>
          </w:p>
        </w:tc>
        <w:tc>
          <w:tcPr>
            <w:tcW w:type="dxa" w:w="1987"/>
            <w:vAlign w:val="center"/>
            <w:tcMar>
              <w:top w:w="80" w:type="dxa"/>
              <w:start w:w="100" w:type="dxa"/>
              <w:bottom w:w="80" w:type="dxa"/>
              <w:end w:w="100" w:type="dxa"/>
            </w:tcMar>
          </w:tcPr>
          <w:p>
            <w:r>
              <w:t>CFO / CIO</w:t>
            </w:r>
          </w:p>
        </w:tc>
        <w:tc>
          <w:tcPr>
            <w:tcW w:type="dxa" w:w="1987"/>
            <w:vAlign w:val="center"/>
            <w:tcMar>
              <w:top w:w="80" w:type="dxa"/>
              <w:start w:w="100" w:type="dxa"/>
              <w:bottom w:w="80" w:type="dxa"/>
              <w:end w:w="100" w:type="dxa"/>
            </w:tcMar>
          </w:tcPr>
          <w:p>
            <w:r>
              <w:t>Board-quality dashboard live monthly</w:t>
            </w:r>
          </w:p>
        </w:tc>
        <w:tc>
          <w:tcPr>
            <w:tcW w:type="dxa" w:w="1987"/>
            <w:vAlign w:val="center"/>
            <w:tcMar>
              <w:top w:w="80" w:type="dxa"/>
              <w:start w:w="100" w:type="dxa"/>
              <w:bottom w:w="80" w:type="dxa"/>
              <w:end w:w="100" w:type="dxa"/>
            </w:tcMar>
          </w:tcPr>
          <w:p>
            <w:r>
              <w:t>In progress</w:t>
            </w:r>
          </w:p>
        </w:tc>
      </w:tr>
      <w:tr>
        <w:tc>
          <w:tcPr>
            <w:tcW w:type="dxa" w:w="1987"/>
            <w:vAlign w:val="center"/>
            <w:tcMar>
              <w:top w:w="80" w:type="dxa"/>
              <w:start w:w="100" w:type="dxa"/>
              <w:bottom w:w="80" w:type="dxa"/>
              <w:end w:w="100" w:type="dxa"/>
            </w:tcMar>
          </w:tcPr>
          <w:p>
            <w:r>
              <w:t>Reach first major handover readiness checkpoint</w:t>
            </w:r>
          </w:p>
        </w:tc>
        <w:tc>
          <w:tcPr>
            <w:tcW w:type="dxa" w:w="1987"/>
            <w:vAlign w:val="center"/>
            <w:tcMar>
              <w:top w:w="80" w:type="dxa"/>
              <w:start w:w="100" w:type="dxa"/>
              <w:bottom w:w="80" w:type="dxa"/>
              <w:end w:w="100" w:type="dxa"/>
            </w:tcMar>
          </w:tcPr>
          <w:p>
            <w:r>
              <w:t>Year 4</w:t>
            </w:r>
          </w:p>
        </w:tc>
        <w:tc>
          <w:tcPr>
            <w:tcW w:type="dxa" w:w="1987"/>
            <w:vAlign w:val="center"/>
            <w:tcMar>
              <w:top w:w="80" w:type="dxa"/>
              <w:start w:w="100" w:type="dxa"/>
              <w:bottom w:w="80" w:type="dxa"/>
              <w:end w:w="100" w:type="dxa"/>
            </w:tcMar>
          </w:tcPr>
          <w:p>
            <w:r>
              <w:t>COO / PMO</w:t>
            </w:r>
          </w:p>
        </w:tc>
        <w:tc>
          <w:tcPr>
            <w:tcW w:type="dxa" w:w="1987"/>
            <w:vAlign w:val="center"/>
            <w:tcMar>
              <w:top w:w="80" w:type="dxa"/>
              <w:start w:w="100" w:type="dxa"/>
              <w:bottom w:w="80" w:type="dxa"/>
              <w:end w:w="100" w:type="dxa"/>
            </w:tcMar>
          </w:tcPr>
          <w:p>
            <w:r>
              <w:t>Testing, commissioning, and snagging complete</w:t>
            </w:r>
          </w:p>
        </w:tc>
        <w:tc>
          <w:tcPr>
            <w:tcW w:type="dxa" w:w="1987"/>
            <w:vAlign w:val="center"/>
            <w:tcMar>
              <w:top w:w="80" w:type="dxa"/>
              <w:start w:w="100" w:type="dxa"/>
              <w:bottom w:w="80" w:type="dxa"/>
              <w:end w:w="100" w:type="dxa"/>
            </w:tcMar>
          </w:tcPr>
          <w:p>
            <w:r>
              <w:t>Not started</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F5F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