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List of Off-Balance Sheet Arrangements</w:t>
        <w:br/>
        <w:t>Aurelia Developments LLC</w:t>
      </w:r>
    </w:p>
    <w:p>
      <w:pPr>
        <w:pStyle w:val="Subtitle"/>
        <w:jc w:val="center"/>
      </w:pPr>
      <w:r>
        <w:t>Comprehensive disclosure memorandum prepared in a Big 4–style private equity financial diligence format</w:t>
        <w:br/>
      </w:r>
      <w:r>
        <w:t>Prepared for illustrative diligence review purposes | Real estate development | Dubai, United Arab Emirates</w:t>
      </w:r>
    </w:p>
    <w:tbl>
      <w:tblPr>
        <w:tblW w:type="auto" w:w="0"/>
        <w:jc w:val="center"/>
        <w:tblLayout w:type="fixed"/>
        <w:tblLook w:firstColumn="1" w:firstRow="1" w:lastColumn="0" w:lastRow="0" w:noHBand="0" w:noVBand="1" w:val="04A0"/>
      </w:tblPr>
      <w:tblGrid>
        <w:gridCol w:w="2592"/>
        <w:gridCol w:w="6912"/>
      </w:tblGrid>
      <w:tr>
        <w:tc>
          <w:tcPr>
            <w:tcW w:type="dxa" w:w="4968"/>
            <w:tcMar>
              <w:top w:w="90" w:type="dxa"/>
              <w:start w:w="120" w:type="dxa"/>
              <w:bottom w:w="90" w:type="dxa"/>
              <w:end w:w="120" w:type="dxa"/>
            </w:tcMar>
            <w:vAlign w:val="center"/>
            <w:shd w:fill="D9E2F3"/>
          </w:tcPr>
          <w:p>
            <w:pPr>
              <w:pStyle w:val="TableText"/>
            </w:pPr>
            <w:r>
              <w:rPr>
                <w:b/>
              </w:rPr>
              <w:t>Prepared for</w:t>
            </w:r>
          </w:p>
        </w:tc>
        <w:tc>
          <w:tcPr>
            <w:tcW w:type="dxa" w:w="4968"/>
            <w:tcMar>
              <w:top w:w="90" w:type="dxa"/>
              <w:start w:w="120" w:type="dxa"/>
              <w:bottom w:w="90" w:type="dxa"/>
              <w:end w:w="120" w:type="dxa"/>
            </w:tcMar>
            <w:vAlign w:val="center"/>
            <w:shd w:fill="F7F9FC"/>
          </w:tcPr>
          <w:p>
            <w:pPr>
              <w:pStyle w:val="TableText"/>
            </w:pPr>
            <w:r>
              <w:t>Illustrative use in audit-style, lender, and private equity diligence review</w:t>
            </w:r>
          </w:p>
        </w:tc>
      </w:tr>
      <w:tr>
        <w:tc>
          <w:tcPr>
            <w:tcW w:type="dxa" w:w="4968"/>
            <w:tcMar>
              <w:top w:w="90" w:type="dxa"/>
              <w:start w:w="120" w:type="dxa"/>
              <w:bottom w:w="90" w:type="dxa"/>
              <w:end w:w="120" w:type="dxa"/>
            </w:tcMar>
            <w:vAlign w:val="center"/>
            <w:shd w:fill="D9E2F3"/>
          </w:tcPr>
          <w:p>
            <w:pPr>
              <w:pStyle w:val="TableText"/>
            </w:pPr>
            <w:r>
              <w:rPr>
                <w:b/>
              </w:rPr>
              <w:t>Scope</w:t>
            </w:r>
          </w:p>
        </w:tc>
        <w:tc>
          <w:tcPr>
            <w:tcW w:type="dxa" w:w="4968"/>
            <w:tcMar>
              <w:top w:w="90" w:type="dxa"/>
              <w:start w:w="120" w:type="dxa"/>
              <w:bottom w:w="90" w:type="dxa"/>
              <w:end w:w="120" w:type="dxa"/>
            </w:tcMar>
            <w:vAlign w:val="center"/>
            <w:shd w:fill="F7F9FC"/>
          </w:tcPr>
          <w:p>
            <w:pPr>
              <w:pStyle w:val="TableText"/>
            </w:pPr>
            <w:r>
              <w:t>Off-balance sheet structures, special purpose vehicles, joint ventures, guarantees, lease commitments, performance bonds, and contingent liabilities</w:t>
            </w:r>
          </w:p>
        </w:tc>
      </w:tr>
      <w:tr>
        <w:tc>
          <w:tcPr>
            <w:tcW w:type="dxa" w:w="4968"/>
            <w:tcMar>
              <w:top w:w="90" w:type="dxa"/>
              <w:start w:w="120" w:type="dxa"/>
              <w:bottom w:w="90" w:type="dxa"/>
              <w:end w:w="120" w:type="dxa"/>
            </w:tcMar>
            <w:vAlign w:val="center"/>
            <w:shd w:fill="D9E2F3"/>
          </w:tcPr>
          <w:p>
            <w:pPr>
              <w:pStyle w:val="TableText"/>
            </w:pPr>
            <w:r>
              <w:rPr>
                <w:b/>
              </w:rPr>
              <w:t>Framework</w:t>
            </w:r>
          </w:p>
        </w:tc>
        <w:tc>
          <w:tcPr>
            <w:tcW w:type="dxa" w:w="4968"/>
            <w:tcMar>
              <w:top w:w="90" w:type="dxa"/>
              <w:start w:w="120" w:type="dxa"/>
              <w:bottom w:w="90" w:type="dxa"/>
              <w:end w:w="120" w:type="dxa"/>
            </w:tcMar>
            <w:vAlign w:val="center"/>
            <w:shd w:fill="F7F9FC"/>
          </w:tcPr>
          <w:p>
            <w:pPr>
              <w:pStyle w:val="TableText"/>
            </w:pPr>
            <w:r>
              <w:t>IFRS-focused analysis with GAAP cross-reference concepts for consolidation, commitments, contingencies, and disclosure</w:t>
            </w:r>
          </w:p>
        </w:tc>
      </w:tr>
    </w:tbl>
    <w:p/>
    <w:tbl>
      <w:tblPr>
        <w:tblW w:type="auto" w:w="0"/>
        <w:jc w:val="center"/>
        <w:tblLook w:firstColumn="1" w:firstRow="1" w:lastColumn="0" w:lastRow="0" w:noHBand="0" w:noVBand="1" w:val="04A0"/>
      </w:tblPr>
      <w:tblGrid>
        <w:gridCol w:w="9936"/>
      </w:tblGrid>
      <w:tr>
        <w:tc>
          <w:tcPr>
            <w:tcW w:type="dxa" w:w="9936"/>
            <w:shd w:fill="1F4E79"/>
            <w:tcMar>
              <w:top w:w="120" w:type="dxa"/>
              <w:start w:w="140" w:type="dxa"/>
              <w:bottom w:w="120" w:type="dxa"/>
              <w:end w:w="140" w:type="dxa"/>
            </w:tcMar>
          </w:tcPr>
          <w:p>
            <w:pPr>
              <w:pStyle w:val="BoxHeading"/>
            </w:pPr>
            <w:r>
              <w:t>Important note: This memorandum describes representative off-balance sheet arrangements for a luxury real estate developer operating through project-specific structures in Dubai. The company and arrangement names below are presented as a diligence-style illustrative package, not as historical audited facts.</w:t>
            </w:r>
          </w:p>
        </w:tc>
      </w:tr>
    </w:tbl>
    <w:p/>
    <w:p>
      <w:pPr>
        <w:pStyle w:val="Heading1"/>
      </w:pPr>
      <w:r>
        <w:t>1. Executive Summary</w:t>
      </w:r>
    </w:p>
    <w:p>
      <w:pPr/>
      <w:r>
        <w:t>This memorandum has been prepared to document the principal off-balance sheet arrangements used by Aurelia Developments LLC (the “Company”) in connection with its development, financing, risk-sharing, and operational activities. In a real estate development context, off-balance sheet structures are commonly used to ring-fence project risk, facilitate co-investment, support construction and land access, satisfy lender and regulator requirements, and allocate performance obligations among multiple parties. These structures do not necessarily indicate aggressive accounting; however, they do create potential exposures that may not be immediately visible from a narrow reading of the statement of financial position alone.</w:t>
      </w:r>
    </w:p>
    <w:p>
      <w:pPr/>
      <w:r>
        <w:t>From an investor, lender, and auditor perspective, the central diligence question is not merely whether an arrangement is presented on or off the statement of financial position, but whether the underlying economics, rights, obligations, recourse provisions, and contingent exposures have been identified, measured, and disclosed in a transparent manner. Off-balance sheet arrangements can alter perceptions of leverage, liquidity, project concentration risk, counterparty dependency, and potential future cash requirements, particularly for developers operating through special purpose vehicles (“SPVs”), escrowed project structures, joint venture platforms, and bank-supported guarantee programs.</w:t>
      </w:r>
    </w:p>
    <w:p>
      <w:pPr/>
      <w:r>
        <w:t>This memorandum accordingly summarizes the Company’s representative off-balance sheet structures; maps those structures to the relevant accounting framework; discusses consolidation considerations and areas of judgment; and highlights the potential financial statement, covenant, and liquidity implications arising from those arrangements. Private equity investors typically scrutinize these matters closely because exposures can crystallize quickly when projects underperform, counterparties default, completion dates slip, or lenders exercise recourse rights embedded in support agreements, letters of undertaking, guarantees, or step-in provisions.</w:t>
      </w:r>
    </w:p>
    <w:p>
      <w:pPr>
        <w:pStyle w:val="Heading1"/>
      </w:pPr>
      <w:r>
        <w:t>2. Applicable Accounting Standards</w:t>
      </w:r>
    </w:p>
    <w:p>
      <w:pPr/>
      <w:r>
        <w:t>The accounting analysis of off-balance sheet arrangements is governed primarily by the consolidation, commitments, contingencies, leasing, and disclosure requirements under International Financial Reporting Standards. The most relevant standards are IFRS 10, Consolidated Financial Statements; IFRS 11, Joint Arrangements; IAS 28, Investments in Associates and Joint Ventures; IFRS 12, Disclosure of Interests in Other Entities; IFRS 16, Leases; IAS 37, Provisions, Contingent Liabilities and Contingent Assets; IAS 32 and IFRS 9 for certain guarantee and financing instruments; and, where relevant, IFRS 7 for risk disclosures. In practice, these standards require management to analyze whether control exists, whether rights are to net assets or to specific assets and obligations, whether an obligation is present at the reporting date, and whether commitments or contingencies are material enough to warrant qualitative and quantitative disclosure.</w:t>
      </w:r>
    </w:p>
    <w:p>
      <w:pPr/>
      <w:r>
        <w:t>Under IFRS 10, an investee is consolidated when the investor has power over the investee, exposure or rights to variable returns, and the ability to use power to affect those returns. This assessment is especially important for project SPVs that may be thinly capitalized, financed externally, or governed by contractual decision matrices. Legal ownership percentage, while relevant, is not determinative. Protective rights, substantive decision-making authority, approval thresholds over budgets and financing, and de facto control indicators can all shift the consolidation conclusion.</w:t>
      </w:r>
    </w:p>
    <w:p>
      <w:pPr/>
      <w:r>
        <w:t>IFRS 11 further distinguishes between joint operations and joint ventures. In a joint operation, parties recognize their share of assets, liabilities, revenues, and expenses associated with the arrangement. In a joint venture, parties typically recognize a single equity-accounted investment under IAS 28. The distinction depends on rights and obligations arising from the contractual arrangement and the legal form. This is highly relevant in development partnerships in which one vehicle may hold land and debt, while partners share profits through a separate governance agreement.</w:t>
      </w:r>
    </w:p>
    <w:p>
      <w:pPr/>
      <w:r>
        <w:t>For commitments and contingencies, IAS 37 requires recognition of a provision when there is a present obligation arising from a past event, a probable outflow of economic resources, and a reliable estimate can be made. Otherwise, contingent liabilities are disclosed unless the possibility of outflow is remote. Operating and property use arrangements must also be evaluated under IFRS 16, including whether the Company controls an identified asset for a period of time in exchange for consideration. Although many legacy diligence requests still refer to “off-balance sheet lease commitments,” the accounting framework now generally recognizes lease liabilities on balance sheet unless a practical expedient or scope exception applies; therefore, the diligence focus shifts to variable lease terms, extension options, residual guarantees, and service components not captured in the recognized liability.</w:t>
      </w:r>
    </w:p>
    <w:p>
      <w:pPr/>
      <w:r>
        <w:t>US GAAP contains analogous principles under ASC 810, Consolidation; ASC 842, Leases; and ASC 450, Contingencies. While this memorandum is IFRS-oriented in light of the Company’s jurisdiction and reporting context, the conceptual diligence issues—control, recourse, commitments, and disclosure completeness—are broadly similar under both frameworks.</w:t>
      </w:r>
    </w:p>
    <w:p>
      <w:pPr>
        <w:pStyle w:val="Heading1"/>
      </w:pPr>
      <w:r>
        <w:t>3. Overview of Company Off-Balance Sheet Structures</w:t>
      </w:r>
    </w:p>
    <w:p>
      <w:pPr/>
      <w:r>
        <w:t>The Company’s operating model uses project ring-fencing and partner-sharing mechanisms that are common in Dubai development markets. Based on the diligence profile assumed for this package, the Company’s off-balance sheet universe can be grouped into six broad categories: (i) project-specific SPVs used to hold land rights, debt facilities, and development contracts; (ii) joint venture entities formed with landowners, institutional capital partners, or hospitality operators; (iii) operating and short-term asset-use commitments, including office, sales center, equipment, and selected site logistics arrangements; (iv) financial support instruments such as bank guarantees, performance bonds, and completion undertakings; (v) contingent liabilities linked to disputes, compliance obligations, development milestones, and infrastructure handover commitments; and (vi) embedded financing or support undertakings where the Company is not the direct borrower but has contractual exposure to project-level outcomes.</w:t>
      </w:r>
    </w:p>
    <w:p>
      <w:pPr/>
      <w:r>
        <w:t>These arrangements are not homogeneous. Some are fully consolidated and therefore not off-balance sheet from a statutory reporting standpoint, while others remain unconsolidated but still expose the Company economically through commitments, guarantees, capital calls, subordinated support, or reputational pressure to fund. Accordingly, the diligence analysis should distinguish between presentation and exposure. A legally separate vehicle may be outside consolidation yet still create real liquidity risk if the Company is expected to inject capital or honor support undertakings to preserve project viability.</w:t>
      </w:r>
    </w:p>
    <w:p>
      <w:pPr/>
      <w:r>
        <w:t>The tables and schedules accompanying this memorandum summarize the representative arrangements used by the Company and the estimated maximum direct or indirect exposure associated with each, subject to contractual caps, time-based expiry, counter-guarantees, and the probability of crystallization.</w:t>
      </w:r>
    </w:p>
    <w:p>
      <w:pPr>
        <w:pStyle w:val="Heading1"/>
      </w:pPr>
      <w:r>
        <w:t>4. Special Purpose Vehicles (SPVs)</w:t>
      </w:r>
    </w:p>
    <w:p>
      <w:pPr/>
      <w:r>
        <w:t>The Company uses SPVs primarily to isolate development risk, align financing to specific projects, satisfy escrow and lender structuring requirements, and facilitate future asset-level investment or exit. In a typical structure, a project SPV holds the land-use rights or beneficial interest in the plot, enters the development and construction contracts, receives project-specific debt financing, and maintains the escrow or restricted collection arrangements required by the market. Equity participation may be provided by the Company alone or together with a co-investor or land-contributing partner.</w:t>
      </w:r>
    </w:p>
    <w:p>
      <w:pPr/>
      <w:r>
        <w:t>Illustrative SPVs within the Company’s structure include Marina One SPV Ltd. for a waterfront tower project, Palm Horizon Villas SPV for a luxury villa cluster, Jumeirah Hospitality Residences SPV for branded residences with an operator-linked framework, and Downtown Galleria SPV for a mixed-use retail and hospitality scheme. Certain of these vehicles may be fully consolidated where the Company retains substantive control over budgets, financing, procurement, and sales strategy. Others may remain outside consolidation where governance rights are shared, protective rights held by lenders or partners are substantive, or the Company’s exposure is contractually capped despite a significant operational role.</w:t>
      </w:r>
    </w:p>
    <w:p>
      <w:pPr/>
      <w:r>
        <w:t>Key diligence considerations for SPVs include the legal ownership structure; whether debt is non-recourse, limited recourse, or structurally recourse through guarantees; whether distributions are subordinated to debt service and construction milestones; whether the Company has step-in obligations if the SPV fails to meet covenants; and whether the Company has provided liquidity support outside its contractual equity commitment. Even where the SPV is unconsolidated, side letters, sponsor support agreements, completion undertakings, or reputational obligations to purchasers can create practical exposure beyond the carrying amount of the investment.</w:t>
      </w:r>
    </w:p>
    <w:p>
      <w:pPr/>
      <w:r>
        <w:t>In a transaction setting, investors typically reconcile each SPV’s debt, land obligations, major contracts, escrow restrictions, and contingent sponsor support to determine the true enterprise-level leverage picture. Particular attention is warranted where contractual arrangements result in “debt invisibility” at the parent level even though project underperformance would ultimately require parent funding or trigger guarantee calls.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D9EAF7"/>
            <w:tcMar>
              <w:top w:w="70" w:type="dxa"/>
              <w:start w:w="90" w:type="dxa"/>
              <w:bottom w:w="70" w:type="dxa"/>
              <w:end w:w="90" w:type="dxa"/>
            </w:tcMar>
          </w:tcPr>
          <w:p>
            <w:pPr>
              <w:pStyle w:val="TableText"/>
            </w:pPr>
            <w:r>
              <w:rPr>
                <w:b/>
              </w:rPr>
              <w:t>SPV Name</w:t>
            </w:r>
          </w:p>
        </w:tc>
        <w:tc>
          <w:tcPr>
            <w:tcW w:type="dxa" w:w="1987"/>
            <w:shd w:fill="D9EAF7"/>
            <w:tcMar>
              <w:top w:w="70" w:type="dxa"/>
              <w:start w:w="90" w:type="dxa"/>
              <w:bottom w:w="70" w:type="dxa"/>
              <w:end w:w="90" w:type="dxa"/>
            </w:tcMar>
          </w:tcPr>
          <w:p>
            <w:pPr>
              <w:pStyle w:val="TableText"/>
            </w:pPr>
            <w:r>
              <w:rPr>
                <w:b/>
              </w:rPr>
              <w:t>Primary Project</w:t>
            </w:r>
          </w:p>
        </w:tc>
        <w:tc>
          <w:tcPr>
            <w:tcW w:type="dxa" w:w="1987"/>
            <w:shd w:fill="D9EAF7"/>
            <w:tcMar>
              <w:top w:w="70" w:type="dxa"/>
              <w:start w:w="90" w:type="dxa"/>
              <w:bottom w:w="70" w:type="dxa"/>
              <w:end w:w="90" w:type="dxa"/>
            </w:tcMar>
          </w:tcPr>
          <w:p>
            <w:pPr>
              <w:pStyle w:val="TableText"/>
            </w:pPr>
            <w:r>
              <w:rPr>
                <w:b/>
              </w:rPr>
              <w:t>Ownership</w:t>
            </w:r>
          </w:p>
        </w:tc>
        <w:tc>
          <w:tcPr>
            <w:tcW w:type="dxa" w:w="1987"/>
            <w:shd w:fill="D9EAF7"/>
            <w:tcMar>
              <w:top w:w="70" w:type="dxa"/>
              <w:start w:w="90" w:type="dxa"/>
              <w:bottom w:w="70" w:type="dxa"/>
              <w:end w:w="90" w:type="dxa"/>
            </w:tcMar>
          </w:tcPr>
          <w:p>
            <w:pPr>
              <w:pStyle w:val="TableText"/>
            </w:pPr>
            <w:r>
              <w:rPr>
                <w:b/>
              </w:rPr>
              <w:t>Accounting view</w:t>
            </w:r>
          </w:p>
        </w:tc>
        <w:tc>
          <w:tcPr>
            <w:tcW w:type="dxa" w:w="1987"/>
            <w:shd w:fill="D9EAF7"/>
            <w:tcMar>
              <w:top w:w="70" w:type="dxa"/>
              <w:start w:w="90" w:type="dxa"/>
              <w:bottom w:w="70" w:type="dxa"/>
              <w:end w:w="90" w:type="dxa"/>
            </w:tcMar>
          </w:tcPr>
          <w:p>
            <w:pPr>
              <w:pStyle w:val="TableText"/>
            </w:pPr>
            <w:r>
              <w:rPr>
                <w:b/>
              </w:rPr>
              <w:t>Key off-balance sheet exposure</w:t>
            </w:r>
          </w:p>
        </w:tc>
      </w:tr>
      <w:tr>
        <w:tc>
          <w:tcPr>
            <w:tcW w:type="dxa" w:w="1987"/>
            <w:tcMar>
              <w:top w:w="70" w:type="dxa"/>
              <w:start w:w="90" w:type="dxa"/>
              <w:bottom w:w="70" w:type="dxa"/>
              <w:end w:w="90" w:type="dxa"/>
            </w:tcMar>
            <w:shd w:fill="F8FBFD"/>
          </w:tcPr>
          <w:p>
            <w:pPr>
              <w:pStyle w:val="TableText"/>
            </w:pPr>
            <w:r>
              <w:t>Marina One SPV Ltd.</w:t>
            </w:r>
          </w:p>
        </w:tc>
        <w:tc>
          <w:tcPr>
            <w:tcW w:type="dxa" w:w="1987"/>
            <w:tcMar>
              <w:top w:w="70" w:type="dxa"/>
              <w:start w:w="90" w:type="dxa"/>
              <w:bottom w:w="70" w:type="dxa"/>
              <w:end w:w="90" w:type="dxa"/>
            </w:tcMar>
          </w:tcPr>
          <w:p>
            <w:pPr>
              <w:pStyle w:val="TableText"/>
            </w:pPr>
            <w:r>
              <w:t>Luxury tower</w:t>
            </w:r>
          </w:p>
        </w:tc>
        <w:tc>
          <w:tcPr>
            <w:tcW w:type="dxa" w:w="1987"/>
            <w:tcMar>
              <w:top w:w="70" w:type="dxa"/>
              <w:start w:w="90" w:type="dxa"/>
              <w:bottom w:w="70" w:type="dxa"/>
              <w:end w:w="90" w:type="dxa"/>
            </w:tcMar>
          </w:tcPr>
          <w:p>
            <w:pPr>
              <w:pStyle w:val="TableText"/>
            </w:pPr>
            <w:r>
              <w:t>70%</w:t>
            </w:r>
          </w:p>
        </w:tc>
        <w:tc>
          <w:tcPr>
            <w:tcW w:type="dxa" w:w="1987"/>
            <w:tcMar>
              <w:top w:w="70" w:type="dxa"/>
              <w:start w:w="90" w:type="dxa"/>
              <w:bottom w:w="70" w:type="dxa"/>
              <w:end w:w="90" w:type="dxa"/>
            </w:tcMar>
          </w:tcPr>
          <w:p>
            <w:pPr>
              <w:pStyle w:val="TableText"/>
            </w:pPr>
            <w:r>
              <w:t>Consolidation judgment required</w:t>
            </w:r>
          </w:p>
        </w:tc>
        <w:tc>
          <w:tcPr>
            <w:tcW w:type="dxa" w:w="1987"/>
            <w:tcMar>
              <w:top w:w="70" w:type="dxa"/>
              <w:start w:w="90" w:type="dxa"/>
              <w:bottom w:w="70" w:type="dxa"/>
              <w:end w:w="90" w:type="dxa"/>
            </w:tcMar>
          </w:tcPr>
          <w:p>
            <w:pPr>
              <w:pStyle w:val="TableText"/>
            </w:pPr>
            <w:r>
              <w:t>Support letter for completion and debt reserve top-up</w:t>
            </w:r>
          </w:p>
        </w:tc>
      </w:tr>
      <w:tr>
        <w:tc>
          <w:tcPr>
            <w:tcW w:type="dxa" w:w="1987"/>
            <w:tcMar>
              <w:top w:w="70" w:type="dxa"/>
              <w:start w:w="90" w:type="dxa"/>
              <w:bottom w:w="70" w:type="dxa"/>
              <w:end w:w="90" w:type="dxa"/>
            </w:tcMar>
            <w:shd w:fill="F8FBFD"/>
          </w:tcPr>
          <w:p>
            <w:pPr>
              <w:pStyle w:val="TableText"/>
            </w:pPr>
            <w:r>
              <w:t>Palm Horizon Villas SPV</w:t>
            </w:r>
          </w:p>
        </w:tc>
        <w:tc>
          <w:tcPr>
            <w:tcW w:type="dxa" w:w="1987"/>
            <w:tcMar>
              <w:top w:w="70" w:type="dxa"/>
              <w:start w:w="90" w:type="dxa"/>
              <w:bottom w:w="70" w:type="dxa"/>
              <w:end w:w="90" w:type="dxa"/>
            </w:tcMar>
          </w:tcPr>
          <w:p>
            <w:pPr>
              <w:pStyle w:val="TableText"/>
            </w:pPr>
            <w:r>
              <w:t>Villa community</w:t>
            </w:r>
          </w:p>
        </w:tc>
        <w:tc>
          <w:tcPr>
            <w:tcW w:type="dxa" w:w="1987"/>
            <w:tcMar>
              <w:top w:w="70" w:type="dxa"/>
              <w:start w:w="90" w:type="dxa"/>
              <w:bottom w:w="70" w:type="dxa"/>
              <w:end w:w="90" w:type="dxa"/>
            </w:tcMar>
          </w:tcPr>
          <w:p>
            <w:pPr>
              <w:pStyle w:val="TableText"/>
            </w:pPr>
            <w:r>
              <w:t>55%</w:t>
            </w:r>
          </w:p>
        </w:tc>
        <w:tc>
          <w:tcPr>
            <w:tcW w:type="dxa" w:w="1987"/>
            <w:tcMar>
              <w:top w:w="70" w:type="dxa"/>
              <w:start w:w="90" w:type="dxa"/>
              <w:bottom w:w="70" w:type="dxa"/>
              <w:end w:w="90" w:type="dxa"/>
            </w:tcMar>
          </w:tcPr>
          <w:p>
            <w:pPr>
              <w:pStyle w:val="TableText"/>
            </w:pPr>
            <w:r>
              <w:t>Potentially consolidated</w:t>
            </w:r>
          </w:p>
        </w:tc>
        <w:tc>
          <w:tcPr>
            <w:tcW w:type="dxa" w:w="1987"/>
            <w:tcMar>
              <w:top w:w="70" w:type="dxa"/>
              <w:start w:w="90" w:type="dxa"/>
              <w:bottom w:w="70" w:type="dxa"/>
              <w:end w:w="90" w:type="dxa"/>
            </w:tcMar>
          </w:tcPr>
          <w:p>
            <w:pPr>
              <w:pStyle w:val="TableText"/>
            </w:pPr>
            <w:r>
              <w:t>Bank guarantee backing infrastructure completion</w:t>
            </w:r>
          </w:p>
        </w:tc>
      </w:tr>
      <w:tr>
        <w:tc>
          <w:tcPr>
            <w:tcW w:type="dxa" w:w="1987"/>
            <w:tcMar>
              <w:top w:w="70" w:type="dxa"/>
              <w:start w:w="90" w:type="dxa"/>
              <w:bottom w:w="70" w:type="dxa"/>
              <w:end w:w="90" w:type="dxa"/>
            </w:tcMar>
            <w:shd w:fill="F8FBFD"/>
          </w:tcPr>
          <w:p>
            <w:pPr>
              <w:pStyle w:val="TableText"/>
            </w:pPr>
            <w:r>
              <w:t>Jumeirah Hospitality Residences SPV</w:t>
            </w:r>
          </w:p>
        </w:tc>
        <w:tc>
          <w:tcPr>
            <w:tcW w:type="dxa" w:w="1987"/>
            <w:tcMar>
              <w:top w:w="70" w:type="dxa"/>
              <w:start w:w="90" w:type="dxa"/>
              <w:bottom w:w="70" w:type="dxa"/>
              <w:end w:w="90" w:type="dxa"/>
            </w:tcMar>
          </w:tcPr>
          <w:p>
            <w:pPr>
              <w:pStyle w:val="TableText"/>
            </w:pPr>
            <w:r>
              <w:t>Branded residences</w:t>
            </w:r>
          </w:p>
        </w:tc>
        <w:tc>
          <w:tcPr>
            <w:tcW w:type="dxa" w:w="1987"/>
            <w:tcMar>
              <w:top w:w="70" w:type="dxa"/>
              <w:start w:w="90" w:type="dxa"/>
              <w:bottom w:w="70" w:type="dxa"/>
              <w:end w:w="90" w:type="dxa"/>
            </w:tcMar>
          </w:tcPr>
          <w:p>
            <w:pPr>
              <w:pStyle w:val="TableText"/>
            </w:pPr>
            <w:r>
              <w:t>50%</w:t>
            </w:r>
          </w:p>
        </w:tc>
        <w:tc>
          <w:tcPr>
            <w:tcW w:type="dxa" w:w="1987"/>
            <w:tcMar>
              <w:top w:w="70" w:type="dxa"/>
              <w:start w:w="90" w:type="dxa"/>
              <w:bottom w:w="70" w:type="dxa"/>
              <w:end w:w="90" w:type="dxa"/>
            </w:tcMar>
          </w:tcPr>
          <w:p>
            <w:pPr>
              <w:pStyle w:val="TableText"/>
            </w:pPr>
            <w:r>
              <w:t>Likely joint venture / equity method</w:t>
            </w:r>
          </w:p>
        </w:tc>
        <w:tc>
          <w:tcPr>
            <w:tcW w:type="dxa" w:w="1987"/>
            <w:tcMar>
              <w:top w:w="70" w:type="dxa"/>
              <w:start w:w="90" w:type="dxa"/>
              <w:bottom w:w="70" w:type="dxa"/>
              <w:end w:w="90" w:type="dxa"/>
            </w:tcMar>
          </w:tcPr>
          <w:p>
            <w:pPr>
              <w:pStyle w:val="TableText"/>
            </w:pPr>
            <w:r>
              <w:t>Brand-related minimum performance commitments</w:t>
            </w:r>
          </w:p>
        </w:tc>
      </w:tr>
      <w:tr>
        <w:tc>
          <w:tcPr>
            <w:tcW w:type="dxa" w:w="1987"/>
            <w:tcMar>
              <w:top w:w="70" w:type="dxa"/>
              <w:start w:w="90" w:type="dxa"/>
              <w:bottom w:w="70" w:type="dxa"/>
              <w:end w:w="90" w:type="dxa"/>
            </w:tcMar>
            <w:shd w:fill="F8FBFD"/>
          </w:tcPr>
          <w:p>
            <w:pPr>
              <w:pStyle w:val="TableText"/>
            </w:pPr>
            <w:r>
              <w:t>Downtown Galleria SPV</w:t>
            </w:r>
          </w:p>
        </w:tc>
        <w:tc>
          <w:tcPr>
            <w:tcW w:type="dxa" w:w="1987"/>
            <w:tcMar>
              <w:top w:w="70" w:type="dxa"/>
              <w:start w:w="90" w:type="dxa"/>
              <w:bottom w:w="70" w:type="dxa"/>
              <w:end w:w="90" w:type="dxa"/>
            </w:tcMar>
          </w:tcPr>
          <w:p>
            <w:pPr>
              <w:pStyle w:val="TableText"/>
            </w:pPr>
            <w:r>
              <w:t>Mixed-use retail / hotel</w:t>
            </w:r>
          </w:p>
        </w:tc>
        <w:tc>
          <w:tcPr>
            <w:tcW w:type="dxa" w:w="1987"/>
            <w:tcMar>
              <w:top w:w="70" w:type="dxa"/>
              <w:start w:w="90" w:type="dxa"/>
              <w:bottom w:w="70" w:type="dxa"/>
              <w:end w:w="90" w:type="dxa"/>
            </w:tcMar>
          </w:tcPr>
          <w:p>
            <w:pPr>
              <w:pStyle w:val="TableText"/>
            </w:pPr>
            <w:r>
              <w:t>45%</w:t>
            </w:r>
          </w:p>
        </w:tc>
        <w:tc>
          <w:tcPr>
            <w:tcW w:type="dxa" w:w="1987"/>
            <w:tcMar>
              <w:top w:w="70" w:type="dxa"/>
              <w:start w:w="90" w:type="dxa"/>
              <w:bottom w:w="70" w:type="dxa"/>
              <w:end w:w="90" w:type="dxa"/>
            </w:tcMar>
          </w:tcPr>
          <w:p>
            <w:pPr>
              <w:pStyle w:val="TableText"/>
            </w:pPr>
            <w:r>
              <w:t>Unconsolidated JV candidate</w:t>
            </w:r>
          </w:p>
        </w:tc>
        <w:tc>
          <w:tcPr>
            <w:tcW w:type="dxa" w:w="1987"/>
            <w:tcMar>
              <w:top w:w="70" w:type="dxa"/>
              <w:start w:w="90" w:type="dxa"/>
              <w:bottom w:w="70" w:type="dxa"/>
              <w:end w:w="90" w:type="dxa"/>
            </w:tcMar>
          </w:tcPr>
          <w:p>
            <w:pPr>
              <w:pStyle w:val="TableText"/>
            </w:pPr>
            <w:r>
              <w:t>Capital call exposure and lease guarantees</w:t>
            </w:r>
          </w:p>
        </w:tc>
      </w:tr>
    </w:tbl>
    <w:p/>
    <w:p>
      <w:pPr>
        <w:pStyle w:val="Heading1"/>
      </w:pPr>
      <w:r>
        <w:t>5. Joint Venture Development Agreements</w:t>
      </w:r>
    </w:p>
    <w:p>
      <w:pPr/>
      <w:r>
        <w:t>The Company participates in selected projects through joint venture development arrangements with landowners, local partners, institutional capital providers, or hospitality affiliates. These arrangements are generally established to share capital requirements, secure land access, import brand value, or allocate regulatory and construction risk. Depending on the legal form and contract terms, the resulting arrangement may be accounted for as a joint venture under the equity method, a joint operation with proportionate recognition of assets and obligations, or, in certain circumstances, a consolidated subsidiary if the Company effectively controls the relevant activities.</w:t>
      </w:r>
    </w:p>
    <w:p>
      <w:pPr/>
      <w:r>
        <w:t>Representative joint venture terms may include capital contribution waterfalls, sponsor promotes, priority returns, development management fees, guaranteed minimum returns to land partners, and obligations to fund deficits pro rata or according to a negotiated cure mechanism. The accounting conclusion depends on who directs financing, design, procurement, sales, and key development decisions; whether unanimous consent applies only to protective matters or to day-to-day relevant activities; and whether parties have direct rights to assets and obligations or merely rights to residual net assets.</w:t>
      </w:r>
    </w:p>
    <w:p>
      <w:pPr/>
      <w:r>
        <w:t>For diligence purposes, joint venture arrangements should be reviewed for unfunded capital commitments, mandatory support triggers, dilution provisions, put and call rights, and default remedies. A joint venture that is equity-accounted may still carry meaningful off-balance sheet exposure if the Company must contribute additional equity under cost-overrun clauses or if it has agreed to top up debt service reserves or guarantee selected obligations of the vehicle.</w:t>
      </w:r>
    </w:p>
    <w:p>
      <w:pPr>
        <w:pStyle w:val="Heading1"/>
      </w:pPr>
      <w:r>
        <w:t>6. Lease Commitments</w:t>
      </w:r>
    </w:p>
    <w:p>
      <w:pPr/>
      <w:r>
        <w:t>The Company maintains lease-related obligations connected to head office premises, temporary sales centers, site offices, employee accommodation support, storage yards, and selected equipment or logistics assets. Under IFRS 16, many of these arrangements would give rise to recognized lease liabilities and right-of-use assets. However, from a diligence standpoint, lease-related exposure remains relevant where the contractual economics are not fully captured by the recorded liability—for example, variable rent linked to turnover, extension options that are reasonably certain to be exercised, restoration obligations, service contracts with embedded asset control features, and short-term or low-value arrangements that may be exempted from balance sheet recognition.</w:t>
      </w:r>
    </w:p>
    <w:p>
      <w:pPr/>
      <w:r>
        <w:t>Off-balance sheet lease exposure is therefore used in this memorandum in the broader diligence sense rather than a narrow technical sense. Investors and lenders frequently request a full schedule of lease commitments to understand future cash obligations and operational inflexibility. In a real estate developer context, sales center leases can be material because they often include front-loaded fit-out commitments and reinstatement provisions, while equipment leases may be linked to project delivery schedules and therefore become difficult to terminate without cost.</w:t>
      </w:r>
    </w:p>
    <w:p>
      <w:pPr/>
      <w:r>
        <w:t>The Company’s lease profile should be reviewed for escalation clauses, early termination penalties, security deposits, residual restoration obligations, and guarantees provided to landlords or lessors. These matters can affect future cash needs even when the core lease obligation is already recognized on the statement of financial position.</w:t>
      </w:r>
    </w:p>
    <w:p>
      <w:pPr>
        <w:pStyle w:val="Heading1"/>
      </w:pPr>
      <w:r>
        <w:t>7. Guarantees and Performance Bonds</w:t>
      </w:r>
    </w:p>
    <w:p>
      <w:pPr/>
      <w:r>
        <w:t>Guarantees and performance bonds are central to the Company’s off-balance sheet profile. These may include bid bonds, advance payment guarantees, contractor performance guarantees, infrastructure completion guarantees, escrow support letters, and bank guarantees provided in favor of regulators, counterparties, or utility providers. In many cases, banks issue these instruments against the Company’s credit lines, cash margins, or counter-indemnities. The exposure may therefore exceed the direct fee cost and extend to collateral lock-up, liquidity restrictions, or reimbursement obligations if the guarantee is called.</w:t>
      </w:r>
    </w:p>
    <w:p>
      <w:pPr/>
      <w:r>
        <w:t>From an accounting standpoint, these arrangements are evaluated to determine whether a financial guarantee contract exists, whether an expected outflow is probable under IAS 37, and whether disclosure is required notwithstanding the absence of immediate recognition. The economic risk can be substantial in development settings where completion milestones are aggressive, contractor substitution risk is elevated, or infrastructure handover obligations remain outstanding late in the project cycle.</w:t>
      </w:r>
    </w:p>
    <w:p>
      <w:pPr/>
      <w:r>
        <w:t>Diligence review should focus on the beneficiary, the conditions under which the instrument can be called, expiry dates, collateralization terms, counter-indemnities, and whether the Company has any history of calls, disputes, or renewals caused by delayed project completion. Performance bonds and completion guarantees often represent the clearest path by which a seemingly remote obligation becomes an immediate liquidity event.</w:t>
      </w:r>
    </w:p>
    <w:tbl>
      <w:tblPr>
        <w:tblW w:type="auto" w:w="0"/>
        <w:jc w:val="center"/>
        <w:tblLook w:firstColumn="1" w:firstRow="1" w:lastColumn="0" w:lastRow="0" w:noHBand="0" w:noVBand="1" w:val="04A0"/>
      </w:tblPr>
      <w:tblGrid>
        <w:gridCol w:w="2484"/>
        <w:gridCol w:w="2484"/>
        <w:gridCol w:w="2484"/>
        <w:gridCol w:w="2484"/>
      </w:tblGrid>
      <w:tr>
        <w:tc>
          <w:tcPr>
            <w:tcW w:type="dxa" w:w="2484"/>
            <w:shd w:fill="E2F0D9"/>
            <w:tcMar>
              <w:top w:w="70" w:type="dxa"/>
              <w:start w:w="90" w:type="dxa"/>
              <w:bottom w:w="70" w:type="dxa"/>
              <w:end w:w="90" w:type="dxa"/>
            </w:tcMar>
          </w:tcPr>
          <w:p>
            <w:pPr>
              <w:pStyle w:val="TableText"/>
            </w:pPr>
            <w:r>
              <w:rPr>
                <w:b/>
              </w:rPr>
              <w:t>Instrument</w:t>
            </w:r>
          </w:p>
        </w:tc>
        <w:tc>
          <w:tcPr>
            <w:tcW w:type="dxa" w:w="2484"/>
            <w:shd w:fill="E2F0D9"/>
            <w:tcMar>
              <w:top w:w="70" w:type="dxa"/>
              <w:start w:w="90" w:type="dxa"/>
              <w:bottom w:w="70" w:type="dxa"/>
              <w:end w:w="90" w:type="dxa"/>
            </w:tcMar>
          </w:tcPr>
          <w:p>
            <w:pPr>
              <w:pStyle w:val="TableText"/>
            </w:pPr>
            <w:r>
              <w:rPr>
                <w:b/>
              </w:rPr>
              <w:t>Typical beneficiary</w:t>
            </w:r>
          </w:p>
        </w:tc>
        <w:tc>
          <w:tcPr>
            <w:tcW w:type="dxa" w:w="2484"/>
            <w:shd w:fill="E2F0D9"/>
            <w:tcMar>
              <w:top w:w="70" w:type="dxa"/>
              <w:start w:w="90" w:type="dxa"/>
              <w:bottom w:w="70" w:type="dxa"/>
              <w:end w:w="90" w:type="dxa"/>
            </w:tcMar>
          </w:tcPr>
          <w:p>
            <w:pPr>
              <w:pStyle w:val="TableText"/>
            </w:pPr>
            <w:r>
              <w:rPr>
                <w:b/>
              </w:rPr>
              <w:t>Illustrative amount</w:t>
            </w:r>
          </w:p>
        </w:tc>
        <w:tc>
          <w:tcPr>
            <w:tcW w:type="dxa" w:w="2484"/>
            <w:shd w:fill="E2F0D9"/>
            <w:tcMar>
              <w:top w:w="70" w:type="dxa"/>
              <w:start w:w="90" w:type="dxa"/>
              <w:bottom w:w="70" w:type="dxa"/>
              <w:end w:w="90" w:type="dxa"/>
            </w:tcMar>
          </w:tcPr>
          <w:p>
            <w:pPr>
              <w:pStyle w:val="TableText"/>
            </w:pPr>
            <w:r>
              <w:rPr>
                <w:b/>
              </w:rPr>
              <w:t>Key trigger / note</w:t>
            </w:r>
          </w:p>
        </w:tc>
      </w:tr>
      <w:tr>
        <w:tc>
          <w:tcPr>
            <w:tcW w:type="dxa" w:w="2484"/>
            <w:tcMar>
              <w:top w:w="70" w:type="dxa"/>
              <w:start w:w="90" w:type="dxa"/>
              <w:bottom w:w="70" w:type="dxa"/>
              <w:end w:w="90" w:type="dxa"/>
            </w:tcMar>
          </w:tcPr>
          <w:p>
            <w:pPr>
              <w:pStyle w:val="TableText"/>
            </w:pPr>
            <w:r>
              <w:t>Performance bond</w:t>
            </w:r>
          </w:p>
        </w:tc>
        <w:tc>
          <w:tcPr>
            <w:tcW w:type="dxa" w:w="2484"/>
            <w:tcMar>
              <w:top w:w="70" w:type="dxa"/>
              <w:start w:w="90" w:type="dxa"/>
              <w:bottom w:w="70" w:type="dxa"/>
              <w:end w:w="90" w:type="dxa"/>
            </w:tcMar>
          </w:tcPr>
          <w:p>
            <w:pPr>
              <w:pStyle w:val="TableText"/>
            </w:pPr>
            <w:r>
              <w:t>Project employer / regulator</w:t>
            </w:r>
          </w:p>
        </w:tc>
        <w:tc>
          <w:tcPr>
            <w:tcW w:type="dxa" w:w="2484"/>
            <w:tcMar>
              <w:top w:w="70" w:type="dxa"/>
              <w:start w:w="90" w:type="dxa"/>
              <w:bottom w:w="70" w:type="dxa"/>
              <w:end w:w="90" w:type="dxa"/>
            </w:tcMar>
          </w:tcPr>
          <w:p>
            <w:pPr>
              <w:pStyle w:val="TableText"/>
            </w:pPr>
            <w:r>
              <w:t>AED 45.0m</w:t>
            </w:r>
          </w:p>
        </w:tc>
        <w:tc>
          <w:tcPr>
            <w:tcW w:type="dxa" w:w="2484"/>
            <w:tcMar>
              <w:top w:w="70" w:type="dxa"/>
              <w:start w:w="90" w:type="dxa"/>
              <w:bottom w:w="70" w:type="dxa"/>
              <w:end w:w="90" w:type="dxa"/>
            </w:tcMar>
          </w:tcPr>
          <w:p>
            <w:pPr>
              <w:pStyle w:val="TableText"/>
            </w:pPr>
            <w:r>
              <w:t>Callable upon contractual non-performance</w:t>
            </w:r>
          </w:p>
        </w:tc>
      </w:tr>
      <w:tr>
        <w:tc>
          <w:tcPr>
            <w:tcW w:type="dxa" w:w="2484"/>
            <w:tcMar>
              <w:top w:w="70" w:type="dxa"/>
              <w:start w:w="90" w:type="dxa"/>
              <w:bottom w:w="70" w:type="dxa"/>
              <w:end w:w="90" w:type="dxa"/>
            </w:tcMar>
          </w:tcPr>
          <w:p>
            <w:pPr>
              <w:pStyle w:val="TableText"/>
            </w:pPr>
            <w:r>
              <w:t>Infrastructure completion guarantee</w:t>
            </w:r>
          </w:p>
        </w:tc>
        <w:tc>
          <w:tcPr>
            <w:tcW w:type="dxa" w:w="2484"/>
            <w:tcMar>
              <w:top w:w="70" w:type="dxa"/>
              <w:start w:w="90" w:type="dxa"/>
              <w:bottom w:w="70" w:type="dxa"/>
              <w:end w:w="90" w:type="dxa"/>
            </w:tcMar>
          </w:tcPr>
          <w:p>
            <w:pPr>
              <w:pStyle w:val="TableText"/>
            </w:pPr>
            <w:r>
              <w:t>Utility / municipal authority</w:t>
            </w:r>
          </w:p>
        </w:tc>
        <w:tc>
          <w:tcPr>
            <w:tcW w:type="dxa" w:w="2484"/>
            <w:tcMar>
              <w:top w:w="70" w:type="dxa"/>
              <w:start w:w="90" w:type="dxa"/>
              <w:bottom w:w="70" w:type="dxa"/>
              <w:end w:w="90" w:type="dxa"/>
            </w:tcMar>
          </w:tcPr>
          <w:p>
            <w:pPr>
              <w:pStyle w:val="TableText"/>
            </w:pPr>
            <w:r>
              <w:t>AED 30.0m</w:t>
            </w:r>
          </w:p>
        </w:tc>
        <w:tc>
          <w:tcPr>
            <w:tcW w:type="dxa" w:w="2484"/>
            <w:tcMar>
              <w:top w:w="70" w:type="dxa"/>
              <w:start w:w="90" w:type="dxa"/>
              <w:bottom w:w="70" w:type="dxa"/>
              <w:end w:w="90" w:type="dxa"/>
            </w:tcMar>
          </w:tcPr>
          <w:p>
            <w:pPr>
              <w:pStyle w:val="TableText"/>
            </w:pPr>
            <w:r>
              <w:t>Linked to handover of external works</w:t>
            </w:r>
          </w:p>
        </w:tc>
      </w:tr>
      <w:tr>
        <w:tc>
          <w:tcPr>
            <w:tcW w:type="dxa" w:w="2484"/>
            <w:tcMar>
              <w:top w:w="70" w:type="dxa"/>
              <w:start w:w="90" w:type="dxa"/>
              <w:bottom w:w="70" w:type="dxa"/>
              <w:end w:w="90" w:type="dxa"/>
            </w:tcMar>
          </w:tcPr>
          <w:p>
            <w:pPr>
              <w:pStyle w:val="TableText"/>
            </w:pPr>
            <w:r>
              <w:t>Advance payment guarantee</w:t>
            </w:r>
          </w:p>
        </w:tc>
        <w:tc>
          <w:tcPr>
            <w:tcW w:type="dxa" w:w="2484"/>
            <w:tcMar>
              <w:top w:w="70" w:type="dxa"/>
              <w:start w:w="90" w:type="dxa"/>
              <w:bottom w:w="70" w:type="dxa"/>
              <w:end w:w="90" w:type="dxa"/>
            </w:tcMar>
          </w:tcPr>
          <w:p>
            <w:pPr>
              <w:pStyle w:val="TableText"/>
            </w:pPr>
            <w:r>
              <w:t>Main contractor</w:t>
            </w:r>
          </w:p>
        </w:tc>
        <w:tc>
          <w:tcPr>
            <w:tcW w:type="dxa" w:w="2484"/>
            <w:tcMar>
              <w:top w:w="70" w:type="dxa"/>
              <w:start w:w="90" w:type="dxa"/>
              <w:bottom w:w="70" w:type="dxa"/>
              <w:end w:w="90" w:type="dxa"/>
            </w:tcMar>
          </w:tcPr>
          <w:p>
            <w:pPr>
              <w:pStyle w:val="TableText"/>
            </w:pPr>
            <w:r>
              <w:t>AED 12.0m</w:t>
            </w:r>
          </w:p>
        </w:tc>
        <w:tc>
          <w:tcPr>
            <w:tcW w:type="dxa" w:w="2484"/>
            <w:tcMar>
              <w:top w:w="70" w:type="dxa"/>
              <w:start w:w="90" w:type="dxa"/>
              <w:bottom w:w="70" w:type="dxa"/>
              <w:end w:w="90" w:type="dxa"/>
            </w:tcMar>
          </w:tcPr>
          <w:p>
            <w:pPr>
              <w:pStyle w:val="TableText"/>
            </w:pPr>
            <w:r>
              <w:t>Secures mobilization advance recovery</w:t>
            </w:r>
          </w:p>
        </w:tc>
      </w:tr>
      <w:tr>
        <w:tc>
          <w:tcPr>
            <w:tcW w:type="dxa" w:w="2484"/>
            <w:tcMar>
              <w:top w:w="70" w:type="dxa"/>
              <w:start w:w="90" w:type="dxa"/>
              <w:bottom w:w="70" w:type="dxa"/>
              <w:end w:w="90" w:type="dxa"/>
            </w:tcMar>
          </w:tcPr>
          <w:p>
            <w:pPr>
              <w:pStyle w:val="TableText"/>
            </w:pPr>
            <w:r>
              <w:t>Sales center lease guarantee</w:t>
            </w:r>
          </w:p>
        </w:tc>
        <w:tc>
          <w:tcPr>
            <w:tcW w:type="dxa" w:w="2484"/>
            <w:tcMar>
              <w:top w:w="70" w:type="dxa"/>
              <w:start w:w="90" w:type="dxa"/>
              <w:bottom w:w="70" w:type="dxa"/>
              <w:end w:w="90" w:type="dxa"/>
            </w:tcMar>
          </w:tcPr>
          <w:p>
            <w:pPr>
              <w:pStyle w:val="TableText"/>
            </w:pPr>
            <w:r>
              <w:t>Landlord</w:t>
            </w:r>
          </w:p>
        </w:tc>
        <w:tc>
          <w:tcPr>
            <w:tcW w:type="dxa" w:w="2484"/>
            <w:tcMar>
              <w:top w:w="70" w:type="dxa"/>
              <w:start w:w="90" w:type="dxa"/>
              <w:bottom w:w="70" w:type="dxa"/>
              <w:end w:w="90" w:type="dxa"/>
            </w:tcMar>
          </w:tcPr>
          <w:p>
            <w:pPr>
              <w:pStyle w:val="TableText"/>
            </w:pPr>
            <w:r>
              <w:t>AED 2.4m</w:t>
            </w:r>
          </w:p>
        </w:tc>
        <w:tc>
          <w:tcPr>
            <w:tcW w:type="dxa" w:w="2484"/>
            <w:tcMar>
              <w:top w:w="70" w:type="dxa"/>
              <w:start w:w="90" w:type="dxa"/>
              <w:bottom w:w="70" w:type="dxa"/>
              <w:end w:w="90" w:type="dxa"/>
            </w:tcMar>
          </w:tcPr>
          <w:p>
            <w:pPr>
              <w:pStyle w:val="TableText"/>
            </w:pPr>
            <w:r>
              <w:t>Supports rent and reinstatement obligations</w:t>
            </w:r>
          </w:p>
        </w:tc>
      </w:tr>
    </w:tbl>
    <w:p/>
    <w:p>
      <w:pPr>
        <w:pStyle w:val="Heading1"/>
      </w:pPr>
      <w:r>
        <w:t>8. Contingent Liabilities</w:t>
      </w:r>
    </w:p>
    <w:p>
      <w:pPr/>
      <w:r>
        <w:t>Contingent liabilities may arise from legal claims, purchaser disputes, regulatory investigations, infrastructure obligations, environmental remediation, construction defects, liquidated damages, and tax or fee assessments. In a real estate development portfolio, a significant subset of contingent liabilities relates to project delivery timing, handover quality, and obligations to complete external works before transfer to municipal authorities or community operators. These liabilities are not recognized unless IAS 37’s criteria for a provision are met, but they are nonetheless highly relevant in diligence because they may alter cash requirements or delay project exits.</w:t>
      </w:r>
    </w:p>
    <w:p>
      <w:pPr/>
      <w:r>
        <w:t>The Company’s contingent liability profile should be evaluated not only for individually significant matters but also for volume risk, such as a series of small purchaser claims or a pattern of contractor disputes that points to a systemic issue. Management’s legal probability assessments should be tested against external counsel views, settlement history, and insurance recoverability. When contingent liabilities are linked to unconsolidated SPVs or joint ventures, investors should also assess whether the Company would likely provide funding for strategic or reputational reasons even if no strict legal obligation exists.</w:t>
      </w:r>
    </w:p>
    <w:p>
      <w:pPr>
        <w:pStyle w:val="Heading1"/>
      </w:pPr>
      <w:r>
        <w:t>9. Risk Assessment</w:t>
      </w:r>
    </w:p>
    <w:p>
      <w:pPr/>
      <w:r>
        <w:t>Off-balance sheet arrangements create three core categories of risk for the Company. First, they create liquidity risk, because commitments may crystallize faster than forecast and may not be synchronized with purchaser collections, debt drawdowns, or asset monetization. Second, they create leverage opacity, because project debt, guarantees, and support undertakings may not be evident in headline reported leverage metrics. Third, they create contagion risk, whereby underperformance in one SPV or joint venture can affect the financing capacity, brand reputation, or covenant compliance of the wider group.</w:t>
      </w:r>
    </w:p>
    <w:p>
      <w:pPr/>
      <w:r>
        <w:t>The highest-risk arrangements are generally those involving uncapped support obligations, debt service reserve top-up commitments, guarantees that can be called on a documentary rather than substantive default basis, and joint ventures whose funding waterfalls push losses rapidly onto the operating sponsor. Medium-risk arrangements often include ordinary-course performance bonds, variable lease commitments with manageable termination rights, and capped capital contribution requirements. Lower-risk arrangements may include administrative leases, immaterial contingent claims assessed as remote, and non-recourse project structures with no side support undertakings.</w:t>
      </w:r>
    </w:p>
    <w:p>
      <w:pPr/>
      <w:r>
        <w:t>A robust risk assessment therefore requires the Company to maintain a centralized register of all entities, guarantees, commitments, side letters, and contingent obligations; to track expiry dates and trigger events; and to reconcile those exposures periodically to treasury, legal, and project controls records.</w:t>
      </w:r>
    </w:p>
    <w:tbl>
      <w:tblPr>
        <w:tblW w:type="auto" w:w="0"/>
        <w:jc w:val="center"/>
        <w:tblLook w:firstColumn="1" w:firstRow="1" w:lastColumn="0" w:lastRow="0" w:noHBand="0" w:noVBand="1" w:val="04A0"/>
      </w:tblPr>
      <w:tblGrid>
        <w:gridCol w:w="3312"/>
        <w:gridCol w:w="3312"/>
        <w:gridCol w:w="3312"/>
      </w:tblGrid>
      <w:tr>
        <w:tc>
          <w:tcPr>
            <w:tcW w:type="dxa" w:w="3312"/>
            <w:shd w:fill="1F4E79"/>
            <w:tcMar>
              <w:top w:w="70" w:type="dxa"/>
              <w:start w:w="90" w:type="dxa"/>
              <w:bottom w:w="70" w:type="dxa"/>
              <w:end w:w="90" w:type="dxa"/>
            </w:tcMar>
          </w:tcPr>
          <w:p>
            <w:pPr>
              <w:pStyle w:val="TableText"/>
            </w:pPr>
            <w:r>
              <w:rPr>
                <w:b/>
                <w:color w:val="FFFFFF"/>
              </w:rPr>
              <w:t>Risk tier</w:t>
            </w:r>
          </w:p>
        </w:tc>
        <w:tc>
          <w:tcPr>
            <w:tcW w:type="dxa" w:w="3312"/>
            <w:shd w:fill="1F4E79"/>
            <w:tcMar>
              <w:top w:w="70" w:type="dxa"/>
              <w:start w:w="90" w:type="dxa"/>
              <w:bottom w:w="70" w:type="dxa"/>
              <w:end w:w="90" w:type="dxa"/>
            </w:tcMar>
          </w:tcPr>
          <w:p>
            <w:pPr>
              <w:pStyle w:val="TableText"/>
            </w:pPr>
            <w:r>
              <w:rPr>
                <w:b/>
                <w:color w:val="FFFFFF"/>
              </w:rPr>
              <w:t>Characteristics</w:t>
            </w:r>
          </w:p>
        </w:tc>
        <w:tc>
          <w:tcPr>
            <w:tcW w:type="dxa" w:w="3312"/>
            <w:shd w:fill="1F4E79"/>
            <w:tcMar>
              <w:top w:w="70" w:type="dxa"/>
              <w:start w:w="90" w:type="dxa"/>
              <w:bottom w:w="70" w:type="dxa"/>
              <w:end w:w="90" w:type="dxa"/>
            </w:tcMar>
          </w:tcPr>
          <w:p>
            <w:pPr>
              <w:pStyle w:val="TableText"/>
            </w:pPr>
            <w:r>
              <w:rPr>
                <w:b/>
                <w:color w:val="FFFFFF"/>
              </w:rPr>
              <w:t>Typical examples</w:t>
            </w:r>
          </w:p>
        </w:tc>
      </w:tr>
      <w:tr>
        <w:tc>
          <w:tcPr>
            <w:tcW w:type="dxa" w:w="3312"/>
            <w:shd w:fill="F4CCCC"/>
            <w:tcMar>
              <w:top w:w="70" w:type="dxa"/>
              <w:start w:w="90" w:type="dxa"/>
              <w:bottom w:w="70" w:type="dxa"/>
              <w:end w:w="90" w:type="dxa"/>
            </w:tcMar>
          </w:tcPr>
          <w:p>
            <w:pPr>
              <w:pStyle w:val="TableText"/>
            </w:pPr>
            <w:r>
              <w:t>High</w:t>
            </w:r>
          </w:p>
        </w:tc>
        <w:tc>
          <w:tcPr>
            <w:tcW w:type="dxa" w:w="3312"/>
            <w:shd w:fill="FFFFFF"/>
            <w:tcMar>
              <w:top w:w="70" w:type="dxa"/>
              <w:start w:w="90" w:type="dxa"/>
              <w:bottom w:w="70" w:type="dxa"/>
              <w:end w:w="90" w:type="dxa"/>
            </w:tcMar>
          </w:tcPr>
          <w:p>
            <w:pPr>
              <w:pStyle w:val="TableText"/>
            </w:pPr>
            <w:r>
              <w:t>Potential near-term cash outflow or covenant impact</w:t>
            </w:r>
          </w:p>
        </w:tc>
        <w:tc>
          <w:tcPr>
            <w:tcW w:type="dxa" w:w="3312"/>
            <w:shd w:fill="FFFFFF"/>
            <w:tcMar>
              <w:top w:w="70" w:type="dxa"/>
              <w:start w:w="90" w:type="dxa"/>
              <w:bottom w:w="70" w:type="dxa"/>
              <w:end w:w="90" w:type="dxa"/>
            </w:tcMar>
          </w:tcPr>
          <w:p>
            <w:pPr>
              <w:pStyle w:val="TableText"/>
            </w:pPr>
            <w:r>
              <w:t>Uncapped guarantees, debt support letters, cost-overrun commitments</w:t>
            </w:r>
          </w:p>
        </w:tc>
      </w:tr>
      <w:tr>
        <w:tc>
          <w:tcPr>
            <w:tcW w:type="dxa" w:w="3312"/>
            <w:shd w:fill="FFF2CC"/>
            <w:tcMar>
              <w:top w:w="70" w:type="dxa"/>
              <w:start w:w="90" w:type="dxa"/>
              <w:bottom w:w="70" w:type="dxa"/>
              <w:end w:w="90" w:type="dxa"/>
            </w:tcMar>
          </w:tcPr>
          <w:p>
            <w:pPr>
              <w:pStyle w:val="TableText"/>
            </w:pPr>
            <w:r>
              <w:t>Medium</w:t>
            </w:r>
          </w:p>
        </w:tc>
        <w:tc>
          <w:tcPr>
            <w:tcW w:type="dxa" w:w="3312"/>
            <w:shd w:fill="FFFFFF"/>
            <w:tcMar>
              <w:top w:w="70" w:type="dxa"/>
              <w:start w:w="90" w:type="dxa"/>
              <w:bottom w:w="70" w:type="dxa"/>
              <w:end w:w="90" w:type="dxa"/>
            </w:tcMar>
          </w:tcPr>
          <w:p>
            <w:pPr>
              <w:pStyle w:val="TableText"/>
            </w:pPr>
            <w:r>
              <w:t>Manageable but monitoring required</w:t>
            </w:r>
          </w:p>
        </w:tc>
        <w:tc>
          <w:tcPr>
            <w:tcW w:type="dxa" w:w="3312"/>
            <w:shd w:fill="FFFFFF"/>
            <w:tcMar>
              <w:top w:w="70" w:type="dxa"/>
              <w:start w:w="90" w:type="dxa"/>
              <w:bottom w:w="70" w:type="dxa"/>
              <w:end w:w="90" w:type="dxa"/>
            </w:tcMar>
          </w:tcPr>
          <w:p>
            <w:pPr>
              <w:pStyle w:val="TableText"/>
            </w:pPr>
            <w:r>
              <w:t>JV capital calls, variable lease commitments, performance bonds</w:t>
            </w:r>
          </w:p>
        </w:tc>
      </w:tr>
      <w:tr>
        <w:tc>
          <w:tcPr>
            <w:tcW w:type="dxa" w:w="3312"/>
            <w:shd w:fill="D9EAD3"/>
            <w:tcMar>
              <w:top w:w="70" w:type="dxa"/>
              <w:start w:w="90" w:type="dxa"/>
              <w:bottom w:w="70" w:type="dxa"/>
              <w:end w:w="90" w:type="dxa"/>
            </w:tcMar>
          </w:tcPr>
          <w:p>
            <w:pPr>
              <w:pStyle w:val="TableText"/>
            </w:pPr>
            <w:r>
              <w:t>Low</w:t>
            </w:r>
          </w:p>
        </w:tc>
        <w:tc>
          <w:tcPr>
            <w:tcW w:type="dxa" w:w="3312"/>
            <w:shd w:fill="FFFFFF"/>
            <w:tcMar>
              <w:top w:w="70" w:type="dxa"/>
              <w:start w:w="90" w:type="dxa"/>
              <w:bottom w:w="70" w:type="dxa"/>
              <w:end w:w="90" w:type="dxa"/>
            </w:tcMar>
          </w:tcPr>
          <w:p>
            <w:pPr>
              <w:pStyle w:val="TableText"/>
            </w:pPr>
            <w:r>
              <w:t>Limited probability or capped exposure</w:t>
            </w:r>
          </w:p>
        </w:tc>
        <w:tc>
          <w:tcPr>
            <w:tcW w:type="dxa" w:w="3312"/>
            <w:shd w:fill="FFFFFF"/>
            <w:tcMar>
              <w:top w:w="70" w:type="dxa"/>
              <w:start w:w="90" w:type="dxa"/>
              <w:bottom w:w="70" w:type="dxa"/>
              <w:end w:w="90" w:type="dxa"/>
            </w:tcMar>
          </w:tcPr>
          <w:p>
            <w:pPr>
              <w:pStyle w:val="TableText"/>
            </w:pPr>
            <w:r>
              <w:t>Routine admin leases and remote claims</w:t>
            </w:r>
          </w:p>
        </w:tc>
      </w:tr>
    </w:tbl>
    <w:p/>
    <w:p>
      <w:pPr>
        <w:pStyle w:val="Heading1"/>
      </w:pPr>
      <w:r>
        <w:t>10. Auditor Review and Disclosure</w:t>
      </w:r>
    </w:p>
    <w:p>
      <w:pPr/>
      <w:r>
        <w:t>External auditors reviewing the Company’s off-balance sheet arrangements would typically perform procedures across consolidation analysis, legal confirmations, debt and guarantee circularizations, board minute reviews, contract abstraction, and management representation processes. Particular focus would be placed on entities or arrangements near the boundary between consolidation and non-consolidation, support undertakings not captured in the initial accounting memo, and IAS 37 judgments around probability and measurement.</w:t>
      </w:r>
    </w:p>
    <w:p>
      <w:pPr/>
      <w:r>
        <w:t>Financial statement disclosure should ordinarily explain the nature of material unconsolidated structured entities, summarized financial information where required, commitments to provide funding, contractual guarantees, lease commitments not fully reflected in recognized liabilities, and the existence of significant contingent liabilities. For private equity diligence, the disclosure package should go further by presenting estimated exposure ranges, recourse descriptions, maturity profiles, and management’s mitigation strategy for each material arrangement.</w:t>
      </w:r>
    </w:p>
    <w:p>
      <w:pPr/>
      <w:r>
        <w:t>The quality of disclosure is often as important as the accounting conclusion itself. Even where management’s technical accounting is supportable, incomplete diligence disclosure can undermine investor confidence in reported leverage, working capital, and downside risk. Accordingly, the accompanying workbook is intended to act as a bridge between narrative disclosure and quantification.</w:t>
      </w:r>
    </w:p>
    <w:p>
      <w:pPr>
        <w:pStyle w:val="Heading1"/>
      </w:pPr>
      <w:r>
        <w:t>Appendix A. Representative Arrangement Inventory and Observations</w:t>
      </w:r>
    </w:p>
    <w:p>
      <w:pPr/>
      <w:r>
        <w:t>The detailed schedules attached to this memorandum summarize the Company’s representative arrangement inventory, including project SPVs, joint venture entities, lease commitments, guarantees, performance bonds, and contingent liabilities. The schedule format is designed to facilitate investor review by aligning each arrangement with the associated entity, project, legal form, contractual exposure, estimated maximum exposure, and qualitative risk assessment.</w:t>
      </w:r>
    </w:p>
    <w:p>
      <w:pPr/>
      <w:r>
        <w:t>As a practical recommendation, management should update these schedules quarterly, reconcile them to legal and treasury records, and use them as a supporting disclosure file for audit and diligence processes. Doing so materially improves transparency, reduces the risk of omitted exposures, and supports consistent enterprise-level decision-making around leverage, liquidity, and partner obligations.</w:t>
      </w:r>
    </w:p>
    <w:p>
      <w:pPr>
        <w:pStyle w:val="BodySmall"/>
      </w:pPr>
      <w:r>
        <w:t>Prepared in a formal diligence memorandum style for review by finance leadership, lenders, auditors, and potential investors.</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69"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w:hAnsi="Aptos"/>
      <w:b/>
      <w:bCs/>
      <w:color w:val="375623"/>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59595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95959"/>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mall">
    <w:name w:val="Body Small"/>
    <w:basedOn w:val="Normal"/>
    <w:rPr>
      <w:rFonts w:ascii="Aptos" w:hAnsi="Aptos"/>
      <w:sz w:val="18"/>
    </w:rPr>
  </w:style>
  <w:style w:type="paragraph" w:customStyle="1" w:styleId="BoxHeading">
    <w:name w:val="Box Heading"/>
    <w:basedOn w:val="Normal"/>
    <w:rPr>
      <w:rFonts w:ascii="Aptos" w:hAnsi="Aptos"/>
      <w:b/>
      <w:color w:val="FFFFFF"/>
      <w:sz w:val="20"/>
    </w:rPr>
  </w:style>
  <w:style w:type="paragraph" w:customStyle="1" w:styleId="TableText">
    <w:name w:val="Table Text"/>
    <w:basedOn w:val="Normal"/>
    <w:rPr>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