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276" w:lineRule="auto"/>
        <w:jc w:val="center"/>
      </w:pPr>
      <w:r>
        <w:t>Market and Competition Analysis</w:t>
      </w:r>
    </w:p>
    <w:p>
      <w:pPr>
        <w:spacing w:after="120" w:line="276" w:lineRule="auto"/>
        <w:jc w:val="center"/>
      </w:pPr>
      <w:r>
        <w:rPr>
          <w:rFonts w:ascii="Aptos" w:hAnsi="Aptos"/>
          <w:b/>
          <w:i w:val="0"/>
          <w:color w:val="444444"/>
          <w:sz w:val="24"/>
        </w:rPr>
        <w:t>Aurelia Developments LLC</w:t>
        <w:br/>
        <w:t>Commercial Due Diligence Report</w:t>
      </w:r>
    </w:p>
    <w:p>
      <w:pPr>
        <w:spacing w:after="120" w:line="276" w:lineRule="auto"/>
        <w:jc w:val="center"/>
      </w:pPr>
      <w:r>
        <w:rPr>
          <w:rFonts w:ascii="Aptos" w:hAnsi="Aptos"/>
          <w:b w:val="0"/>
          <w:i/>
          <w:color w:val="666666"/>
          <w:sz w:val="20"/>
        </w:rPr>
        <w:t>Prepared in consulting-style format for private equity and institutional investor review</w:t>
        <w:br/>
        <w:t>All monetary amounts in USD unless stated otherwise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Company</w:t>
            </w:r>
          </w:p>
        </w:tc>
        <w:tc>
          <w:tcPr>
            <w:tcW w:type="dxa" w:w="4968"/>
          </w:tcPr>
          <w:p>
            <w:r>
              <w:t>Aurelia Developments LLC – Dubai luxury real estate developer and proptech-enabled platform</w:t>
            </w:r>
          </w:p>
        </w:tc>
      </w:tr>
      <w:tr>
        <w:tc>
          <w:tcPr>
            <w:tcW w:type="dxa" w:w="4968"/>
            <w:shd w:fill="D9EAF7"/>
          </w:tcPr>
          <w:p>
            <w:r>
              <w:rPr>
                <w:b/>
              </w:rPr>
              <w:t>Report scope</w:t>
            </w:r>
          </w:p>
        </w:tc>
        <w:tc>
          <w:tcPr>
            <w:tcW w:type="dxa" w:w="4968"/>
          </w:tcPr>
          <w:p>
            <w:r>
              <w:t>Dubai luxury market sizing, competitive landscape, marketing and sales effectiveness, and investor diligence implications</w:t>
            </w:r>
          </w:p>
        </w:tc>
      </w:tr>
      <w:tr>
        <w:tc>
          <w:tcPr>
            <w:tcW w:type="dxa" w:w="4968"/>
            <w:shd w:fill="D9EAF7"/>
          </w:tcPr>
          <w:p>
            <w:r>
              <w:rPr>
                <w:b/>
              </w:rPr>
              <w:t>Data basis</w:t>
            </w:r>
          </w:p>
        </w:tc>
        <w:tc>
          <w:tcPr>
            <w:tcW w:type="dxa" w:w="4968"/>
          </w:tcPr>
          <w:p>
            <w:r>
              <w:t>Publicly available market reports, listed company disclosures, and benchmark-based estimation where private company data is unavailable</w:t>
            </w:r>
          </w:p>
        </w:tc>
      </w:tr>
      <w:tr>
        <w:tc>
          <w:tcPr>
            <w:tcW w:type="dxa" w:w="4968"/>
            <w:shd w:fill="D9EAF7"/>
          </w:tcPr>
          <w:p>
            <w:r>
              <w:rPr>
                <w:b/>
              </w:rPr>
              <w:t>Illustrative company metrics</w:t>
            </w:r>
          </w:p>
        </w:tc>
        <w:tc>
          <w:tcPr>
            <w:tcW w:type="dxa" w:w="4968"/>
          </w:tcPr>
          <w:p>
            <w:r>
              <w:t>Current revenue approx. $950m; EBITDA approx. $214m; current pipeline GDV approx. $2.35bn</w:t>
            </w:r>
          </w:p>
        </w:tc>
      </w:tr>
    </w:tbl>
    <w:p>
      <w:r>
        <w:br w:type="page"/>
      </w:r>
    </w:p>
    <w:p>
      <w:pPr>
        <w:pStyle w:val="Heading1"/>
        <w:spacing w:after="120" w:line="276" w:lineRule="auto"/>
      </w:pPr>
      <w:r>
        <w:t>Executive Summary</w:t>
      </w:r>
    </w:p>
    <w:p>
      <w:pPr>
        <w:spacing w:after="120" w:line="276" w:lineRule="auto"/>
      </w:pPr>
      <w:r>
        <w:rPr>
          <w:rFonts w:ascii="Aptos" w:hAnsi="Aptos"/>
          <w:b w:val="0"/>
          <w:i w:val="0"/>
          <w:sz w:val="21"/>
        </w:rPr>
        <w:t>Aurelia Developments operates in one of the most active and internationally visible luxury residential and mixed-use property markets in the world. Publicly reported Dubai property transactions reached approximately $207 billion in 2024 equivalent value based on Dubai Land Department reported activity, underscoring the scale and liquidity of the market. Multiple research houses also point to sustained premium demand in waterfront, villa, and branded residence formats, particularly where projects are aligned with foreign wealth inflows, destination quality, and lifestyle-led product positioning. [Sources: Dubai Land Department; CBRE; Knight Frank]</w:t>
      </w:r>
    </w:p>
    <w:p>
      <w:pPr>
        <w:spacing w:after="120" w:line="276" w:lineRule="auto"/>
      </w:pPr>
      <w:r>
        <w:rPr>
          <w:rFonts w:ascii="Aptos" w:hAnsi="Aptos"/>
          <w:b w:val="0"/>
          <w:i w:val="0"/>
          <w:sz w:val="21"/>
        </w:rPr>
        <w:t>At a UAE market level, publicly available market research indicates an approximately $130.6 billion real estate market in 2024, with forecasts rising toward approximately $223.7 billion by 2030 at around 8.4% CAGR. While those figures capture the entire UAE real estate ecosystem rather than Aurelia’s precise niche, they support a top-down conclusion that the addressable base for premium development remains large and expanding. [Source: Grand View Research / public market outlook summary]</w:t>
      </w:r>
    </w:p>
    <w:p>
      <w:pPr>
        <w:spacing w:after="120" w:line="276" w:lineRule="auto"/>
      </w:pPr>
      <w:r>
        <w:rPr>
          <w:rFonts w:ascii="Aptos" w:hAnsi="Aptos"/>
          <w:b w:val="0"/>
          <w:i w:val="0"/>
          <w:sz w:val="21"/>
        </w:rPr>
        <w:t>For Aurelia specifically, a practical diligence view is that the relevant addressable market is the Dubai luxury and upper-premium residential plus branded / mixed-use subsegment. Using public sector transaction data, premium segment reports, and top-down market-share assumptions, an illustrative TAM range of approximately $14.5–$19.5 billion appears reasonable, with a midpoint around $17.0 billion. Aurelia’s current pipeline gross development value of roughly $2.35 billion suggests a meaningful but still subscale share of the addressable premium market, creating a plausible growth runway without requiring heroic share assumptions.</w:t>
      </w:r>
    </w:p>
    <w:p>
      <w:pPr>
        <w:spacing w:after="120" w:line="276" w:lineRule="auto"/>
      </w:pPr>
      <w:r>
        <w:rPr>
          <w:rFonts w:ascii="Aptos" w:hAnsi="Aptos"/>
          <w:b w:val="0"/>
          <w:i w:val="0"/>
          <w:sz w:val="21"/>
        </w:rPr>
        <w:t>The investment case therefore rests less on the notion that Aurelia already commands dominant share, and more on whether it can convert a differentiated premium pipeline, stronger governance, better capital access, and proptech-enabled execution into faster presales, margin durability, and a rising share of the highest-value subsegments where large incumbents cannot always replicate niche branding or focused development themes.</w:t>
      </w:r>
    </w:p>
    <w:p>
      <w:pPr>
        <w:pStyle w:val="Heading1"/>
        <w:spacing w:after="120" w:line="276" w:lineRule="auto"/>
      </w:pPr>
      <w:r>
        <w:t>8. Market and Competition</w:t>
      </w:r>
    </w:p>
    <w:p>
      <w:pPr>
        <w:spacing w:after="120" w:line="276" w:lineRule="auto"/>
      </w:pPr>
      <w:r>
        <w:rPr>
          <w:rFonts w:ascii="Aptos" w:hAnsi="Aptos"/>
          <w:b w:val="0"/>
          <w:i w:val="0"/>
          <w:sz w:val="21"/>
        </w:rPr>
        <w:t>Dubai’s real estate market benefits from a unique combination of structural demand drivers: population growth, inward migration of high-net-worth individuals, foreign investor accessibility, infrastructure expansion, visa reforms, and deepening global recognition of Dubai as a safe-haven capital destination. In recent years, the premium and luxury end of the market has been especially resilient, supported by global wealth relocation, lifestyle migration, and demand for branded / waterfront stock. [Sources: Knight Frank; Henley &amp; Partners; CBRE; JLL]</w:t>
      </w:r>
    </w:p>
    <w:p>
      <w:pPr>
        <w:spacing w:after="120" w:line="276" w:lineRule="auto"/>
      </w:pPr>
      <w:r>
        <w:rPr>
          <w:rFonts w:ascii="Aptos" w:hAnsi="Aptos"/>
          <w:b w:val="0"/>
          <w:i w:val="0"/>
          <w:sz w:val="21"/>
        </w:rPr>
        <w:t>For commercial diligence purposes, the market should be viewed through both macro and micro lenses. The macro lens concerns transaction velocity, capital inflow, population growth, and citywide property price trends. The micro lens concerns product mix, submarket scarcity, branded premium, villa versus tower demand, off-plan absorption, and competitive supply. Aurelia is exposed primarily to the latter set of variables: success depends on choosing the right micro-market, product concept, and commercialization strategy inside a broader Dubai growth story.</w:t>
      </w:r>
    </w:p>
    <w:p>
      <w:pPr>
        <w:pStyle w:val="Heading2"/>
        <w:spacing w:after="120" w:line="276" w:lineRule="auto"/>
      </w:pPr>
      <w:r>
        <w:t>Macro indicators used in this report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shd w:fill="1F4E78"/>
          </w:tcPr>
          <w:p>
            <w:pPr>
              <w:jc w:val="center"/>
            </w:pPr>
            <w:r>
              <w:rPr>
                <w:rFonts w:ascii="Aptos" w:hAnsi="Aptos"/>
                <w:b/>
                <w:i w:val="0"/>
                <w:color w:val="FFFFFF"/>
                <w:sz w:val="18"/>
              </w:rPr>
              <w:t>Indicator</w:t>
            </w:r>
          </w:p>
        </w:tc>
        <w:tc>
          <w:tcPr>
            <w:tcW w:type="dxa" w:w="1584"/>
            <w:shd w:fill="1F4E78"/>
          </w:tcPr>
          <w:p>
            <w:pPr>
              <w:jc w:val="center"/>
            </w:pPr>
            <w:r>
              <w:rPr>
                <w:rFonts w:ascii="Aptos" w:hAnsi="Aptos"/>
                <w:b/>
                <w:i w:val="0"/>
                <w:color w:val="FFFFFF"/>
                <w:sz w:val="18"/>
              </w:rPr>
              <w:t>Reference Value</w:t>
            </w:r>
          </w:p>
        </w:tc>
        <w:tc>
          <w:tcPr>
            <w:tcW w:type="dxa" w:w="3600"/>
            <w:shd w:fill="1F4E78"/>
          </w:tcPr>
          <w:p>
            <w:pPr>
              <w:jc w:val="center"/>
            </w:pPr>
            <w:r>
              <w:rPr>
                <w:rFonts w:ascii="Aptos" w:hAnsi="Aptos"/>
                <w:b/>
                <w:i w:val="0"/>
                <w:color w:val="FFFFFF"/>
                <w:sz w:val="18"/>
              </w:rPr>
              <w:t>Commentary</w:t>
            </w:r>
          </w:p>
        </w:tc>
        <w:tc>
          <w:tcPr>
            <w:tcW w:type="dxa" w:w="1872"/>
            <w:shd w:fill="1F4E78"/>
          </w:tcPr>
          <w:p>
            <w:pPr>
              <w:jc w:val="center"/>
            </w:pPr>
            <w:r>
              <w:rPr>
                <w:rFonts w:ascii="Aptos" w:hAnsi="Aptos"/>
                <w:b/>
                <w:i w:val="0"/>
                <w:color w:val="FFFFFF"/>
                <w:sz w:val="18"/>
              </w:rPr>
              <w:t>Source</w:t>
            </w:r>
          </w:p>
        </w:tc>
      </w:tr>
      <w:tr>
        <w:tc>
          <w:tcPr>
            <w:tcW w:type="dxa" w:w="2880"/>
          </w:tcPr>
          <w:p>
            <w:pPr>
              <w:jc w:val="left"/>
            </w:pPr>
            <w:r>
              <w:rPr>
                <w:rFonts w:ascii="Aptos" w:hAnsi="Aptos"/>
                <w:b w:val="0"/>
                <w:i w:val="0"/>
                <w:sz w:val="17"/>
              </w:rPr>
              <w:t>Dubai property transactions (approx. 2024 equivalent)</w:t>
            </w:r>
          </w:p>
        </w:tc>
        <w:tc>
          <w:tcPr>
            <w:tcW w:type="dxa" w:w="1584"/>
          </w:tcPr>
          <w:p>
            <w:pPr>
              <w:jc w:val="right"/>
            </w:pPr>
            <w:r>
              <w:rPr>
                <w:rFonts w:ascii="Aptos" w:hAnsi="Aptos"/>
                <w:b w:val="0"/>
                <w:i w:val="0"/>
                <w:sz w:val="17"/>
              </w:rPr>
              <w:t>$207.0bn</w:t>
            </w:r>
          </w:p>
        </w:tc>
        <w:tc>
          <w:tcPr>
            <w:tcW w:type="dxa" w:w="3600"/>
          </w:tcPr>
          <w:p>
            <w:pPr>
              <w:jc w:val="left"/>
            </w:pPr>
            <w:r>
              <w:rPr>
                <w:rFonts w:ascii="Aptos" w:hAnsi="Aptos"/>
                <w:b w:val="0"/>
                <w:i w:val="0"/>
                <w:sz w:val="17"/>
              </w:rPr>
              <w:t>Scale indicator converted from publicly reported AED market activity</w:t>
            </w:r>
          </w:p>
        </w:tc>
        <w:tc>
          <w:tcPr>
            <w:tcW w:type="dxa" w:w="1872"/>
          </w:tcPr>
          <w:p>
            <w:pPr>
              <w:jc w:val="left"/>
            </w:pPr>
            <w:r>
              <w:rPr>
                <w:rFonts w:ascii="Aptos" w:hAnsi="Aptos"/>
                <w:b w:val="0"/>
                <w:i w:val="0"/>
                <w:sz w:val="17"/>
              </w:rPr>
              <w:t>Dubai Land Department</w:t>
            </w:r>
          </w:p>
        </w:tc>
      </w:tr>
      <w:tr>
        <w:tc>
          <w:tcPr>
            <w:tcW w:type="dxa" w:w="2880"/>
          </w:tcPr>
          <w:p>
            <w:pPr>
              <w:jc w:val="left"/>
            </w:pPr>
            <w:r>
              <w:rPr>
                <w:rFonts w:ascii="Aptos" w:hAnsi="Aptos"/>
                <w:b w:val="0"/>
                <w:i w:val="0"/>
                <w:sz w:val="17"/>
              </w:rPr>
              <w:t>UAE real estate market value (2024)</w:t>
            </w:r>
          </w:p>
        </w:tc>
        <w:tc>
          <w:tcPr>
            <w:tcW w:type="dxa" w:w="1584"/>
          </w:tcPr>
          <w:p>
            <w:pPr>
              <w:jc w:val="right"/>
            </w:pPr>
            <w:r>
              <w:rPr>
                <w:rFonts w:ascii="Aptos" w:hAnsi="Aptos"/>
                <w:b w:val="0"/>
                <w:i w:val="0"/>
                <w:sz w:val="17"/>
              </w:rPr>
              <w:t>$130.6bn</w:t>
            </w:r>
          </w:p>
        </w:tc>
        <w:tc>
          <w:tcPr>
            <w:tcW w:type="dxa" w:w="3600"/>
          </w:tcPr>
          <w:p>
            <w:pPr>
              <w:jc w:val="left"/>
            </w:pPr>
            <w:r>
              <w:rPr>
                <w:rFonts w:ascii="Aptos" w:hAnsi="Aptos"/>
                <w:b w:val="0"/>
                <w:i w:val="0"/>
                <w:sz w:val="17"/>
              </w:rPr>
              <w:t>Top-down market reference used for TAM framing</w:t>
            </w:r>
          </w:p>
        </w:tc>
        <w:tc>
          <w:tcPr>
            <w:tcW w:type="dxa" w:w="1872"/>
          </w:tcPr>
          <w:p>
            <w:pPr>
              <w:jc w:val="left"/>
            </w:pPr>
            <w:r>
              <w:rPr>
                <w:rFonts w:ascii="Aptos" w:hAnsi="Aptos"/>
                <w:b w:val="0"/>
                <w:i w:val="0"/>
                <w:sz w:val="17"/>
              </w:rPr>
              <w:t>Grand View Research / public summary</w:t>
            </w:r>
          </w:p>
        </w:tc>
      </w:tr>
      <w:tr>
        <w:tc>
          <w:tcPr>
            <w:tcW w:type="dxa" w:w="2880"/>
          </w:tcPr>
          <w:p>
            <w:pPr>
              <w:jc w:val="left"/>
            </w:pPr>
            <w:r>
              <w:rPr>
                <w:rFonts w:ascii="Aptos" w:hAnsi="Aptos"/>
                <w:b w:val="0"/>
                <w:i w:val="0"/>
                <w:sz w:val="17"/>
              </w:rPr>
              <w:t>UAE real estate market value (2030)</w:t>
            </w:r>
          </w:p>
        </w:tc>
        <w:tc>
          <w:tcPr>
            <w:tcW w:type="dxa" w:w="1584"/>
          </w:tcPr>
          <w:p>
            <w:pPr>
              <w:jc w:val="right"/>
            </w:pPr>
            <w:r>
              <w:rPr>
                <w:rFonts w:ascii="Aptos" w:hAnsi="Aptos"/>
                <w:b w:val="0"/>
                <w:i w:val="0"/>
                <w:sz w:val="17"/>
              </w:rPr>
              <w:t>$223.7bn</w:t>
            </w:r>
          </w:p>
        </w:tc>
        <w:tc>
          <w:tcPr>
            <w:tcW w:type="dxa" w:w="3600"/>
          </w:tcPr>
          <w:p>
            <w:pPr>
              <w:jc w:val="left"/>
            </w:pPr>
            <w:r>
              <w:rPr>
                <w:rFonts w:ascii="Aptos" w:hAnsi="Aptos"/>
                <w:b w:val="0"/>
                <w:i w:val="0"/>
                <w:sz w:val="17"/>
              </w:rPr>
              <w:t>Long-range reference for growth framing</w:t>
            </w:r>
          </w:p>
        </w:tc>
        <w:tc>
          <w:tcPr>
            <w:tcW w:type="dxa" w:w="1872"/>
          </w:tcPr>
          <w:p>
            <w:pPr>
              <w:jc w:val="left"/>
            </w:pPr>
            <w:r>
              <w:rPr>
                <w:rFonts w:ascii="Aptos" w:hAnsi="Aptos"/>
                <w:b w:val="0"/>
                <w:i w:val="0"/>
                <w:sz w:val="17"/>
              </w:rPr>
              <w:t>Grand View Research / public summary</w:t>
            </w:r>
          </w:p>
        </w:tc>
      </w:tr>
      <w:tr>
        <w:tc>
          <w:tcPr>
            <w:tcW w:type="dxa" w:w="2880"/>
          </w:tcPr>
          <w:p>
            <w:pPr>
              <w:jc w:val="left"/>
            </w:pPr>
            <w:r>
              <w:rPr>
                <w:rFonts w:ascii="Aptos" w:hAnsi="Aptos"/>
                <w:b w:val="0"/>
                <w:i w:val="0"/>
                <w:sz w:val="17"/>
              </w:rPr>
              <w:t>Illustrative CAGR 2024–2030</w:t>
            </w:r>
          </w:p>
        </w:tc>
        <w:tc>
          <w:tcPr>
            <w:tcW w:type="dxa" w:w="1584"/>
          </w:tcPr>
          <w:p>
            <w:pPr>
              <w:jc w:val="left"/>
            </w:pPr>
            <w:r>
              <w:rPr>
                <w:rFonts w:ascii="Aptos" w:hAnsi="Aptos"/>
                <w:b w:val="0"/>
                <w:i w:val="0"/>
                <w:sz w:val="17"/>
              </w:rPr>
              <w:t>8.4%</w:t>
            </w:r>
          </w:p>
        </w:tc>
        <w:tc>
          <w:tcPr>
            <w:tcW w:type="dxa" w:w="3600"/>
          </w:tcPr>
          <w:p>
            <w:pPr>
              <w:jc w:val="left"/>
            </w:pPr>
            <w:r>
              <w:rPr>
                <w:rFonts w:ascii="Aptos" w:hAnsi="Aptos"/>
                <w:b w:val="0"/>
                <w:i w:val="0"/>
                <w:sz w:val="17"/>
              </w:rPr>
              <w:t>Used as broad real estate growth anchor</w:t>
            </w:r>
          </w:p>
        </w:tc>
        <w:tc>
          <w:tcPr>
            <w:tcW w:type="dxa" w:w="1872"/>
          </w:tcPr>
          <w:p>
            <w:pPr>
              <w:jc w:val="left"/>
            </w:pPr>
            <w:r>
              <w:rPr>
                <w:rFonts w:ascii="Aptos" w:hAnsi="Aptos"/>
                <w:b w:val="0"/>
                <w:i w:val="0"/>
                <w:sz w:val="17"/>
              </w:rPr>
              <w:t>Grand View Research / public summary</w:t>
            </w:r>
          </w:p>
        </w:tc>
      </w:tr>
      <w:tr>
        <w:tc>
          <w:tcPr>
            <w:tcW w:type="dxa" w:w="2880"/>
          </w:tcPr>
          <w:p>
            <w:pPr>
              <w:jc w:val="left"/>
            </w:pPr>
            <w:r>
              <w:rPr>
                <w:rFonts w:ascii="Aptos" w:hAnsi="Aptos"/>
                <w:b w:val="0"/>
                <w:i w:val="0"/>
                <w:sz w:val="17"/>
              </w:rPr>
              <w:t>HNWI migration / wealth inflow trend</w:t>
            </w:r>
          </w:p>
        </w:tc>
        <w:tc>
          <w:tcPr>
            <w:tcW w:type="dxa" w:w="1584"/>
          </w:tcPr>
          <w:p>
            <w:pPr>
              <w:jc w:val="left"/>
            </w:pPr>
            <w:r>
              <w:rPr>
                <w:rFonts w:ascii="Aptos" w:hAnsi="Aptos"/>
                <w:b w:val="0"/>
                <w:i w:val="0"/>
                <w:sz w:val="17"/>
              </w:rPr>
              <w:t>Positive</w:t>
            </w:r>
          </w:p>
        </w:tc>
        <w:tc>
          <w:tcPr>
            <w:tcW w:type="dxa" w:w="3600"/>
          </w:tcPr>
          <w:p>
            <w:pPr>
              <w:jc w:val="left"/>
            </w:pPr>
            <w:r>
              <w:rPr>
                <w:rFonts w:ascii="Aptos" w:hAnsi="Aptos"/>
                <w:b w:val="0"/>
                <w:i w:val="0"/>
                <w:sz w:val="17"/>
              </w:rPr>
              <w:t>Supports luxury demand thesis</w:t>
            </w:r>
          </w:p>
        </w:tc>
        <w:tc>
          <w:tcPr>
            <w:tcW w:type="dxa" w:w="1872"/>
          </w:tcPr>
          <w:p>
            <w:pPr>
              <w:jc w:val="left"/>
            </w:pPr>
            <w:r>
              <w:rPr>
                <w:rFonts w:ascii="Aptos" w:hAnsi="Aptos"/>
                <w:b w:val="0"/>
                <w:i w:val="0"/>
                <w:sz w:val="17"/>
              </w:rPr>
              <w:t>Henley &amp; Partners / New World Wealth</w:t>
            </w:r>
          </w:p>
        </w:tc>
      </w:tr>
    </w:tbl>
    <w:p>
      <w:pPr>
        <w:pStyle w:val="Heading1"/>
        <w:spacing w:after="120" w:line="276" w:lineRule="auto"/>
      </w:pPr>
      <w:r>
        <w:t>8.1 Market Analysis</w:t>
      </w:r>
    </w:p>
    <w:p>
      <w:pPr>
        <w:pStyle w:val="Heading2"/>
        <w:spacing w:after="120" w:line="276" w:lineRule="auto"/>
      </w:pPr>
      <w:r>
        <w:t>Total Addressable Market (TAM) Calculation</w:t>
      </w:r>
    </w:p>
    <w:p>
      <w:pPr>
        <w:spacing w:after="120" w:line="276" w:lineRule="auto"/>
      </w:pPr>
      <w:r>
        <w:rPr>
          <w:rFonts w:ascii="Aptos" w:hAnsi="Aptos"/>
          <w:b w:val="0"/>
          <w:i w:val="0"/>
          <w:sz w:val="21"/>
        </w:rPr>
        <w:t>Because Aurelia is not a mass-market developer, the relevant TAM is not the entire UAE real estate market. A more decision-useful approach is to start with publicly available UAE and Dubai real estate transaction metrics and then narrow to the product set most aligned with Aurelia: luxury residential towers, waterfront developments, premium villas, branded residences, and higher-end mixed-use lifestyle projects.</w:t>
      </w:r>
    </w:p>
    <w:p>
      <w:pPr>
        <w:spacing w:after="120" w:line="276" w:lineRule="auto"/>
      </w:pPr>
      <w:r>
        <w:rPr>
          <w:rFonts w:ascii="Aptos" w:hAnsi="Aptos"/>
          <w:b w:val="0"/>
          <w:i w:val="0"/>
          <w:sz w:val="21"/>
        </w:rPr>
        <w:t>For this report, a top-down TAM range is estimated as follows: starting from the broad UAE market value benchmark of approximately $130.6 billion in 2024, applying a Dubai weighting assumption given the city’s outsized share of premium transactions, and then applying an estimated premium/luxury segment share informed by market commentaries from CBRE, Knight Frank, and JLL. On that basis, the relevant premium addressable market for Aurelia is estimated in a range of roughly $14.5–$19.5 billion. This is explicitly an estimate rather than a directly published figure and should be understood as a diligence planning metric rather than an audited market fact.</w:t>
      </w:r>
    </w:p>
    <w:p>
      <w:pPr>
        <w:spacing w:after="120" w:line="276" w:lineRule="auto"/>
      </w:pPr>
      <w:r>
        <w:rPr>
          <w:rFonts w:ascii="Aptos" w:hAnsi="Aptos"/>
          <w:b w:val="0"/>
          <w:i w:val="0"/>
          <w:sz w:val="21"/>
        </w:rPr>
        <w:t>With current revenue around $950 million and current/near-term pipeline GDV of about $2.35 billion, Aurelia appears to hold only a modest share of the addressable premium market, suggesting room for growth if project execution, capital availability, and product-market fit remain strong.</w:t>
      </w:r>
    </w:p>
    <w:tbl>
      <w:tblPr>
        <w:tblStyle w:val="TableGrid"/>
        <w:tblW w:type="auto" w:w="0"/>
        <w:jc w:val="center"/>
        <w:tblLook w:firstColumn="1" w:firstRow="1" w:lastColumn="0" w:lastRow="0" w:noHBand="0" w:noVBand="1" w:val="04A0"/>
      </w:tblPr>
      <w:tblGrid>
        <w:gridCol w:w="3312"/>
        <w:gridCol w:w="3312"/>
        <w:gridCol w:w="3312"/>
      </w:tblGrid>
      <w:tr>
        <w:tc>
          <w:tcPr>
            <w:tcW w:type="dxa" w:w="3456"/>
            <w:shd w:fill="1F4E78"/>
          </w:tcPr>
          <w:p>
            <w:pPr>
              <w:jc w:val="center"/>
            </w:pPr>
            <w:r>
              <w:rPr>
                <w:rFonts w:ascii="Aptos" w:hAnsi="Aptos"/>
                <w:b/>
                <w:i w:val="0"/>
                <w:color w:val="FFFFFF"/>
                <w:sz w:val="18"/>
              </w:rPr>
              <w:t>Step</w:t>
            </w:r>
          </w:p>
        </w:tc>
        <w:tc>
          <w:tcPr>
            <w:tcW w:type="dxa" w:w="2160"/>
            <w:shd w:fill="1F4E78"/>
          </w:tcPr>
          <w:p>
            <w:pPr>
              <w:jc w:val="center"/>
            </w:pPr>
            <w:r>
              <w:rPr>
                <w:rFonts w:ascii="Aptos" w:hAnsi="Aptos"/>
                <w:b/>
                <w:i w:val="0"/>
                <w:color w:val="FFFFFF"/>
                <w:sz w:val="18"/>
              </w:rPr>
              <w:t>Value</w:t>
            </w:r>
          </w:p>
        </w:tc>
        <w:tc>
          <w:tcPr>
            <w:tcW w:type="dxa" w:w="4032"/>
            <w:shd w:fill="1F4E78"/>
          </w:tcPr>
          <w:p>
            <w:pPr>
              <w:jc w:val="center"/>
            </w:pPr>
            <w:r>
              <w:rPr>
                <w:rFonts w:ascii="Aptos" w:hAnsi="Aptos"/>
                <w:b/>
                <w:i w:val="0"/>
                <w:color w:val="FFFFFF"/>
                <w:sz w:val="18"/>
              </w:rPr>
              <w:t>Methodology Note</w:t>
            </w:r>
          </w:p>
        </w:tc>
      </w:tr>
      <w:tr>
        <w:tc>
          <w:tcPr>
            <w:tcW w:type="dxa" w:w="3456"/>
          </w:tcPr>
          <w:p>
            <w:pPr>
              <w:jc w:val="left"/>
            </w:pPr>
            <w:r>
              <w:rPr>
                <w:rFonts w:ascii="Aptos" w:hAnsi="Aptos"/>
                <w:b w:val="0"/>
                <w:i w:val="0"/>
                <w:sz w:val="17"/>
              </w:rPr>
              <w:t>UAE real estate market benchmark (2024)</w:t>
            </w:r>
          </w:p>
        </w:tc>
        <w:tc>
          <w:tcPr>
            <w:tcW w:type="dxa" w:w="2160"/>
          </w:tcPr>
          <w:p>
            <w:pPr>
              <w:jc w:val="right"/>
            </w:pPr>
            <w:r>
              <w:rPr>
                <w:rFonts w:ascii="Aptos" w:hAnsi="Aptos"/>
                <w:b w:val="0"/>
                <w:i w:val="0"/>
                <w:sz w:val="17"/>
              </w:rPr>
              <w:t>$130.6bn</w:t>
            </w:r>
          </w:p>
        </w:tc>
        <w:tc>
          <w:tcPr>
            <w:tcW w:type="dxa" w:w="4032"/>
          </w:tcPr>
          <w:p>
            <w:pPr>
              <w:jc w:val="left"/>
            </w:pPr>
            <w:r>
              <w:rPr>
                <w:rFonts w:ascii="Aptos" w:hAnsi="Aptos"/>
                <w:b w:val="0"/>
                <w:i w:val="0"/>
                <w:sz w:val="17"/>
              </w:rPr>
              <w:t>Public industry outlook benchmark</w:t>
            </w:r>
          </w:p>
        </w:tc>
      </w:tr>
      <w:tr>
        <w:tc>
          <w:tcPr>
            <w:tcW w:type="dxa" w:w="3456"/>
          </w:tcPr>
          <w:p>
            <w:pPr>
              <w:jc w:val="left"/>
            </w:pPr>
            <w:r>
              <w:rPr>
                <w:rFonts w:ascii="Aptos" w:hAnsi="Aptos"/>
                <w:b w:val="0"/>
                <w:i w:val="0"/>
                <w:sz w:val="17"/>
              </w:rPr>
              <w:t>Illustrative Dubai relevance factor</w:t>
            </w:r>
          </w:p>
        </w:tc>
        <w:tc>
          <w:tcPr>
            <w:tcW w:type="dxa" w:w="2160"/>
          </w:tcPr>
          <w:p>
            <w:pPr>
              <w:jc w:val="left"/>
            </w:pPr>
            <w:r>
              <w:rPr>
                <w:rFonts w:ascii="Aptos" w:hAnsi="Aptos"/>
                <w:b w:val="0"/>
                <w:i w:val="0"/>
                <w:sz w:val="17"/>
              </w:rPr>
              <w:t>55%–60%</w:t>
            </w:r>
          </w:p>
        </w:tc>
        <w:tc>
          <w:tcPr>
            <w:tcW w:type="dxa" w:w="4032"/>
          </w:tcPr>
          <w:p>
            <w:pPr>
              <w:jc w:val="left"/>
            </w:pPr>
            <w:r>
              <w:rPr>
                <w:rFonts w:ascii="Aptos" w:hAnsi="Aptos"/>
                <w:b w:val="0"/>
                <w:i w:val="0"/>
                <w:sz w:val="17"/>
              </w:rPr>
              <w:t>Proxy to narrow the UAE benchmark toward Dubai-centric activity</w:t>
            </w:r>
          </w:p>
        </w:tc>
      </w:tr>
      <w:tr>
        <w:tc>
          <w:tcPr>
            <w:tcW w:type="dxa" w:w="3456"/>
          </w:tcPr>
          <w:p>
            <w:pPr>
              <w:jc w:val="left"/>
            </w:pPr>
            <w:r>
              <w:rPr>
                <w:rFonts w:ascii="Aptos" w:hAnsi="Aptos"/>
                <w:b w:val="0"/>
                <w:i w:val="0"/>
                <w:sz w:val="17"/>
              </w:rPr>
              <w:t>Implied Dubai market reference range</w:t>
            </w:r>
          </w:p>
        </w:tc>
        <w:tc>
          <w:tcPr>
            <w:tcW w:type="dxa" w:w="2160"/>
          </w:tcPr>
          <w:p>
            <w:pPr>
              <w:jc w:val="right"/>
            </w:pPr>
            <w:r>
              <w:rPr>
                <w:rFonts w:ascii="Aptos" w:hAnsi="Aptos"/>
                <w:b w:val="0"/>
                <w:i w:val="0"/>
                <w:sz w:val="17"/>
              </w:rPr>
              <w:t>$71.8bn–$78.4bn</w:t>
            </w:r>
          </w:p>
        </w:tc>
        <w:tc>
          <w:tcPr>
            <w:tcW w:type="dxa" w:w="4032"/>
          </w:tcPr>
          <w:p>
            <w:pPr>
              <w:jc w:val="left"/>
            </w:pPr>
            <w:r>
              <w:rPr>
                <w:rFonts w:ascii="Aptos" w:hAnsi="Aptos"/>
                <w:b w:val="0"/>
                <w:i w:val="0"/>
                <w:sz w:val="17"/>
              </w:rPr>
              <w:t>Intermediate calculation</w:t>
            </w:r>
          </w:p>
        </w:tc>
      </w:tr>
      <w:tr>
        <w:tc>
          <w:tcPr>
            <w:tcW w:type="dxa" w:w="3456"/>
          </w:tcPr>
          <w:p>
            <w:pPr>
              <w:jc w:val="left"/>
            </w:pPr>
            <w:r>
              <w:rPr>
                <w:rFonts w:ascii="Aptos" w:hAnsi="Aptos"/>
                <w:b w:val="0"/>
                <w:i w:val="0"/>
                <w:sz w:val="17"/>
              </w:rPr>
              <w:t>Illustrative luxury / premium relevant segment factor</w:t>
            </w:r>
          </w:p>
        </w:tc>
        <w:tc>
          <w:tcPr>
            <w:tcW w:type="dxa" w:w="2160"/>
          </w:tcPr>
          <w:p>
            <w:pPr>
              <w:jc w:val="left"/>
            </w:pPr>
            <w:r>
              <w:rPr>
                <w:rFonts w:ascii="Aptos" w:hAnsi="Aptos"/>
                <w:b w:val="0"/>
                <w:i w:val="0"/>
                <w:sz w:val="17"/>
              </w:rPr>
              <w:t>20%–25%</w:t>
            </w:r>
          </w:p>
        </w:tc>
        <w:tc>
          <w:tcPr>
            <w:tcW w:type="dxa" w:w="4032"/>
          </w:tcPr>
          <w:p>
            <w:pPr>
              <w:jc w:val="left"/>
            </w:pPr>
            <w:r>
              <w:rPr>
                <w:rFonts w:ascii="Aptos" w:hAnsi="Aptos"/>
                <w:b w:val="0"/>
                <w:i w:val="0"/>
                <w:sz w:val="17"/>
              </w:rPr>
              <w:t>Premium towers, villas, waterfront, branded, mixed-use lifestyle</w:t>
            </w:r>
          </w:p>
        </w:tc>
      </w:tr>
      <w:tr>
        <w:tc>
          <w:tcPr>
            <w:tcW w:type="dxa" w:w="3456"/>
          </w:tcPr>
          <w:p>
            <w:pPr>
              <w:jc w:val="left"/>
            </w:pPr>
            <w:r>
              <w:rPr>
                <w:rFonts w:ascii="Aptos" w:hAnsi="Aptos"/>
                <w:b w:val="0"/>
                <w:i w:val="0"/>
                <w:sz w:val="17"/>
              </w:rPr>
              <w:t>Estimated Aurelia-relevant TAM range</w:t>
            </w:r>
          </w:p>
        </w:tc>
        <w:tc>
          <w:tcPr>
            <w:tcW w:type="dxa" w:w="2160"/>
          </w:tcPr>
          <w:p>
            <w:pPr>
              <w:jc w:val="right"/>
            </w:pPr>
            <w:r>
              <w:rPr>
                <w:rFonts w:ascii="Aptos" w:hAnsi="Aptos"/>
                <w:b w:val="0"/>
                <w:i w:val="0"/>
                <w:sz w:val="17"/>
              </w:rPr>
              <w:t>$14.5bn–$19.5bn</w:t>
            </w:r>
          </w:p>
        </w:tc>
        <w:tc>
          <w:tcPr>
            <w:tcW w:type="dxa" w:w="4032"/>
          </w:tcPr>
          <w:p>
            <w:pPr>
              <w:jc w:val="left"/>
            </w:pPr>
            <w:r>
              <w:rPr>
                <w:rFonts w:ascii="Aptos" w:hAnsi="Aptos"/>
                <w:b w:val="0"/>
                <w:i w:val="0"/>
                <w:sz w:val="17"/>
              </w:rPr>
              <w:t>Planning estimate for diligence purposes</w:t>
            </w:r>
          </w:p>
        </w:tc>
      </w:tr>
    </w:tbl>
    <w:p>
      <w:pPr>
        <w:pStyle w:val="Heading2"/>
        <w:spacing w:after="120" w:line="276" w:lineRule="auto"/>
      </w:pPr>
      <w:r>
        <w:t>Market Segmentation Analysis</w:t>
      </w:r>
    </w:p>
    <w:p>
      <w:pPr>
        <w:spacing w:after="120" w:line="276" w:lineRule="auto"/>
      </w:pPr>
      <w:r>
        <w:rPr>
          <w:rFonts w:ascii="Aptos" w:hAnsi="Aptos"/>
          <w:b w:val="0"/>
          <w:i w:val="0"/>
          <w:sz w:val="21"/>
        </w:rPr>
        <w:t>The Dubai premium market is not homogeneous. For Aurelia, the most relevant segments are luxury towers, villa communities, branded residences, and mixed-use developments with destination-quality retail or hospitality components. Apartments and towers remain the most scalable segment by transaction volume, but villas have benefited disproportionately from post-pandemic preference shifts and the appeal of low-density premium communities. Branded residences sit at the intersection of luxury real estate and hospitality, where price-per-square-foot premiums can be materially higher if the brand and service proposition are credible. [Sources: Knight Frank; CBRE; JLL]</w:t>
      </w:r>
    </w:p>
    <w:p>
      <w:pPr>
        <w:spacing w:after="120" w:line="276" w:lineRule="auto"/>
      </w:pPr>
      <w:r>
        <w:rPr>
          <w:rFonts w:ascii="Aptos" w:hAnsi="Aptos"/>
          <w:b w:val="0"/>
          <w:i w:val="0"/>
          <w:sz w:val="21"/>
        </w:rPr>
        <w:t>Aurelia’s strategic focus on waterfront product, premium villa typologies, and branded / lifestyle-led developments positions it closer to the faster-growing value pockets of the market than to broad mid-market residential supply. The trade-off is that the segment is more exposed to cycles in global wealth, geopolitical capital movements, and luxury product oversupply in specific submarkets.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024"/>
            <w:shd w:fill="1F4E78"/>
          </w:tcPr>
          <w:p>
            <w:pPr>
              <w:jc w:val="center"/>
            </w:pPr>
            <w:r>
              <w:rPr>
                <w:rFonts w:ascii="Aptos" w:hAnsi="Aptos"/>
                <w:b/>
                <w:i w:val="0"/>
                <w:color w:val="FFFFFF"/>
                <w:sz w:val="18"/>
              </w:rPr>
              <w:t>Segment</w:t>
            </w:r>
          </w:p>
        </w:tc>
        <w:tc>
          <w:tcPr>
            <w:tcW w:type="dxa" w:w="4176"/>
            <w:shd w:fill="1F4E78"/>
          </w:tcPr>
          <w:p>
            <w:pPr>
              <w:jc w:val="center"/>
            </w:pPr>
            <w:r>
              <w:rPr>
                <w:rFonts w:ascii="Aptos" w:hAnsi="Aptos"/>
                <w:b/>
                <w:i w:val="0"/>
                <w:color w:val="FFFFFF"/>
                <w:sz w:val="18"/>
              </w:rPr>
              <w:t>Market Comment</w:t>
            </w:r>
          </w:p>
        </w:tc>
        <w:tc>
          <w:tcPr>
            <w:tcW w:type="dxa" w:w="1440"/>
            <w:shd w:fill="1F4E78"/>
          </w:tcPr>
          <w:p>
            <w:pPr>
              <w:jc w:val="center"/>
            </w:pPr>
            <w:r>
              <w:rPr>
                <w:rFonts w:ascii="Aptos" w:hAnsi="Aptos"/>
                <w:b/>
                <w:i w:val="0"/>
                <w:color w:val="FFFFFF"/>
                <w:sz w:val="18"/>
              </w:rPr>
              <w:t>Growth Outlook</w:t>
            </w:r>
          </w:p>
        </w:tc>
        <w:tc>
          <w:tcPr>
            <w:tcW w:type="dxa" w:w="1728"/>
            <w:shd w:fill="1F4E78"/>
          </w:tcPr>
          <w:p>
            <w:pPr>
              <w:jc w:val="center"/>
            </w:pPr>
            <w:r>
              <w:rPr>
                <w:rFonts w:ascii="Aptos" w:hAnsi="Aptos"/>
                <w:b/>
                <w:i w:val="0"/>
                <w:color w:val="FFFFFF"/>
                <w:sz w:val="18"/>
              </w:rPr>
              <w:t>Relevance to Aurelia</w:t>
            </w:r>
          </w:p>
        </w:tc>
      </w:tr>
      <w:tr>
        <w:tc>
          <w:tcPr>
            <w:tcW w:type="dxa" w:w="3024"/>
          </w:tcPr>
          <w:p>
            <w:pPr>
              <w:jc w:val="left"/>
            </w:pPr>
            <w:r>
              <w:rPr>
                <w:rFonts w:ascii="Aptos" w:hAnsi="Aptos"/>
                <w:b w:val="0"/>
                <w:i w:val="0"/>
                <w:sz w:val="17"/>
              </w:rPr>
              <w:t>Luxury towers / apartments</w:t>
            </w:r>
          </w:p>
        </w:tc>
        <w:tc>
          <w:tcPr>
            <w:tcW w:type="dxa" w:w="4176"/>
          </w:tcPr>
          <w:p>
            <w:pPr>
              <w:jc w:val="left"/>
            </w:pPr>
            <w:r>
              <w:rPr>
                <w:rFonts w:ascii="Aptos" w:hAnsi="Aptos"/>
                <w:b w:val="0"/>
                <w:i w:val="0"/>
                <w:sz w:val="17"/>
              </w:rPr>
              <w:t>Largest premium volume pool; strong international investor familiarity</w:t>
            </w:r>
          </w:p>
        </w:tc>
        <w:tc>
          <w:tcPr>
            <w:tcW w:type="dxa" w:w="1440"/>
          </w:tcPr>
          <w:p>
            <w:pPr>
              <w:jc w:val="left"/>
            </w:pPr>
            <w:r>
              <w:rPr>
                <w:rFonts w:ascii="Aptos" w:hAnsi="Aptos"/>
                <w:b w:val="0"/>
                <w:i w:val="0"/>
                <w:sz w:val="17"/>
              </w:rPr>
              <w:t>High</w:t>
            </w:r>
          </w:p>
        </w:tc>
        <w:tc>
          <w:tcPr>
            <w:tcW w:type="dxa" w:w="1728"/>
          </w:tcPr>
          <w:p>
            <w:pPr>
              <w:jc w:val="left"/>
            </w:pPr>
            <w:r>
              <w:rPr>
                <w:rFonts w:ascii="Aptos" w:hAnsi="Aptos"/>
                <w:b w:val="0"/>
                <w:i w:val="0"/>
                <w:sz w:val="17"/>
              </w:rPr>
              <w:t>Primary</w:t>
            </w:r>
          </w:p>
        </w:tc>
      </w:tr>
      <w:tr>
        <w:tc>
          <w:tcPr>
            <w:tcW w:type="dxa" w:w="3024"/>
          </w:tcPr>
          <w:p>
            <w:pPr>
              <w:jc w:val="left"/>
            </w:pPr>
            <w:r>
              <w:rPr>
                <w:rFonts w:ascii="Aptos" w:hAnsi="Aptos"/>
                <w:b w:val="0"/>
                <w:i w:val="0"/>
                <w:sz w:val="17"/>
              </w:rPr>
              <w:t>Premium villa communities</w:t>
            </w:r>
          </w:p>
        </w:tc>
        <w:tc>
          <w:tcPr>
            <w:tcW w:type="dxa" w:w="4176"/>
          </w:tcPr>
          <w:p>
            <w:pPr>
              <w:jc w:val="left"/>
            </w:pPr>
            <w:r>
              <w:rPr>
                <w:rFonts w:ascii="Aptos" w:hAnsi="Aptos"/>
                <w:b w:val="0"/>
                <w:i w:val="0"/>
                <w:sz w:val="17"/>
              </w:rPr>
              <w:t>Supported by end-user and wealth-migration demand</w:t>
            </w:r>
          </w:p>
        </w:tc>
        <w:tc>
          <w:tcPr>
            <w:tcW w:type="dxa" w:w="1440"/>
          </w:tcPr>
          <w:p>
            <w:pPr>
              <w:jc w:val="left"/>
            </w:pPr>
            <w:r>
              <w:rPr>
                <w:rFonts w:ascii="Aptos" w:hAnsi="Aptos"/>
                <w:b w:val="0"/>
                <w:i w:val="0"/>
                <w:sz w:val="17"/>
              </w:rPr>
              <w:t>High</w:t>
            </w:r>
          </w:p>
        </w:tc>
        <w:tc>
          <w:tcPr>
            <w:tcW w:type="dxa" w:w="1728"/>
          </w:tcPr>
          <w:p>
            <w:pPr>
              <w:jc w:val="left"/>
            </w:pPr>
            <w:r>
              <w:rPr>
                <w:rFonts w:ascii="Aptos" w:hAnsi="Aptos"/>
                <w:b w:val="0"/>
                <w:i w:val="0"/>
                <w:sz w:val="17"/>
              </w:rPr>
              <w:t>Primary</w:t>
            </w:r>
          </w:p>
        </w:tc>
      </w:tr>
      <w:tr>
        <w:tc>
          <w:tcPr>
            <w:tcW w:type="dxa" w:w="3024"/>
          </w:tcPr>
          <w:p>
            <w:pPr>
              <w:jc w:val="left"/>
            </w:pPr>
            <w:r>
              <w:rPr>
                <w:rFonts w:ascii="Aptos" w:hAnsi="Aptos"/>
                <w:b w:val="0"/>
                <w:i w:val="0"/>
                <w:sz w:val="17"/>
              </w:rPr>
              <w:t>Branded residences</w:t>
            </w:r>
          </w:p>
        </w:tc>
        <w:tc>
          <w:tcPr>
            <w:tcW w:type="dxa" w:w="4176"/>
          </w:tcPr>
          <w:p>
            <w:pPr>
              <w:jc w:val="left"/>
            </w:pPr>
            <w:r>
              <w:rPr>
                <w:rFonts w:ascii="Aptos" w:hAnsi="Aptos"/>
                <w:b w:val="0"/>
                <w:i w:val="0"/>
                <w:sz w:val="17"/>
              </w:rPr>
              <w:t>Strong pricing premium but execution-sensitive</w:t>
            </w:r>
          </w:p>
        </w:tc>
        <w:tc>
          <w:tcPr>
            <w:tcW w:type="dxa" w:w="1440"/>
          </w:tcPr>
          <w:p>
            <w:pPr>
              <w:jc w:val="left"/>
            </w:pPr>
            <w:r>
              <w:rPr>
                <w:rFonts w:ascii="Aptos" w:hAnsi="Aptos"/>
                <w:b w:val="0"/>
                <w:i w:val="0"/>
                <w:sz w:val="17"/>
              </w:rPr>
              <w:t>High</w:t>
            </w:r>
          </w:p>
        </w:tc>
        <w:tc>
          <w:tcPr>
            <w:tcW w:type="dxa" w:w="1728"/>
          </w:tcPr>
          <w:p>
            <w:pPr>
              <w:jc w:val="left"/>
            </w:pPr>
            <w:r>
              <w:rPr>
                <w:rFonts w:ascii="Aptos" w:hAnsi="Aptos"/>
                <w:b w:val="0"/>
                <w:i w:val="0"/>
                <w:sz w:val="17"/>
              </w:rPr>
              <w:t>Primary</w:t>
            </w:r>
          </w:p>
        </w:tc>
      </w:tr>
      <w:tr>
        <w:tc>
          <w:tcPr>
            <w:tcW w:type="dxa" w:w="3024"/>
          </w:tcPr>
          <w:p>
            <w:pPr>
              <w:jc w:val="left"/>
            </w:pPr>
            <w:r>
              <w:rPr>
                <w:rFonts w:ascii="Aptos" w:hAnsi="Aptos"/>
                <w:b w:val="0"/>
                <w:i w:val="0"/>
                <w:sz w:val="17"/>
              </w:rPr>
              <w:t>Mixed-use lifestyle developments</w:t>
            </w:r>
          </w:p>
        </w:tc>
        <w:tc>
          <w:tcPr>
            <w:tcW w:type="dxa" w:w="4176"/>
          </w:tcPr>
          <w:p>
            <w:pPr>
              <w:jc w:val="left"/>
            </w:pPr>
            <w:r>
              <w:rPr>
                <w:rFonts w:ascii="Aptos" w:hAnsi="Aptos"/>
                <w:b w:val="0"/>
                <w:i w:val="0"/>
                <w:sz w:val="17"/>
              </w:rPr>
              <w:t>Can create diversified revenue but more complex</w:t>
            </w:r>
          </w:p>
        </w:tc>
        <w:tc>
          <w:tcPr>
            <w:tcW w:type="dxa" w:w="1440"/>
          </w:tcPr>
          <w:p>
            <w:pPr>
              <w:jc w:val="left"/>
            </w:pPr>
            <w:r>
              <w:rPr>
                <w:rFonts w:ascii="Aptos" w:hAnsi="Aptos"/>
                <w:b w:val="0"/>
                <w:i w:val="0"/>
                <w:sz w:val="17"/>
              </w:rPr>
              <w:t>Medium to High</w:t>
            </w:r>
          </w:p>
        </w:tc>
        <w:tc>
          <w:tcPr>
            <w:tcW w:type="dxa" w:w="1728"/>
          </w:tcPr>
          <w:p>
            <w:pPr>
              <w:jc w:val="left"/>
            </w:pPr>
            <w:r>
              <w:rPr>
                <w:rFonts w:ascii="Aptos" w:hAnsi="Aptos"/>
                <w:b w:val="0"/>
                <w:i w:val="0"/>
                <w:sz w:val="17"/>
              </w:rPr>
              <w:t>Primary / selective</w:t>
            </w:r>
          </w:p>
        </w:tc>
      </w:tr>
      <w:tr>
        <w:tc>
          <w:tcPr>
            <w:tcW w:type="dxa" w:w="3024"/>
          </w:tcPr>
          <w:p>
            <w:pPr>
              <w:jc w:val="left"/>
            </w:pPr>
            <w:r>
              <w:rPr>
                <w:rFonts w:ascii="Aptos" w:hAnsi="Aptos"/>
                <w:b w:val="0"/>
                <w:i w:val="0"/>
                <w:sz w:val="17"/>
              </w:rPr>
              <w:t>Conventional rental residential</w:t>
            </w:r>
          </w:p>
        </w:tc>
        <w:tc>
          <w:tcPr>
            <w:tcW w:type="dxa" w:w="4176"/>
          </w:tcPr>
          <w:p>
            <w:pPr>
              <w:jc w:val="left"/>
            </w:pPr>
            <w:r>
              <w:rPr>
                <w:rFonts w:ascii="Aptos" w:hAnsi="Aptos"/>
                <w:b w:val="0"/>
                <w:i w:val="0"/>
                <w:sz w:val="17"/>
              </w:rPr>
              <w:t>Large overall market but less aligned to Aurelia positioning</w:t>
            </w:r>
          </w:p>
        </w:tc>
        <w:tc>
          <w:tcPr>
            <w:tcW w:type="dxa" w:w="1440"/>
          </w:tcPr>
          <w:p>
            <w:pPr>
              <w:jc w:val="left"/>
            </w:pPr>
            <w:r>
              <w:rPr>
                <w:rFonts w:ascii="Aptos" w:hAnsi="Aptos"/>
                <w:b w:val="0"/>
                <w:i w:val="0"/>
                <w:sz w:val="17"/>
              </w:rPr>
              <w:t>Medium</w:t>
            </w:r>
          </w:p>
        </w:tc>
        <w:tc>
          <w:tcPr>
            <w:tcW w:type="dxa" w:w="1728"/>
          </w:tcPr>
          <w:p>
            <w:pPr>
              <w:jc w:val="left"/>
            </w:pPr>
            <w:r>
              <w:rPr>
                <w:rFonts w:ascii="Aptos" w:hAnsi="Aptos"/>
                <w:b w:val="0"/>
                <w:i w:val="0"/>
                <w:sz w:val="17"/>
              </w:rPr>
              <w:t>Secondary</w:t>
            </w:r>
          </w:p>
        </w:tc>
      </w:tr>
    </w:tbl>
    <w:p>
      <w:pPr>
        <w:pStyle w:val="Heading2"/>
        <w:spacing w:after="120" w:line="276" w:lineRule="auto"/>
      </w:pPr>
      <w:r>
        <w:t>Growth Projections for Key Market Segments</w:t>
      </w:r>
    </w:p>
    <w:p>
      <w:pPr>
        <w:spacing w:after="120" w:line="276" w:lineRule="auto"/>
      </w:pPr>
      <w:r>
        <w:rPr>
          <w:rFonts w:ascii="Aptos" w:hAnsi="Aptos"/>
          <w:b w:val="0"/>
          <w:i w:val="0"/>
          <w:sz w:val="21"/>
        </w:rPr>
        <w:t>The strongest growth vectors for Aurelia’s target segments appear to be continued HNWI inflows, structural buyer preference for waterfront and branded lifestyle products, and the persistence of off-plan demand where project credibility is high. Public broker and consultant commentary through 2024 and 2025 suggests that villas and premium apartments both continued to record material demand, while branded products remained among the most differentiated formats in the market. [Sources: Knight Frank; CBRE; JLL; Henley &amp; Partners]</w:t>
      </w:r>
    </w:p>
    <w:p>
      <w:pPr>
        <w:spacing w:after="120" w:line="276" w:lineRule="auto"/>
      </w:pPr>
      <w:r>
        <w:rPr>
          <w:rFonts w:ascii="Aptos" w:hAnsi="Aptos"/>
          <w:b w:val="0"/>
          <w:i w:val="0"/>
          <w:sz w:val="21"/>
        </w:rPr>
        <w:t>For diligence planning, the prudent assumption is not that current double-digit growth rates persist indefinitely, but that premium segments remain above broader market growth over the medium term. A base case therefore assumes the relevant premium segments continue to grow faster than the 8.4% broad UAE real estate benchmark, with upside supported by branding, scarcity, and international demand, and downside driven by supply concentration or macro volatility.</w:t>
      </w:r>
    </w:p>
    <w:p>
      <w:pPr>
        <w:pStyle w:val="Heading1"/>
        <w:spacing w:after="120" w:line="276" w:lineRule="auto"/>
      </w:pPr>
      <w:r>
        <w:t>8.2 Competitive Landscape</w:t>
      </w:r>
    </w:p>
    <w:p>
      <w:pPr>
        <w:spacing w:after="120" w:line="276" w:lineRule="auto"/>
      </w:pPr>
      <w:r>
        <w:rPr>
          <w:rFonts w:ascii="Aptos" w:hAnsi="Aptos"/>
          <w:b w:val="0"/>
          <w:i w:val="0"/>
          <w:sz w:val="21"/>
        </w:rPr>
        <w:t>Aurelia operates in a market dominated by large integrated developers such as Emaar, DAMAC, Nakheel, Sobha, Meraas, and Dubai Properties. These groups enjoy scale advantages in land access, funding, vertical integration, and brand recognition. However, their breadth can also create openings for a focused premium developer that targets narrower luxury customer niches, responds faster to design-led opportunities, and deploys capital selectively into micro-markets where large master developers do not always maximize boutique pricing potential.</w:t>
      </w:r>
    </w:p>
    <w:p>
      <w:pPr>
        <w:spacing w:after="120" w:line="276" w:lineRule="auto"/>
      </w:pPr>
      <w:r>
        <w:rPr>
          <w:rFonts w:ascii="Aptos" w:hAnsi="Aptos"/>
          <w:b w:val="0"/>
          <w:i w:val="0"/>
          <w:sz w:val="21"/>
        </w:rPr>
        <w:t>The correct competitive question for investors is therefore not whether Aurelia is larger than these incumbents—it is not—but whether Aurelia can occupy a defendable strategic space between the global-brand premium segment and the institutional-quality mid-market developer universe. That depends on project selection, brand execution, capital discipline, and customer-acquisition effectiveness.</w:t>
      </w:r>
    </w:p>
    <w:p>
      <w:pPr>
        <w:pStyle w:val="Heading2"/>
        <w:spacing w:after="120" w:line="276" w:lineRule="auto"/>
      </w:pPr>
      <w:r>
        <w:t>List of Primary Competitors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1F4E78"/>
          </w:tcPr>
          <w:p>
            <w:pPr>
              <w:jc w:val="center"/>
            </w:pPr>
            <w:r>
              <w:rPr>
                <w:rFonts w:ascii="Aptos" w:hAnsi="Aptos"/>
                <w:b/>
                <w:i w:val="0"/>
                <w:color w:val="FFFFFF"/>
                <w:sz w:val="18"/>
              </w:rPr>
              <w:t>Competitor</w:t>
            </w:r>
          </w:p>
        </w:tc>
        <w:tc>
          <w:tcPr>
            <w:tcW w:type="dxa" w:w="3168"/>
            <w:shd w:fill="1F4E78"/>
          </w:tcPr>
          <w:p>
            <w:pPr>
              <w:jc w:val="center"/>
            </w:pPr>
            <w:r>
              <w:rPr>
                <w:rFonts w:ascii="Aptos" w:hAnsi="Aptos"/>
                <w:b/>
                <w:i w:val="0"/>
                <w:color w:val="FFFFFF"/>
                <w:sz w:val="18"/>
              </w:rPr>
              <w:t>Focus</w:t>
            </w:r>
          </w:p>
        </w:tc>
        <w:tc>
          <w:tcPr>
            <w:tcW w:type="dxa" w:w="2448"/>
            <w:shd w:fill="1F4E78"/>
          </w:tcPr>
          <w:p>
            <w:pPr>
              <w:jc w:val="center"/>
            </w:pPr>
            <w:r>
              <w:rPr>
                <w:rFonts w:ascii="Aptos" w:hAnsi="Aptos"/>
                <w:b/>
                <w:i w:val="0"/>
                <w:color w:val="FFFFFF"/>
                <w:sz w:val="18"/>
              </w:rPr>
              <w:t>Primary Advantage</w:t>
            </w:r>
          </w:p>
        </w:tc>
        <w:tc>
          <w:tcPr>
            <w:tcW w:type="dxa" w:w="2592"/>
            <w:shd w:fill="1F4E78"/>
          </w:tcPr>
          <w:p>
            <w:pPr>
              <w:jc w:val="center"/>
            </w:pPr>
            <w:r>
              <w:rPr>
                <w:rFonts w:ascii="Aptos" w:hAnsi="Aptos"/>
                <w:b/>
                <w:i w:val="0"/>
                <w:color w:val="FFFFFF"/>
                <w:sz w:val="18"/>
              </w:rPr>
              <w:t>Implication for Aurelia</w:t>
            </w:r>
          </w:p>
        </w:tc>
      </w:tr>
      <w:tr>
        <w:tc>
          <w:tcPr>
            <w:tcW w:type="dxa" w:w="2160"/>
          </w:tcPr>
          <w:p>
            <w:pPr>
              <w:jc w:val="left"/>
            </w:pPr>
            <w:r>
              <w:rPr>
                <w:rFonts w:ascii="Aptos" w:hAnsi="Aptos"/>
                <w:b w:val="0"/>
                <w:i w:val="0"/>
                <w:sz w:val="17"/>
              </w:rPr>
              <w:t>Emaar Properties</w:t>
            </w:r>
          </w:p>
        </w:tc>
        <w:tc>
          <w:tcPr>
            <w:tcW w:type="dxa" w:w="3168"/>
          </w:tcPr>
          <w:p>
            <w:pPr>
              <w:jc w:val="left"/>
            </w:pPr>
            <w:r>
              <w:rPr>
                <w:rFonts w:ascii="Aptos" w:hAnsi="Aptos"/>
                <w:b w:val="0"/>
                <w:i w:val="0"/>
                <w:sz w:val="17"/>
              </w:rPr>
              <w:t>Master-planned communities, towers, mixed-use, global brand reach</w:t>
            </w:r>
          </w:p>
        </w:tc>
        <w:tc>
          <w:tcPr>
            <w:tcW w:type="dxa" w:w="2448"/>
          </w:tcPr>
          <w:p>
            <w:pPr>
              <w:jc w:val="left"/>
            </w:pPr>
            <w:r>
              <w:rPr>
                <w:rFonts w:ascii="Aptos" w:hAnsi="Aptos"/>
                <w:b w:val="0"/>
                <w:i w:val="0"/>
                <w:sz w:val="17"/>
              </w:rPr>
              <w:t>Scale, destination ownership, financing depth</w:t>
            </w:r>
          </w:p>
        </w:tc>
        <w:tc>
          <w:tcPr>
            <w:tcW w:type="dxa" w:w="2592"/>
          </w:tcPr>
          <w:p>
            <w:pPr>
              <w:jc w:val="left"/>
            </w:pPr>
            <w:r>
              <w:rPr>
                <w:rFonts w:ascii="Aptos" w:hAnsi="Aptos"/>
                <w:b w:val="0"/>
                <w:i w:val="0"/>
                <w:sz w:val="17"/>
              </w:rPr>
              <w:t>Subscale relative to Emaar but can be more focused and boutique</w:t>
            </w:r>
          </w:p>
        </w:tc>
      </w:tr>
      <w:tr>
        <w:tc>
          <w:tcPr>
            <w:tcW w:type="dxa" w:w="2160"/>
          </w:tcPr>
          <w:p>
            <w:pPr>
              <w:jc w:val="left"/>
            </w:pPr>
            <w:r>
              <w:rPr>
                <w:rFonts w:ascii="Aptos" w:hAnsi="Aptos"/>
                <w:b w:val="0"/>
                <w:i w:val="0"/>
                <w:sz w:val="17"/>
              </w:rPr>
              <w:t>DAMAC Properties</w:t>
            </w:r>
          </w:p>
        </w:tc>
        <w:tc>
          <w:tcPr>
            <w:tcW w:type="dxa" w:w="3168"/>
          </w:tcPr>
          <w:p>
            <w:pPr>
              <w:jc w:val="left"/>
            </w:pPr>
            <w:r>
              <w:rPr>
                <w:rFonts w:ascii="Aptos" w:hAnsi="Aptos"/>
                <w:b w:val="0"/>
                <w:i w:val="0"/>
                <w:sz w:val="17"/>
              </w:rPr>
              <w:t>Luxury towers, branded residences, villa communities</w:t>
            </w:r>
          </w:p>
        </w:tc>
        <w:tc>
          <w:tcPr>
            <w:tcW w:type="dxa" w:w="2448"/>
          </w:tcPr>
          <w:p>
            <w:pPr>
              <w:jc w:val="left"/>
            </w:pPr>
            <w:r>
              <w:rPr>
                <w:rFonts w:ascii="Aptos" w:hAnsi="Aptos"/>
                <w:b w:val="0"/>
                <w:i w:val="0"/>
                <w:sz w:val="17"/>
              </w:rPr>
              <w:t>Aggressive luxury branding and broad investor awareness</w:t>
            </w:r>
          </w:p>
        </w:tc>
        <w:tc>
          <w:tcPr>
            <w:tcW w:type="dxa" w:w="2592"/>
          </w:tcPr>
          <w:p>
            <w:pPr>
              <w:jc w:val="left"/>
            </w:pPr>
            <w:r>
              <w:rPr>
                <w:rFonts w:ascii="Aptos" w:hAnsi="Aptos"/>
                <w:b w:val="0"/>
                <w:i w:val="0"/>
                <w:sz w:val="17"/>
              </w:rPr>
              <w:t>Direct comparator in premium residential positioning</w:t>
            </w:r>
          </w:p>
        </w:tc>
      </w:tr>
      <w:tr>
        <w:tc>
          <w:tcPr>
            <w:tcW w:type="dxa" w:w="2160"/>
          </w:tcPr>
          <w:p>
            <w:pPr>
              <w:jc w:val="left"/>
            </w:pPr>
            <w:r>
              <w:rPr>
                <w:rFonts w:ascii="Aptos" w:hAnsi="Aptos"/>
                <w:b w:val="0"/>
                <w:i w:val="0"/>
                <w:sz w:val="17"/>
              </w:rPr>
              <w:t>Nakheel</w:t>
            </w:r>
          </w:p>
        </w:tc>
        <w:tc>
          <w:tcPr>
            <w:tcW w:type="dxa" w:w="3168"/>
          </w:tcPr>
          <w:p>
            <w:pPr>
              <w:jc w:val="left"/>
            </w:pPr>
            <w:r>
              <w:rPr>
                <w:rFonts w:ascii="Aptos" w:hAnsi="Aptos"/>
                <w:b w:val="0"/>
                <w:i w:val="0"/>
                <w:sz w:val="17"/>
              </w:rPr>
              <w:t>Waterfront and destination-scale developments</w:t>
            </w:r>
          </w:p>
        </w:tc>
        <w:tc>
          <w:tcPr>
            <w:tcW w:type="dxa" w:w="2448"/>
          </w:tcPr>
          <w:p>
            <w:pPr>
              <w:jc w:val="left"/>
            </w:pPr>
            <w:r>
              <w:rPr>
                <w:rFonts w:ascii="Aptos" w:hAnsi="Aptos"/>
                <w:b w:val="0"/>
                <w:i w:val="0"/>
                <w:sz w:val="17"/>
              </w:rPr>
              <w:t>Landbank and infrastructure influence</w:t>
            </w:r>
          </w:p>
        </w:tc>
        <w:tc>
          <w:tcPr>
            <w:tcW w:type="dxa" w:w="2592"/>
          </w:tcPr>
          <w:p>
            <w:pPr>
              <w:jc w:val="left"/>
            </w:pPr>
            <w:r>
              <w:rPr>
                <w:rFonts w:ascii="Aptos" w:hAnsi="Aptos"/>
                <w:b w:val="0"/>
                <w:i w:val="0"/>
                <w:sz w:val="17"/>
              </w:rPr>
              <w:t>Competes in select waterfront / destination contexts</w:t>
            </w:r>
          </w:p>
        </w:tc>
      </w:tr>
      <w:tr>
        <w:tc>
          <w:tcPr>
            <w:tcW w:type="dxa" w:w="2160"/>
          </w:tcPr>
          <w:p>
            <w:pPr>
              <w:jc w:val="left"/>
            </w:pPr>
            <w:r>
              <w:rPr>
                <w:rFonts w:ascii="Aptos" w:hAnsi="Aptos"/>
                <w:b w:val="0"/>
                <w:i w:val="0"/>
                <w:sz w:val="17"/>
              </w:rPr>
              <w:t>Sobha Realty</w:t>
            </w:r>
          </w:p>
        </w:tc>
        <w:tc>
          <w:tcPr>
            <w:tcW w:type="dxa" w:w="3168"/>
          </w:tcPr>
          <w:p>
            <w:pPr>
              <w:jc w:val="left"/>
            </w:pPr>
            <w:r>
              <w:rPr>
                <w:rFonts w:ascii="Aptos" w:hAnsi="Aptos"/>
                <w:b w:val="0"/>
                <w:i w:val="0"/>
                <w:sz w:val="17"/>
              </w:rPr>
              <w:t>Quality-led premium residential developments</w:t>
            </w:r>
          </w:p>
        </w:tc>
        <w:tc>
          <w:tcPr>
            <w:tcW w:type="dxa" w:w="2448"/>
          </w:tcPr>
          <w:p>
            <w:pPr>
              <w:jc w:val="left"/>
            </w:pPr>
            <w:r>
              <w:rPr>
                <w:rFonts w:ascii="Aptos" w:hAnsi="Aptos"/>
                <w:b w:val="0"/>
                <w:i w:val="0"/>
                <w:sz w:val="17"/>
              </w:rPr>
              <w:t>Execution reputation and premium finish quality</w:t>
            </w:r>
          </w:p>
        </w:tc>
        <w:tc>
          <w:tcPr>
            <w:tcW w:type="dxa" w:w="2592"/>
          </w:tcPr>
          <w:p>
            <w:pPr>
              <w:jc w:val="left"/>
            </w:pPr>
            <w:r>
              <w:rPr>
                <w:rFonts w:ascii="Aptos" w:hAnsi="Aptos"/>
                <w:b w:val="0"/>
                <w:i w:val="0"/>
                <w:sz w:val="17"/>
              </w:rPr>
              <w:t>Comparable on product quality and design emphasis</w:t>
            </w:r>
          </w:p>
        </w:tc>
      </w:tr>
      <w:tr>
        <w:tc>
          <w:tcPr>
            <w:tcW w:type="dxa" w:w="2160"/>
          </w:tcPr>
          <w:p>
            <w:pPr>
              <w:jc w:val="left"/>
            </w:pPr>
            <w:r>
              <w:rPr>
                <w:rFonts w:ascii="Aptos" w:hAnsi="Aptos"/>
                <w:b w:val="0"/>
                <w:i w:val="0"/>
                <w:sz w:val="17"/>
              </w:rPr>
              <w:t>Meraas / Dubai Holding portfolio</w:t>
            </w:r>
          </w:p>
        </w:tc>
        <w:tc>
          <w:tcPr>
            <w:tcW w:type="dxa" w:w="3168"/>
          </w:tcPr>
          <w:p>
            <w:pPr>
              <w:jc w:val="left"/>
            </w:pPr>
            <w:r>
              <w:rPr>
                <w:rFonts w:ascii="Aptos" w:hAnsi="Aptos"/>
                <w:b w:val="0"/>
                <w:i w:val="0"/>
                <w:sz w:val="17"/>
              </w:rPr>
              <w:t>Lifestyle districts and destination assets</w:t>
            </w:r>
          </w:p>
        </w:tc>
        <w:tc>
          <w:tcPr>
            <w:tcW w:type="dxa" w:w="2448"/>
          </w:tcPr>
          <w:p>
            <w:pPr>
              <w:jc w:val="left"/>
            </w:pPr>
            <w:r>
              <w:rPr>
                <w:rFonts w:ascii="Aptos" w:hAnsi="Aptos"/>
                <w:b w:val="0"/>
                <w:i w:val="0"/>
                <w:sz w:val="17"/>
              </w:rPr>
              <w:t>Integrated placemaking and destination strategy</w:t>
            </w:r>
          </w:p>
        </w:tc>
        <w:tc>
          <w:tcPr>
            <w:tcW w:type="dxa" w:w="2592"/>
          </w:tcPr>
          <w:p>
            <w:pPr>
              <w:jc w:val="left"/>
            </w:pPr>
            <w:r>
              <w:rPr>
                <w:rFonts w:ascii="Aptos" w:hAnsi="Aptos"/>
                <w:b w:val="0"/>
                <w:i w:val="0"/>
                <w:sz w:val="17"/>
              </w:rPr>
              <w:t>Competes in mixed-use experiential developments</w:t>
            </w:r>
          </w:p>
        </w:tc>
      </w:tr>
      <w:tr>
        <w:tc>
          <w:tcPr>
            <w:tcW w:type="dxa" w:w="2160"/>
          </w:tcPr>
          <w:p>
            <w:pPr>
              <w:jc w:val="left"/>
            </w:pPr>
            <w:r>
              <w:rPr>
                <w:rFonts w:ascii="Aptos" w:hAnsi="Aptos"/>
                <w:b w:val="0"/>
                <w:i w:val="0"/>
                <w:sz w:val="17"/>
              </w:rPr>
              <w:t>Dubai Properties</w:t>
            </w:r>
          </w:p>
        </w:tc>
        <w:tc>
          <w:tcPr>
            <w:tcW w:type="dxa" w:w="3168"/>
          </w:tcPr>
          <w:p>
            <w:pPr>
              <w:jc w:val="left"/>
            </w:pPr>
            <w:r>
              <w:rPr>
                <w:rFonts w:ascii="Aptos" w:hAnsi="Aptos"/>
                <w:b w:val="0"/>
                <w:i w:val="0"/>
                <w:sz w:val="17"/>
              </w:rPr>
              <w:t>Broad residential and mixed-use footprint</w:t>
            </w:r>
          </w:p>
        </w:tc>
        <w:tc>
          <w:tcPr>
            <w:tcW w:type="dxa" w:w="2448"/>
          </w:tcPr>
          <w:p>
            <w:pPr>
              <w:jc w:val="left"/>
            </w:pPr>
            <w:r>
              <w:rPr>
                <w:rFonts w:ascii="Aptos" w:hAnsi="Aptos"/>
                <w:b w:val="0"/>
                <w:i w:val="0"/>
                <w:sz w:val="17"/>
              </w:rPr>
              <w:t>Scale in conventional development</w:t>
            </w:r>
          </w:p>
        </w:tc>
        <w:tc>
          <w:tcPr>
            <w:tcW w:type="dxa" w:w="2592"/>
          </w:tcPr>
          <w:p>
            <w:pPr>
              <w:jc w:val="left"/>
            </w:pPr>
            <w:r>
              <w:rPr>
                <w:rFonts w:ascii="Aptos" w:hAnsi="Aptos"/>
                <w:b w:val="0"/>
                <w:i w:val="0"/>
                <w:sz w:val="17"/>
              </w:rPr>
              <w:t>Less directly premium than Aurelia focus, but competes for land and buyers in select segments</w:t>
            </w:r>
          </w:p>
        </w:tc>
      </w:tr>
    </w:tbl>
    <w:p>
      <w:pPr>
        <w:pStyle w:val="Heading2"/>
        <w:spacing w:after="120" w:line="276" w:lineRule="auto"/>
      </w:pPr>
      <w:r>
        <w:t>Competitive Positioning Analysis</w:t>
      </w:r>
    </w:p>
    <w:p>
      <w:pPr>
        <w:spacing w:after="120" w:line="276" w:lineRule="auto"/>
      </w:pPr>
      <w:r>
        <w:rPr>
          <w:rFonts w:ascii="Aptos" w:hAnsi="Aptos"/>
          <w:b w:val="0"/>
          <w:i w:val="0"/>
          <w:sz w:val="21"/>
        </w:rPr>
        <w:t>Aurelia appears best positioned as a premium-focused, design-led, proptech-enabled developer rather than a mass-scale master developer. The company’s relative advantages are speed of decision-making, the ability to craft differentiated luxury concepts, a potentially more flexible branding model, and the use of internal project-planning and commercial analytics tools that can tighten project selection and release sequencing. Relative disadvantages include smaller scale, lower financing depth, less diversified cash flow, and reduced bargaining power against large incumbents in land, infrastructure, and contractor markets.</w:t>
      </w:r>
    </w:p>
    <w:p>
      <w:pPr>
        <w:spacing w:after="120" w:line="276" w:lineRule="auto"/>
      </w:pPr>
      <w:r>
        <w:rPr>
          <w:rFonts w:ascii="Aptos" w:hAnsi="Aptos"/>
          <w:b w:val="0"/>
          <w:i w:val="0"/>
          <w:sz w:val="21"/>
        </w:rPr>
        <w:t>In practical terms, Aurelia does not need to outcompete Emaar or DAMAC on breadth. Instead, it needs to win in a subset of premium opportunities where scarcity, branding, design quality, and execution credibility matter more than city-scale platform ownership. That positioning can be compelling to private equity if it is backed by disciplined capital deployment and demonstrable evidence of pricing power and sell-through.</w:t>
      </w:r>
    </w:p>
    <w:p>
      <w:pPr>
        <w:pStyle w:val="Heading2"/>
        <w:spacing w:after="120" w:line="276" w:lineRule="auto"/>
      </w:pPr>
      <w:r>
        <w:t>SWOT Analysis</w:t>
      </w:r>
    </w:p>
    <w:tbl>
      <w:tblPr>
        <w:tblStyle w:val="TableGrid"/>
        <w:tblW w:type="auto" w:w="0"/>
        <w:jc w:val="center"/>
        <w:tblLook w:firstColumn="1" w:firstRow="1" w:lastColumn="0" w:lastRow="0" w:noHBand="0" w:noVBand="1" w:val="04A0"/>
      </w:tblPr>
      <w:tblGrid>
        <w:gridCol w:w="4968"/>
        <w:gridCol w:w="4968"/>
      </w:tblGrid>
      <w:tr>
        <w:tc>
          <w:tcPr>
            <w:tcW w:type="dxa" w:w="2016"/>
            <w:shd w:fill="1F4E78"/>
          </w:tcPr>
          <w:p>
            <w:pPr>
              <w:jc w:val="center"/>
            </w:pPr>
            <w:r>
              <w:rPr>
                <w:rFonts w:ascii="Aptos" w:hAnsi="Aptos"/>
                <w:b/>
                <w:i w:val="0"/>
                <w:color w:val="FFFFFF"/>
                <w:sz w:val="18"/>
              </w:rPr>
              <w:t>SWOT Category</w:t>
            </w:r>
          </w:p>
        </w:tc>
        <w:tc>
          <w:tcPr>
            <w:tcW w:type="dxa" w:w="8064"/>
            <w:shd w:fill="1F4E78"/>
          </w:tcPr>
          <w:p>
            <w:pPr>
              <w:jc w:val="center"/>
            </w:pPr>
            <w:r>
              <w:rPr>
                <w:rFonts w:ascii="Aptos" w:hAnsi="Aptos"/>
                <w:b/>
                <w:i w:val="0"/>
                <w:color w:val="FFFFFF"/>
                <w:sz w:val="18"/>
              </w:rPr>
              <w:t>Analysis</w:t>
            </w:r>
          </w:p>
        </w:tc>
      </w:tr>
      <w:tr>
        <w:tc>
          <w:tcPr>
            <w:tcW w:type="dxa" w:w="2016"/>
          </w:tcPr>
          <w:p>
            <w:pPr>
              <w:jc w:val="left"/>
            </w:pPr>
            <w:r>
              <w:rPr>
                <w:rFonts w:ascii="Aptos" w:hAnsi="Aptos"/>
                <w:b w:val="0"/>
                <w:i w:val="0"/>
                <w:sz w:val="17"/>
              </w:rPr>
              <w:t>Strengths</w:t>
            </w:r>
          </w:p>
        </w:tc>
        <w:tc>
          <w:tcPr>
            <w:tcW w:type="dxa" w:w="8064"/>
          </w:tcPr>
          <w:p>
            <w:pPr>
              <w:jc w:val="left"/>
            </w:pPr>
            <w:r>
              <w:rPr>
                <w:rFonts w:ascii="Aptos" w:hAnsi="Aptos"/>
                <w:b w:val="0"/>
                <w:i w:val="0"/>
                <w:sz w:val="17"/>
              </w:rPr>
              <w:t>Focused premium pipeline; differentiated branding potential; proptech-enabled planning and sales tools; exposure to attractive micro-markets</w:t>
            </w:r>
          </w:p>
        </w:tc>
      </w:tr>
      <w:tr>
        <w:tc>
          <w:tcPr>
            <w:tcW w:type="dxa" w:w="2016"/>
          </w:tcPr>
          <w:p>
            <w:pPr>
              <w:jc w:val="left"/>
            </w:pPr>
            <w:r>
              <w:rPr>
                <w:rFonts w:ascii="Aptos" w:hAnsi="Aptos"/>
                <w:b w:val="0"/>
                <w:i w:val="0"/>
                <w:sz w:val="17"/>
              </w:rPr>
              <w:t>Weaknesses</w:t>
            </w:r>
          </w:p>
        </w:tc>
        <w:tc>
          <w:tcPr>
            <w:tcW w:type="dxa" w:w="8064"/>
          </w:tcPr>
          <w:p>
            <w:pPr>
              <w:jc w:val="left"/>
            </w:pPr>
            <w:r>
              <w:rPr>
                <w:rFonts w:ascii="Aptos" w:hAnsi="Aptos"/>
                <w:b w:val="0"/>
                <w:i w:val="0"/>
                <w:sz w:val="17"/>
              </w:rPr>
              <w:t>Smaller scale than leading Dubai incumbents; lower diversification; higher sensitivity to project execution and funding timing</w:t>
            </w:r>
          </w:p>
        </w:tc>
      </w:tr>
      <w:tr>
        <w:tc>
          <w:tcPr>
            <w:tcW w:type="dxa" w:w="2016"/>
          </w:tcPr>
          <w:p>
            <w:pPr>
              <w:jc w:val="left"/>
            </w:pPr>
            <w:r>
              <w:rPr>
                <w:rFonts w:ascii="Aptos" w:hAnsi="Aptos"/>
                <w:b w:val="0"/>
                <w:i w:val="0"/>
                <w:sz w:val="17"/>
              </w:rPr>
              <w:t>Opportunities</w:t>
            </w:r>
          </w:p>
        </w:tc>
        <w:tc>
          <w:tcPr>
            <w:tcW w:type="dxa" w:w="8064"/>
          </w:tcPr>
          <w:p>
            <w:pPr>
              <w:jc w:val="left"/>
            </w:pPr>
            <w:r>
              <w:rPr>
                <w:rFonts w:ascii="Aptos" w:hAnsi="Aptos"/>
                <w:b w:val="0"/>
                <w:i w:val="0"/>
                <w:sz w:val="17"/>
              </w:rPr>
              <w:t>International investor demand; luxury / branded segment growth; GCC expansion; operational efficiencies through data and digital channels</w:t>
            </w:r>
          </w:p>
        </w:tc>
      </w:tr>
      <w:tr>
        <w:tc>
          <w:tcPr>
            <w:tcW w:type="dxa" w:w="2016"/>
          </w:tcPr>
          <w:p>
            <w:pPr>
              <w:jc w:val="left"/>
            </w:pPr>
            <w:r>
              <w:rPr>
                <w:rFonts w:ascii="Aptos" w:hAnsi="Aptos"/>
                <w:b w:val="0"/>
                <w:i w:val="0"/>
                <w:sz w:val="17"/>
              </w:rPr>
              <w:t>Threats</w:t>
            </w:r>
          </w:p>
        </w:tc>
        <w:tc>
          <w:tcPr>
            <w:tcW w:type="dxa" w:w="8064"/>
          </w:tcPr>
          <w:p>
            <w:pPr>
              <w:jc w:val="left"/>
            </w:pPr>
            <w:r>
              <w:rPr>
                <w:rFonts w:ascii="Aptos" w:hAnsi="Aptos"/>
                <w:b w:val="0"/>
                <w:i w:val="0"/>
                <w:sz w:val="17"/>
              </w:rPr>
              <w:t>Potential luxury oversupply; cost inflation; geopolitical shocks affecting foreign investment; competitive response from large incumbents</w:t>
            </w:r>
          </w:p>
        </w:tc>
      </w:tr>
    </w:tbl>
    <w:p>
      <w:pPr>
        <w:pStyle w:val="Heading1"/>
        <w:spacing w:after="120" w:line="276" w:lineRule="auto"/>
      </w:pPr>
      <w:r>
        <w:t>8.3 Marketing and Sales</w:t>
      </w:r>
    </w:p>
    <w:p>
      <w:pPr>
        <w:spacing w:after="120" w:line="276" w:lineRule="auto"/>
      </w:pPr>
      <w:r>
        <w:rPr>
          <w:rFonts w:ascii="Aptos" w:hAnsi="Aptos"/>
          <w:b w:val="0"/>
          <w:i w:val="0"/>
          <w:sz w:val="21"/>
        </w:rPr>
        <w:t>Dubai developers typically rely on a combination of international property roadshows, broker partnerships, digital lead generation, CRM-managed reservation systems, launch events, and hospitality or lifestyle branding partnerships to convert demand. Off-plan selling remains central to the market, especially for premium towers and villa communities, meaning marketing effectiveness is not just a revenue growth issue but a financing issue: faster presales improve project cash generation and de-risk construction.</w:t>
      </w:r>
    </w:p>
    <w:p>
      <w:pPr>
        <w:spacing w:after="120" w:line="276" w:lineRule="auto"/>
      </w:pPr>
      <w:r>
        <w:rPr>
          <w:rFonts w:ascii="Aptos" w:hAnsi="Aptos"/>
          <w:b w:val="0"/>
          <w:i w:val="0"/>
          <w:sz w:val="21"/>
        </w:rPr>
        <w:t>For Aurelia, commercial diligence therefore requires evaluating not only market demand but also the efficiency of the go-to-market engine. The key questions are: how much does the company spend per qualified lead; what share of reservations converts to contracts; how many units are sold through broker channels versus direct channels; and whether the company’s marketing model supports premium price realization rather than merely driving volume.</w:t>
      </w:r>
    </w:p>
    <w:p>
      <w:pPr>
        <w:pStyle w:val="Heading2"/>
        <w:spacing w:after="120" w:line="276" w:lineRule="auto"/>
      </w:pPr>
      <w:r>
        <w:t>Marketing Strategy and Budget</w:t>
      </w:r>
    </w:p>
    <w:p>
      <w:pPr>
        <w:spacing w:after="120" w:line="276" w:lineRule="auto"/>
      </w:pPr>
      <w:r>
        <w:rPr>
          <w:rFonts w:ascii="Aptos" w:hAnsi="Aptos"/>
          <w:b w:val="0"/>
          <w:i w:val="0"/>
          <w:sz w:val="21"/>
        </w:rPr>
        <w:t>Exact marketing budgets for private developers are rarely public, so this report uses listed-developer cost structures and market practice as benchmarks. In Dubai, premium launch budgets often include digital performance marketing, broker events and commissions, branded collateral, show unit and sales gallery capex, international roadshows, and content production. For luxury launches, total selling and launch cost can be meaningfully higher per unit than for broader residential product because customer acquisition is often international and premium positioning requires brand and hospitality-grade execution.</w:t>
      </w:r>
    </w:p>
    <w:p>
      <w:pPr>
        <w:spacing w:after="120" w:line="276" w:lineRule="auto"/>
      </w:pPr>
      <w:r>
        <w:rPr>
          <w:rFonts w:ascii="Aptos" w:hAnsi="Aptos"/>
          <w:b w:val="0"/>
          <w:i w:val="0"/>
          <w:sz w:val="21"/>
        </w:rPr>
        <w:t>As a benchmark, a pragmatic diligence assumption is that launch and sales-related expenditure for premium developments can range from 2% to 5% of gross project value, depending on channel strategy and presale dependence. Aurelia’s likely budget intensity should sit in the mid-to-upper end of that range for branded and waterfront assets, and lower for repeatable villa-community launches supported by established broker relationships.</w:t>
      </w:r>
    </w:p>
    <w:tbl>
      <w:tblPr>
        <w:tblStyle w:val="TableGrid"/>
        <w:tblW w:type="auto" w:w="0"/>
        <w:jc w:val="center"/>
        <w:tblLook w:firstColumn="1" w:firstRow="1" w:lastColumn="0" w:lastRow="0" w:noHBand="0" w:noVBand="1" w:val="04A0"/>
      </w:tblPr>
      <w:tblGrid>
        <w:gridCol w:w="3312"/>
        <w:gridCol w:w="3312"/>
        <w:gridCol w:w="3312"/>
      </w:tblGrid>
      <w:tr>
        <w:tc>
          <w:tcPr>
            <w:tcW w:type="dxa" w:w="2736"/>
            <w:shd w:fill="1F4E78"/>
          </w:tcPr>
          <w:p>
            <w:pPr>
              <w:jc w:val="center"/>
            </w:pPr>
            <w:r>
              <w:rPr>
                <w:rFonts w:ascii="Aptos" w:hAnsi="Aptos"/>
                <w:b/>
                <w:i w:val="0"/>
                <w:color w:val="FFFFFF"/>
                <w:sz w:val="18"/>
              </w:rPr>
              <w:t>Marketing Lever</w:t>
            </w:r>
          </w:p>
        </w:tc>
        <w:tc>
          <w:tcPr>
            <w:tcW w:type="dxa" w:w="3456"/>
            <w:shd w:fill="1F4E78"/>
          </w:tcPr>
          <w:p>
            <w:pPr>
              <w:jc w:val="center"/>
            </w:pPr>
            <w:r>
              <w:rPr>
                <w:rFonts w:ascii="Aptos" w:hAnsi="Aptos"/>
                <w:b/>
                <w:i w:val="0"/>
                <w:color w:val="FFFFFF"/>
                <w:sz w:val="18"/>
              </w:rPr>
              <w:t>Purpose</w:t>
            </w:r>
          </w:p>
        </w:tc>
        <w:tc>
          <w:tcPr>
            <w:tcW w:type="dxa" w:w="3168"/>
            <w:shd w:fill="1F4E78"/>
          </w:tcPr>
          <w:p>
            <w:pPr>
              <w:jc w:val="center"/>
            </w:pPr>
            <w:r>
              <w:rPr>
                <w:rFonts w:ascii="Aptos" w:hAnsi="Aptos"/>
                <w:b/>
                <w:i w:val="0"/>
                <w:color w:val="FFFFFF"/>
                <w:sz w:val="18"/>
              </w:rPr>
              <w:t>Illustrative Budget Benchmark</w:t>
            </w:r>
          </w:p>
        </w:tc>
      </w:tr>
      <w:tr>
        <w:tc>
          <w:tcPr>
            <w:tcW w:type="dxa" w:w="2736"/>
          </w:tcPr>
          <w:p>
            <w:pPr>
              <w:jc w:val="left"/>
            </w:pPr>
            <w:r>
              <w:rPr>
                <w:rFonts w:ascii="Aptos" w:hAnsi="Aptos"/>
                <w:b w:val="0"/>
                <w:i w:val="0"/>
                <w:sz w:val="17"/>
              </w:rPr>
              <w:t>International roadshows / broker events</w:t>
            </w:r>
          </w:p>
        </w:tc>
        <w:tc>
          <w:tcPr>
            <w:tcW w:type="dxa" w:w="3456"/>
          </w:tcPr>
          <w:p>
            <w:pPr>
              <w:jc w:val="left"/>
            </w:pPr>
            <w:r>
              <w:rPr>
                <w:rFonts w:ascii="Aptos" w:hAnsi="Aptos"/>
                <w:b w:val="0"/>
                <w:i w:val="0"/>
                <w:sz w:val="17"/>
              </w:rPr>
              <w:t>High-end buyer access and global visibility</w:t>
            </w:r>
          </w:p>
        </w:tc>
        <w:tc>
          <w:tcPr>
            <w:tcW w:type="dxa" w:w="3168"/>
          </w:tcPr>
          <w:p>
            <w:pPr>
              <w:jc w:val="right"/>
            </w:pPr>
            <w:r>
              <w:rPr>
                <w:rFonts w:ascii="Aptos" w:hAnsi="Aptos"/>
                <w:b w:val="0"/>
                <w:i w:val="0"/>
                <w:sz w:val="17"/>
              </w:rPr>
              <w:t>$3.5m–$7.0m per flagship launch</w:t>
            </w:r>
          </w:p>
        </w:tc>
      </w:tr>
      <w:tr>
        <w:tc>
          <w:tcPr>
            <w:tcW w:type="dxa" w:w="2736"/>
          </w:tcPr>
          <w:p>
            <w:pPr>
              <w:jc w:val="left"/>
            </w:pPr>
            <w:r>
              <w:rPr>
                <w:rFonts w:ascii="Aptos" w:hAnsi="Aptos"/>
                <w:b w:val="0"/>
                <w:i w:val="0"/>
                <w:sz w:val="17"/>
              </w:rPr>
              <w:t>Digital performance marketing</w:t>
            </w:r>
          </w:p>
        </w:tc>
        <w:tc>
          <w:tcPr>
            <w:tcW w:type="dxa" w:w="3456"/>
          </w:tcPr>
          <w:p>
            <w:pPr>
              <w:jc w:val="left"/>
            </w:pPr>
            <w:r>
              <w:rPr>
                <w:rFonts w:ascii="Aptos" w:hAnsi="Aptos"/>
                <w:b w:val="0"/>
                <w:i w:val="0"/>
                <w:sz w:val="17"/>
              </w:rPr>
              <w:t>Lead generation and remarketing</w:t>
            </w:r>
          </w:p>
        </w:tc>
        <w:tc>
          <w:tcPr>
            <w:tcW w:type="dxa" w:w="3168"/>
          </w:tcPr>
          <w:p>
            <w:pPr>
              <w:jc w:val="right"/>
            </w:pPr>
            <w:r>
              <w:rPr>
                <w:rFonts w:ascii="Aptos" w:hAnsi="Aptos"/>
                <w:b w:val="0"/>
                <w:i w:val="0"/>
                <w:sz w:val="17"/>
              </w:rPr>
              <w:t>$1.2m–$2.8m per major campaign cycle</w:t>
            </w:r>
          </w:p>
        </w:tc>
      </w:tr>
      <w:tr>
        <w:tc>
          <w:tcPr>
            <w:tcW w:type="dxa" w:w="2736"/>
          </w:tcPr>
          <w:p>
            <w:pPr>
              <w:jc w:val="left"/>
            </w:pPr>
            <w:r>
              <w:rPr>
                <w:rFonts w:ascii="Aptos" w:hAnsi="Aptos"/>
                <w:b w:val="0"/>
                <w:i w:val="0"/>
                <w:sz w:val="17"/>
              </w:rPr>
              <w:t>Sales gallery / show units</w:t>
            </w:r>
          </w:p>
        </w:tc>
        <w:tc>
          <w:tcPr>
            <w:tcW w:type="dxa" w:w="3456"/>
          </w:tcPr>
          <w:p>
            <w:pPr>
              <w:jc w:val="left"/>
            </w:pPr>
            <w:r>
              <w:rPr>
                <w:rFonts w:ascii="Aptos" w:hAnsi="Aptos"/>
                <w:b w:val="0"/>
                <w:i w:val="0"/>
                <w:sz w:val="17"/>
              </w:rPr>
              <w:t>Physical conversion environment</w:t>
            </w:r>
          </w:p>
        </w:tc>
        <w:tc>
          <w:tcPr>
            <w:tcW w:type="dxa" w:w="3168"/>
          </w:tcPr>
          <w:p>
            <w:pPr>
              <w:jc w:val="right"/>
            </w:pPr>
            <w:r>
              <w:rPr>
                <w:rFonts w:ascii="Aptos" w:hAnsi="Aptos"/>
                <w:b w:val="0"/>
                <w:i w:val="0"/>
                <w:sz w:val="17"/>
              </w:rPr>
              <w:t>$4.0m–$9.0m depending on project</w:t>
            </w:r>
          </w:p>
        </w:tc>
      </w:tr>
      <w:tr>
        <w:tc>
          <w:tcPr>
            <w:tcW w:type="dxa" w:w="2736"/>
          </w:tcPr>
          <w:p>
            <w:pPr>
              <w:jc w:val="left"/>
            </w:pPr>
            <w:r>
              <w:rPr>
                <w:rFonts w:ascii="Aptos" w:hAnsi="Aptos"/>
                <w:b w:val="0"/>
                <w:i w:val="0"/>
                <w:sz w:val="17"/>
              </w:rPr>
              <w:t>Broker commissions</w:t>
            </w:r>
          </w:p>
        </w:tc>
        <w:tc>
          <w:tcPr>
            <w:tcW w:type="dxa" w:w="3456"/>
          </w:tcPr>
          <w:p>
            <w:pPr>
              <w:jc w:val="left"/>
            </w:pPr>
            <w:r>
              <w:rPr>
                <w:rFonts w:ascii="Aptos" w:hAnsi="Aptos"/>
                <w:b w:val="0"/>
                <w:i w:val="0"/>
                <w:sz w:val="17"/>
              </w:rPr>
              <w:t>Channel-driven unit sales</w:t>
            </w:r>
          </w:p>
        </w:tc>
        <w:tc>
          <w:tcPr>
            <w:tcW w:type="dxa" w:w="3168"/>
          </w:tcPr>
          <w:p>
            <w:pPr>
              <w:jc w:val="left"/>
            </w:pPr>
            <w:r>
              <w:rPr>
                <w:rFonts w:ascii="Aptos" w:hAnsi="Aptos"/>
                <w:b w:val="0"/>
                <w:i w:val="0"/>
                <w:sz w:val="17"/>
              </w:rPr>
              <w:t>Typically tied to unit value / transaction conversion</w:t>
            </w:r>
          </w:p>
        </w:tc>
      </w:tr>
      <w:tr>
        <w:tc>
          <w:tcPr>
            <w:tcW w:type="dxa" w:w="2736"/>
          </w:tcPr>
          <w:p>
            <w:pPr>
              <w:jc w:val="left"/>
            </w:pPr>
            <w:r>
              <w:rPr>
                <w:rFonts w:ascii="Aptos" w:hAnsi="Aptos"/>
                <w:b w:val="0"/>
                <w:i w:val="0"/>
                <w:sz w:val="17"/>
              </w:rPr>
              <w:t>Brand and hospitality collateral</w:t>
            </w:r>
          </w:p>
        </w:tc>
        <w:tc>
          <w:tcPr>
            <w:tcW w:type="dxa" w:w="3456"/>
          </w:tcPr>
          <w:p>
            <w:pPr>
              <w:jc w:val="left"/>
            </w:pPr>
            <w:r>
              <w:rPr>
                <w:rFonts w:ascii="Aptos" w:hAnsi="Aptos"/>
                <w:b w:val="0"/>
                <w:i w:val="0"/>
                <w:sz w:val="17"/>
              </w:rPr>
              <w:t>Premium positioning and trust signaling</w:t>
            </w:r>
          </w:p>
        </w:tc>
        <w:tc>
          <w:tcPr>
            <w:tcW w:type="dxa" w:w="3168"/>
          </w:tcPr>
          <w:p>
            <w:pPr>
              <w:jc w:val="right"/>
            </w:pPr>
            <w:r>
              <w:rPr>
                <w:rFonts w:ascii="Aptos" w:hAnsi="Aptos"/>
                <w:b w:val="0"/>
                <w:i w:val="0"/>
                <w:sz w:val="17"/>
              </w:rPr>
              <w:t>$0.8m–$2.0m depending on partner complexity</w:t>
            </w:r>
          </w:p>
        </w:tc>
      </w:tr>
    </w:tbl>
    <w:p>
      <w:pPr>
        <w:pStyle w:val="Heading2"/>
        <w:spacing w:after="120" w:line="276" w:lineRule="auto"/>
      </w:pPr>
      <w:r>
        <w:t>Sales Pipeline and Forecasts</w:t>
      </w:r>
    </w:p>
    <w:p>
      <w:pPr>
        <w:spacing w:after="120" w:line="276" w:lineRule="auto"/>
      </w:pPr>
      <w:r>
        <w:rPr>
          <w:rFonts w:ascii="Aptos" w:hAnsi="Aptos"/>
          <w:b w:val="0"/>
          <w:i w:val="0"/>
          <w:sz w:val="21"/>
        </w:rPr>
        <w:t>Aurelia’s commercial model is presumed to depend materially on off-plan sales. In this structure, pipeline quality is measured not only by lead volume but by reservation conversion, cancellation rate, customer payment compliance, and speed of inventory release. A sophisticated developer will track broker-originated versus direct pipeline, nationality or buyer-type segmentation, reservation aging, follow-up cadence, and unit-specific conversion performance. These are exactly the areas where Aurelia’s claimed proptech capability can be commercially relevant, assuming the tools are embedded in sales operations rather than merely conceptually described.</w:t>
      </w:r>
    </w:p>
    <w:p>
      <w:pPr>
        <w:spacing w:after="120" w:line="276" w:lineRule="auto"/>
      </w:pPr>
      <w:r>
        <w:rPr>
          <w:rFonts w:ascii="Aptos" w:hAnsi="Aptos"/>
          <w:b w:val="0"/>
          <w:i w:val="0"/>
          <w:sz w:val="21"/>
        </w:rPr>
        <w:t>The operational diligence implication is that a stronger sales pipeline can shorten funding cycles and reduce dependence on external debt. Conversely, weak pipeline conversion would undermine both revenue growth and balance-sheet efficiency. Private equity investors should therefore view sales analytics as a value-creation lever, not just a reporting artifact.</w:t>
      </w:r>
    </w:p>
    <w:p>
      <w:pPr>
        <w:pStyle w:val="Heading2"/>
        <w:spacing w:after="120" w:line="276" w:lineRule="auto"/>
      </w:pPr>
      <w:r>
        <w:t>Customer Acquisition Costs and Lifetime Value Estimates</w:t>
      </w:r>
    </w:p>
    <w:p>
      <w:pPr>
        <w:spacing w:after="120" w:line="276" w:lineRule="auto"/>
      </w:pPr>
      <w:r>
        <w:rPr>
          <w:rFonts w:ascii="Aptos" w:hAnsi="Aptos"/>
          <w:b w:val="0"/>
          <w:i w:val="0"/>
          <w:sz w:val="21"/>
        </w:rPr>
        <w:t>Because buyers in luxury development are high-ticket, customer acquisition economics differ materially from traditional consumer sectors. A developer may incur significant pre-sale and broker spend but still create strong economics because unit values are high and repeat investor behavior can be meaningful. In Aurelia’s case, a practical diligence estimate would look at marketing spend per unit sold, broker cost per unit sold, cost per qualified lead, and the potential long-term value of repeat investors or investor networks that return across launches.</w:t>
      </w:r>
    </w:p>
    <w:p>
      <w:pPr>
        <w:spacing w:after="120" w:line="276" w:lineRule="auto"/>
      </w:pPr>
      <w:r>
        <w:rPr>
          <w:rFonts w:ascii="Aptos" w:hAnsi="Aptos"/>
          <w:b w:val="0"/>
          <w:i w:val="0"/>
          <w:sz w:val="21"/>
        </w:rPr>
        <w:t>Using an illustrative average property value of approximately $1.2 million to $1.5 million for the company’s core premium stock, and assuming blended acquisition cost of roughly $22,000 to $38,000 per unit sold across digital, broker, and event channels, the customer acquisition ratio remains attractive so long as gross project margin is protected and cancellations remain controlled. Repeat investor behavior and referral-driven demand can further improve effective LTV at the platform level.</w:t>
      </w:r>
    </w:p>
    <w:p>
      <w:pPr>
        <w:pStyle w:val="Heading1"/>
        <w:spacing w:after="120" w:line="276" w:lineRule="auto"/>
      </w:pPr>
      <w:r>
        <w:t>Strategic Market Insights</w:t>
      </w:r>
    </w:p>
    <w:p>
      <w:pPr>
        <w:spacing w:after="120" w:line="276" w:lineRule="auto"/>
      </w:pPr>
      <w:r>
        <w:rPr>
          <w:rFonts w:ascii="Aptos" w:hAnsi="Aptos"/>
          <w:b w:val="0"/>
          <w:i w:val="0"/>
          <w:sz w:val="21"/>
        </w:rPr>
        <w:t>The most important strategic implication of the market work is that Aurelia should continue to prioritize segments where (i) supply is relatively constrained, (ii) foreign investor demand remains durable, (iii) branding and design genuinely influence price realization, and (iv) technology-enabled execution can produce a measurable commercial or cost advantage. That argues in favor of branded residences, waterfront towers, selective villa communities, and destination-quality mixed-use rather than broad undifferentiated residential supply.</w:t>
      </w:r>
    </w:p>
    <w:p>
      <w:pPr>
        <w:spacing w:after="120" w:line="276" w:lineRule="auto"/>
      </w:pPr>
      <w:r>
        <w:rPr>
          <w:rFonts w:ascii="Aptos" w:hAnsi="Aptos"/>
          <w:b w:val="0"/>
          <w:i w:val="0"/>
          <w:sz w:val="21"/>
        </w:rPr>
        <w:t>Market trends also influence capital-raising potential. Investors are more likely to underwrite premium developers when the market narrative is supported by hard data: transaction liquidity, wealth inflows, resilient premium demand, and a differentiated competitive position. Aurelia’s pitch to investors is therefore strongest when tied to specific submarket and product advantages rather than generic exposure to “Dubai growth.”</w:t>
      </w:r>
    </w:p>
    <w:p>
      <w:pPr>
        <w:pStyle w:val="Heading1"/>
        <w:spacing w:after="120" w:line="276" w:lineRule="auto"/>
      </w:pPr>
      <w:r>
        <w:t>Private Equity Diligence Perspective</w:t>
      </w:r>
    </w:p>
    <w:p>
      <w:pPr>
        <w:spacing w:after="120" w:line="276" w:lineRule="auto"/>
      </w:pPr>
      <w:r>
        <w:rPr>
          <w:rFonts w:ascii="Aptos" w:hAnsi="Aptos"/>
          <w:b w:val="0"/>
          <w:i w:val="0"/>
          <w:sz w:val="21"/>
        </w:rPr>
        <w:t>Commercial diligence matters because private equity investors are underwriting future growth, not just current projects. They need confidence that the relevant market is large enough, structurally attractive enough, and segmented in a way that allows a focused developer to create value despite larger incumbents. They also need to understand whether growth will come from market expansion, share gains, better pricing, faster absorption, operational discipline, or some combination thereof.</w:t>
      </w:r>
    </w:p>
    <w:p>
      <w:pPr>
        <w:spacing w:after="120" w:line="276" w:lineRule="auto"/>
      </w:pPr>
      <w:r>
        <w:rPr>
          <w:rFonts w:ascii="Aptos" w:hAnsi="Aptos"/>
          <w:b w:val="0"/>
          <w:i w:val="0"/>
          <w:sz w:val="21"/>
        </w:rPr>
        <w:t>For Aurelia, the diligence conclusion is that the market backdrop is broadly supportive, but the company’s investment case remains execution-dependent. The opportunity is credible because the premium Dubai market is deep, active, and internationally visible; however, long-term value creation will depend on Aurelia’s ability to choose the right projects, maintain brand quality, manage construction and funding risk, and institutionalize its sales and reporting platform. Those are exactly the levers private equity capital and governance can influence.</w:t>
      </w:r>
    </w:p>
    <w:p>
      <w:pPr>
        <w:pStyle w:val="Heading1"/>
        <w:spacing w:after="120" w:line="276" w:lineRule="auto"/>
      </w:pPr>
      <w:r>
        <w:t>Research Sources Used</w:t>
      </w:r>
    </w:p>
    <w:p>
      <w:pPr>
        <w:ind w:left="288"/>
      </w:pPr>
      <w:r>
        <w:rPr>
          <w:rFonts w:ascii="Aptos" w:hAnsi="Aptos"/>
          <w:b w:val="0"/>
          <w:i w:val="0"/>
          <w:sz w:val="20"/>
        </w:rPr>
        <w:t>• Dubai Land Department (market transaction summaries, 2024–2025)</w:t>
      </w:r>
    </w:p>
    <w:p>
      <w:pPr>
        <w:ind w:left="288"/>
      </w:pPr>
      <w:r>
        <w:rPr>
          <w:rFonts w:ascii="Aptos" w:hAnsi="Aptos"/>
          <w:b w:val="0"/>
          <w:i w:val="0"/>
          <w:sz w:val="20"/>
        </w:rPr>
        <w:t>• CBRE Dubai Residential Market Snapshot / UAE Market Review (2024–2025)</w:t>
      </w:r>
    </w:p>
    <w:p>
      <w:pPr>
        <w:ind w:left="288"/>
      </w:pPr>
      <w:r>
        <w:rPr>
          <w:rFonts w:ascii="Aptos" w:hAnsi="Aptos"/>
          <w:b w:val="0"/>
          <w:i w:val="0"/>
          <w:sz w:val="20"/>
        </w:rPr>
        <w:t>• Knight Frank Destination Dubai / Wealth Report / Dubai Residential Intelligence (2024–2025)</w:t>
      </w:r>
    </w:p>
    <w:p>
      <w:pPr>
        <w:ind w:left="288"/>
      </w:pPr>
      <w:r>
        <w:rPr>
          <w:rFonts w:ascii="Aptos" w:hAnsi="Aptos"/>
          <w:b w:val="0"/>
          <w:i w:val="0"/>
          <w:sz w:val="20"/>
        </w:rPr>
        <w:t>• JLL UAE Real Estate Market Overview (2024–2025)</w:t>
      </w:r>
    </w:p>
    <w:p>
      <w:pPr>
        <w:ind w:left="288"/>
      </w:pPr>
      <w:r>
        <w:rPr>
          <w:rFonts w:ascii="Aptos" w:hAnsi="Aptos"/>
          <w:b w:val="0"/>
          <w:i w:val="0"/>
          <w:sz w:val="20"/>
        </w:rPr>
        <w:t>• Henley &amp; Partners / New World Wealth migration data (2024–2025)</w:t>
      </w:r>
    </w:p>
    <w:p>
      <w:pPr>
        <w:ind w:left="288"/>
      </w:pPr>
      <w:r>
        <w:rPr>
          <w:rFonts w:ascii="Aptos" w:hAnsi="Aptos"/>
          <w:b w:val="0"/>
          <w:i w:val="0"/>
          <w:sz w:val="20"/>
        </w:rPr>
        <w:t>• Grand View Research / UAE Real Estate Market outlook (2024–2030)</w:t>
      </w:r>
    </w:p>
    <w:p>
      <w:pPr>
        <w:ind w:left="288"/>
      </w:pPr>
      <w:r>
        <w:rPr>
          <w:rFonts w:ascii="Aptos" w:hAnsi="Aptos"/>
          <w:b w:val="0"/>
          <w:i w:val="0"/>
          <w:sz w:val="20"/>
        </w:rPr>
        <w:t>• Public annual reports and corporate disclosures of Emaar, DAMAC, Aldar, Sobha and other listed developers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7"/>
      </w:rPr>
      <w:t>Commercial diligence working draft for investor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666666"/>
        <w:sz w:val="17"/>
      </w:rPr>
      <w:t>Aurelia Developments LLC | Market and Competition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F5F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