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Pre-Money Valuation Analysis</w:t>
      </w:r>
    </w:p>
    <w:p>
      <w:pPr>
        <w:jc w:val="center"/>
      </w:pPr>
      <w:r>
        <w:rPr>
          <w:i/>
          <w:sz w:val="22"/>
        </w:rPr>
        <w:t>Aurelia Developments LLC</w:t>
        <w:br/>
        <w:t>Illustrative investment banking valuation memorandum | All amounts in USD</w:t>
      </w:r>
    </w:p>
    <w:tbl>
      <w:tblPr>
        <w:tblStyle w:val="TableGrid"/>
        <w:tblW w:type="auto" w:w="0"/>
        <w:jc w:val="center"/>
        <w:tblLook w:firstColumn="1" w:firstRow="1" w:lastColumn="0" w:lastRow="0" w:noHBand="0" w:noVBand="1" w:val="04A0"/>
      </w:tblPr>
      <w:tblGrid>
        <w:gridCol w:w="4968"/>
        <w:gridCol w:w="4968"/>
      </w:tblGrid>
      <w:tr>
        <w:tc>
          <w:tcPr>
            <w:tcW w:type="dxa" w:w="4968"/>
            <w:shd w:fill="D9E2F3"/>
          </w:tcPr>
          <w:p>
            <w:r>
              <w:rPr>
                <w:b/>
              </w:rPr>
              <w:t>Estimated pre-money enterprise value</w:t>
            </w:r>
          </w:p>
        </w:tc>
        <w:tc>
          <w:tcPr>
            <w:tcW w:type="dxa" w:w="4968"/>
            <w:shd w:fill="F7F9FC"/>
          </w:tcPr>
          <w:p>
            <w:r>
              <w:t>$2,748,148,707</w:t>
            </w:r>
          </w:p>
        </w:tc>
      </w:tr>
      <w:tr>
        <w:tc>
          <w:tcPr>
            <w:tcW w:type="dxa" w:w="4968"/>
            <w:shd w:fill="D9E2F3"/>
          </w:tcPr>
          <w:p>
            <w:r>
              <w:rPr>
                <w:b/>
              </w:rPr>
              <w:t>Less: debt / add: cash adjustment</w:t>
            </w:r>
          </w:p>
        </w:tc>
        <w:tc>
          <w:tcPr>
            <w:tcW w:type="dxa" w:w="4968"/>
            <w:shd w:fill="F7F9FC"/>
          </w:tcPr>
          <w:p>
            <w:r>
              <w:t>($850,000,000) + $210,000,000</w:t>
            </w:r>
          </w:p>
        </w:tc>
      </w:tr>
      <w:tr>
        <w:tc>
          <w:tcPr>
            <w:tcW w:type="dxa" w:w="4968"/>
            <w:shd w:fill="D9E2F3"/>
          </w:tcPr>
          <w:p>
            <w:r>
              <w:rPr>
                <w:b/>
              </w:rPr>
              <w:t>Estimated pre-money equity value</w:t>
            </w:r>
          </w:p>
        </w:tc>
        <w:tc>
          <w:tcPr>
            <w:tcW w:type="dxa" w:w="4968"/>
            <w:shd w:fill="F7F9FC"/>
          </w:tcPr>
          <w:p>
            <w:r>
              <w:t>$2,108,148,707</w:t>
            </w:r>
          </w:p>
        </w:tc>
      </w:tr>
      <w:tr>
        <w:tc>
          <w:tcPr>
            <w:tcW w:type="dxa" w:w="4968"/>
            <w:shd w:fill="D9E2F3"/>
          </w:tcPr>
          <w:p>
            <w:r>
              <w:rPr>
                <w:b/>
              </w:rPr>
              <w:t>Primary methods used</w:t>
            </w:r>
          </w:p>
        </w:tc>
        <w:tc>
          <w:tcPr>
            <w:tcW w:type="dxa" w:w="4968"/>
            <w:shd w:fill="F7F9FC"/>
          </w:tcPr>
          <w:p>
            <w:r>
              <w:t>DCF, comparable company analysis, net asset value</w:t>
            </w:r>
          </w:p>
        </w:tc>
      </w:tr>
    </w:tbl>
    <w:p/>
    <w:p>
      <w:pPr>
        <w:pStyle w:val="Heading1"/>
      </w:pPr>
      <w:r>
        <w:t>1. Executive Summary</w:t>
      </w:r>
    </w:p>
    <w:p>
      <w:r>
        <w:t>This memorandum presents an illustrative pre-money valuation analysis for Aurelia Developments LLC in connection with a contemplated institutional equity financing. Based on the valuation methods described herein, the estimated pre-money enterprise value of the company is approximately $2,748,148,707, implying a pre-money equity valuation of approximately $2,108,148,707 after adjusting for debt and cash.</w:t>
      </w:r>
    </w:p>
    <w:p>
      <w:r>
        <w:t>The valuation is driven principally by the company’s premium Dubai development pipeline, embedded NAV in land and work-in-progress assets, strong historical revenue growth, branded residence economics, and expected monetization of high-value waterfront and mixed-use projects. The analysis also considers the company’s leverage profile, project execution risk, and macro conditions in the Dubai luxury property market.</w:t>
      </w:r>
    </w:p>
    <w:p>
      <w:r>
        <w:t>Pre-money valuation is critical because it determines investor entry pricing, dilution mechanics, and expected return thresholds for the upcoming capital raise. It also provides a common reference point for negotiations around governance rights, preferred economics, staged capital deployment, and co-investment structures.</w:t>
      </w:r>
    </w:p>
    <w:p>
      <w:pPr>
        <w:pStyle w:val="Heading1"/>
      </w:pPr>
      <w:r>
        <w:t>2. Overview of the Company</w:t>
      </w:r>
    </w:p>
    <w:p>
      <w:r>
        <w:t>Aurelia Developments LLC is a Dubai-headquartered luxury real estate developer focused on waterfront towers, premium villa communities, branded residences, and mixed-use developments. The company’s strategy combines landbanking in high-demand districts with brand-linked hospitality and destination-quality design to achieve pricing premiums and faster absorption among international and regional high-net-worth buyers.</w:t>
      </w:r>
    </w:p>
    <w:p>
      <w:r>
        <w:t>The business generates value through a combination of off-plan sales, completed property sales, branded residence economics, and selective recurring income from leasing or hospitality-linked arrangements. Aurelia’s development portfolio spans prime micro-markets including Dubai Marina, Palm Jumeirah, Downtown Dubai, Jumeirah, and Dubai Creek Harbour.</w:t>
      </w:r>
    </w:p>
    <w:p>
      <w:pPr>
        <w:pStyle w:val="Heading1"/>
      </w:pPr>
      <w:r>
        <w:t>3. Market Overview</w:t>
      </w:r>
    </w:p>
    <w:p>
      <w:r>
        <w:t>The valuation context is shaped by the resilience of Dubai’s luxury real estate market, continued foreign-buyer demand, and the city’s role as a regional safe-haven destination for capital. Premium waterfront and branded developments have generally sustained stronger pricing than the broader residential market, though valuation remains sensitive to supply timing, construction inflation, and interest-rate-linked buyer affordability.</w:t>
      </w:r>
    </w:p>
    <w:p>
      <w:r>
        <w:t>Macroeconomic factors influencing value include wealth migration trends, tourism growth, infrastructure investment, regulatory stability, and funding conditions for project finance. Investors therefore continue to focus on developers with differentiated land positions, high-quality execution capability, and branded offerings that can support pricing and absorption premiums.</w:t>
      </w:r>
    </w:p>
    <w:p>
      <w:pPr>
        <w:pStyle w:val="Heading1"/>
      </w:pPr>
      <w:r>
        <w:t>4. Financial Performance Overview</w:t>
      </w:r>
    </w:p>
    <w:p>
      <w:r>
        <w:t>Historically, Aurelia has demonstrated strong top-line growth, with revenue increasing from approximately $720,000,000 in FY2021 to $1,020,000,000 in FY2023. EBITDA increased from approximately $135,000,000 to $214,000,000 over the same period, reflecting both scale benefits and the improving mix of higher-margin luxury projects.</w:t>
      </w:r>
    </w:p>
    <w:p>
      <w:r>
        <w:t>Although the company remains exposed to project timing and development-cycle volatility, the historical profile supports the investment case that Aurelia has both an earnings base and a pipeline value story. This underpins the use of blended valuation methodologies rather than reliance on a single metric.</w:t>
      </w:r>
    </w:p>
    <w:p>
      <w:pPr>
        <w:pStyle w:val="Heading1"/>
      </w:pPr>
      <w:r>
        <w:t>5. Valuation Methodologies</w:t>
      </w:r>
    </w:p>
    <w:p>
      <w:r>
        <w:t>Three principal valuation methodologies were used: Discounted Cash Flow (DCF), comparable company analysis, and Net Asset Value (NAV). Each method captures a different dimension of value. DCF emphasizes forward-looking cash generation; comparable company analysis benchmarks public-market valuation ranges; and NAV anchors the assessment in the market value of land, projects under development, and completed assets.</w:t>
      </w:r>
    </w:p>
    <w:p>
      <w:r>
        <w:t>For DCF, projected operating cash flows were modeled over a five-year forecast period and discounted at an assumed weighted average cost of capital of 12.5%, with a terminal growth rate of 3.0%. The resulting DCF-based enterprise value is approximately $2,641,621,768.</w:t>
      </w:r>
    </w:p>
    <w:p>
      <w:r>
        <w:t>Comparable company analysis references UAE and GCC listed developers and premium residential peers. Based on illustrative revenue and EBITDA multiples, the comparable valuation implies enterprise value of approximately $2,636,000,000.</w:t>
      </w:r>
    </w:p>
    <w:p>
      <w:r>
        <w:t>NAV analysis estimates the value of land holdings, projects under development, completed assets, and restricted project cash, resulting in implied gross asset value of approximately $2,950,000,000.</w:t>
      </w:r>
    </w:p>
    <w:p>
      <w:pPr>
        <w:pStyle w:val="Heading1"/>
      </w:pPr>
      <w:r>
        <w:t>6. Development Pipeline Valuation</w:t>
      </w:r>
    </w:p>
    <w:p>
      <w:r>
        <w:t>The development pipeline is the primary source of forward value creation and therefore a major component of the valuation. Each project was reviewed on the basis of estimated gross sales, development cost, and residual project value attributable to the sponsor. Premium projects with branded, waterfront, or mixed-use characteristics support higher residual values, while larger district-scale projects carry greater execution complexity and therefore higher risk adjustments.</w:t>
      </w:r>
    </w:p>
    <w:p>
      <w:r>
        <w:t>The weighted project pipeline illustrates both scale and embedded optionality. While not all pipeline value is immediately realizable, the breadth and quality of the portfolio support a valuation premium relative to less differentiated developers.</w:t>
      </w:r>
    </w:p>
    <w:p>
      <w:pPr>
        <w:pStyle w:val="Heading1"/>
      </w:pPr>
      <w:r>
        <w:t>7. Capital Structure Analysis</w:t>
      </w:r>
    </w:p>
    <w:p>
      <w:r>
        <w:t>The company’s enterprise value must be adjusted for capital structure. For the purposes of this memorandum, debt is estimated at approximately $850,000,000, while cash and cash equivalents are estimated at approximately $210,000,000. The capital structure includes project debt, corporate borrowings, and development financing lines, partially offset by unrestricted and restricted cash balances.</w:t>
      </w:r>
    </w:p>
    <w:p>
      <w:r>
        <w:t>From an investor standpoint, pre-money valuation should be interpreted alongside funding requirements, debt service obligations, and the staged nature of capital deployment. The presence of project-level leverage can enhance equity returns but also increases sensitivity to cost overruns, pricing shortfalls, and refinancing risk.</w:t>
      </w:r>
    </w:p>
    <w:p>
      <w:pPr>
        <w:pStyle w:val="Heading1"/>
      </w:pPr>
      <w:r>
        <w:t>8. Pre-Money Valuation Calculation</w:t>
      </w:r>
    </w:p>
    <w:p>
      <w:r>
        <w:t>Applying a blended valuation framework results in an estimated pre-money enterprise value of $2,748,148,707. After deducting debt of $850,000,000 and adding cash of $210,000,000, the implied pre-money equity valuation is approximately $2,108,148,707.</w:t>
      </w:r>
    </w:p>
    <w:p>
      <w:r>
        <w:t>This equity value represents the basis on which the upcoming financing round may be priced, subject to final diligence, investor negotiation, rights attached to the new capital, and any structural adjustments for preferred economics, staged closings, or project-specific investment sleeves.</w:t>
      </w:r>
    </w:p>
    <w:p>
      <w:pPr>
        <w:pStyle w:val="Heading1"/>
      </w:pPr>
      <w:r>
        <w:t>9. Sensitivity Analysis</w:t>
      </w:r>
    </w:p>
    <w:p>
      <w:r>
        <w:t>Because developer valuations are inherently sensitive to forecast assumptions, the analysis includes sensitivity testing around discount rate, revenue growth, and construction cost inflation. Lower discount rates and stronger revenue realization support upside to equity value, while construction inflation and higher funding costs compress the valuation range.</w:t>
      </w:r>
    </w:p>
    <w:p>
      <w:r>
        <w:t>The sensitivity analysis is particularly important in a Dubai development context, where changes in pre-sales velocity, pricing power, and build-cost escalation can meaningfully alter residual equity value.</w:t>
      </w:r>
    </w:p>
    <w:p>
      <w:pPr>
        <w:pStyle w:val="Heading1"/>
      </w:pPr>
      <w:r>
        <w:t>10. Key Investment Considerations</w:t>
      </w:r>
    </w:p>
    <w:p>
      <w:r>
        <w:t>Investors should evaluate market resilience in the Dubai luxury segment, execution risk across multiple concurrent projects, branded residence and hospitality complexity, financing and covenant headroom, and the sustainability of pricing assumptions across the development cycle.</w:t>
      </w:r>
    </w:p>
    <w:p>
      <w:r>
        <w:t>At the same time, Aurelia benefits from attractive land positions, premium segment exposure, and a development mix that can support both asset monetization and differentiated branding economics. These factors justify a robust institutional valuation framework rather than a simplistic earnings multiple alone.</w:t>
      </w:r>
    </w:p>
    <w:p>
      <w:pPr>
        <w:pStyle w:val="Heading2"/>
      </w:pPr>
      <w:r>
        <w:t>Historical financial overview</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rPr>
              <w:t>Metric</w:t>
            </w:r>
          </w:p>
        </w:tc>
        <w:tc>
          <w:tcPr>
            <w:tcW w:type="dxa" w:w="2484"/>
            <w:shd w:fill="D9EAF7"/>
          </w:tcPr>
          <w:p>
            <w:r>
              <w:rPr>
                <w:b/>
              </w:rPr>
              <w:t>FY2021</w:t>
            </w:r>
          </w:p>
        </w:tc>
        <w:tc>
          <w:tcPr>
            <w:tcW w:type="dxa" w:w="2484"/>
            <w:shd w:fill="D9EAF7"/>
          </w:tcPr>
          <w:p>
            <w:r>
              <w:rPr>
                <w:b/>
              </w:rPr>
              <w:t>FY2022</w:t>
            </w:r>
          </w:p>
        </w:tc>
        <w:tc>
          <w:tcPr>
            <w:tcW w:type="dxa" w:w="2484"/>
            <w:shd w:fill="D9EAF7"/>
          </w:tcPr>
          <w:p>
            <w:r>
              <w:rPr>
                <w:b/>
              </w:rPr>
              <w:t>FY2023</w:t>
            </w:r>
          </w:p>
        </w:tc>
      </w:tr>
      <w:tr>
        <w:tc>
          <w:tcPr>
            <w:tcW w:type="dxa" w:w="2484"/>
          </w:tcPr>
          <w:p>
            <w:r>
              <w:t>Revenue</w:t>
            </w:r>
          </w:p>
        </w:tc>
        <w:tc>
          <w:tcPr>
            <w:tcW w:type="dxa" w:w="2484"/>
          </w:tcPr>
          <w:p>
            <w:r>
              <w:t>$720,000,000</w:t>
            </w:r>
          </w:p>
        </w:tc>
        <w:tc>
          <w:tcPr>
            <w:tcW w:type="dxa" w:w="2484"/>
          </w:tcPr>
          <w:p>
            <w:r>
              <w:t>$860,000,000</w:t>
            </w:r>
          </w:p>
        </w:tc>
        <w:tc>
          <w:tcPr>
            <w:tcW w:type="dxa" w:w="2484"/>
          </w:tcPr>
          <w:p>
            <w:r>
              <w:t>$1,020,000,000</w:t>
            </w:r>
          </w:p>
        </w:tc>
      </w:tr>
      <w:tr>
        <w:tc>
          <w:tcPr>
            <w:tcW w:type="dxa" w:w="2484"/>
          </w:tcPr>
          <w:p>
            <w:r>
              <w:t>EBITDA</w:t>
            </w:r>
          </w:p>
        </w:tc>
        <w:tc>
          <w:tcPr>
            <w:tcW w:type="dxa" w:w="2484"/>
          </w:tcPr>
          <w:p>
            <w:r>
              <w:t>$135,000,000</w:t>
            </w:r>
          </w:p>
        </w:tc>
        <w:tc>
          <w:tcPr>
            <w:tcW w:type="dxa" w:w="2484"/>
          </w:tcPr>
          <w:p>
            <w:r>
              <w:t>$170,000,000</w:t>
            </w:r>
          </w:p>
        </w:tc>
        <w:tc>
          <w:tcPr>
            <w:tcW w:type="dxa" w:w="2484"/>
          </w:tcPr>
          <w:p>
            <w:r>
              <w:t>$214,000,000</w:t>
            </w:r>
          </w:p>
        </w:tc>
      </w:tr>
      <w:tr>
        <w:tc>
          <w:tcPr>
            <w:tcW w:type="dxa" w:w="2484"/>
          </w:tcPr>
          <w:p>
            <w:r>
              <w:t>EBITDA Margin</w:t>
            </w:r>
          </w:p>
        </w:tc>
        <w:tc>
          <w:tcPr>
            <w:tcW w:type="dxa" w:w="2484"/>
          </w:tcPr>
          <w:p>
            <w:r>
              <w:t>18.8%</w:t>
            </w:r>
          </w:p>
        </w:tc>
        <w:tc>
          <w:tcPr>
            <w:tcW w:type="dxa" w:w="2484"/>
          </w:tcPr>
          <w:p>
            <w:r>
              <w:t>19.8%</w:t>
            </w:r>
          </w:p>
        </w:tc>
        <w:tc>
          <w:tcPr>
            <w:tcW w:type="dxa" w:w="2484"/>
          </w:tcPr>
          <w:p>
            <w:r>
              <w:t>21.0%</w:t>
            </w:r>
          </w:p>
        </w:tc>
      </w:tr>
    </w:tbl>
    <w:p/>
    <w:p>
      <w:pPr>
        <w:pStyle w:val="Heading2"/>
      </w:pPr>
      <w:r>
        <w:t>Development pipeline valuation summary</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rPr>
                <w:b/>
              </w:rPr>
              <w:t>Project Name</w:t>
            </w:r>
          </w:p>
        </w:tc>
        <w:tc>
          <w:tcPr>
            <w:tcW w:type="dxa" w:w="1987"/>
            <w:shd w:fill="D9EAF7"/>
          </w:tcPr>
          <w:p>
            <w:r>
              <w:rPr>
                <w:b/>
              </w:rPr>
              <w:t>Location</w:t>
            </w:r>
          </w:p>
        </w:tc>
        <w:tc>
          <w:tcPr>
            <w:tcW w:type="dxa" w:w="1987"/>
            <w:shd w:fill="D9EAF7"/>
          </w:tcPr>
          <w:p>
            <w:r>
              <w:rPr>
                <w:b/>
              </w:rPr>
              <w:t>Estimated Sales Revenue (USD)</w:t>
            </w:r>
          </w:p>
        </w:tc>
        <w:tc>
          <w:tcPr>
            <w:tcW w:type="dxa" w:w="1987"/>
            <w:shd w:fill="D9EAF7"/>
          </w:tcPr>
          <w:p>
            <w:r>
              <w:rPr>
                <w:b/>
              </w:rPr>
              <w:t>Development Cost (USD)</w:t>
            </w:r>
          </w:p>
        </w:tc>
        <w:tc>
          <w:tcPr>
            <w:tcW w:type="dxa" w:w="1987"/>
            <w:shd w:fill="D9EAF7"/>
          </w:tcPr>
          <w:p>
            <w:r>
              <w:rPr>
                <w:b/>
              </w:rPr>
              <w:t>Project Value (USD)</w:t>
            </w:r>
          </w:p>
        </w:tc>
      </w:tr>
      <w:tr>
        <w:tc>
          <w:tcPr>
            <w:tcW w:type="dxa" w:w="1987"/>
          </w:tcPr>
          <w:p>
            <w:r>
              <w:t>Aurelia Marina Residences</w:t>
            </w:r>
          </w:p>
        </w:tc>
        <w:tc>
          <w:tcPr>
            <w:tcW w:type="dxa" w:w="1987"/>
          </w:tcPr>
          <w:p>
            <w:r>
              <w:t>Dubai Marina</w:t>
            </w:r>
          </w:p>
        </w:tc>
        <w:tc>
          <w:tcPr>
            <w:tcW w:type="dxa" w:w="1987"/>
          </w:tcPr>
          <w:p>
            <w:r>
              <w:t>$620,000,000</w:t>
            </w:r>
          </w:p>
        </w:tc>
        <w:tc>
          <w:tcPr>
            <w:tcW w:type="dxa" w:w="1987"/>
          </w:tcPr>
          <w:p>
            <w:r>
              <w:t>$410,000,000</w:t>
            </w:r>
          </w:p>
        </w:tc>
        <w:tc>
          <w:tcPr>
            <w:tcW w:type="dxa" w:w="1987"/>
          </w:tcPr>
          <w:p>
            <w:r>
              <w:t>$210,000,000</w:t>
            </w:r>
          </w:p>
        </w:tc>
      </w:tr>
      <w:tr>
        <w:tc>
          <w:tcPr>
            <w:tcW w:type="dxa" w:w="1987"/>
          </w:tcPr>
          <w:p>
            <w:r>
              <w:t>Palm Crescent Villas</w:t>
            </w:r>
          </w:p>
        </w:tc>
        <w:tc>
          <w:tcPr>
            <w:tcW w:type="dxa" w:w="1987"/>
          </w:tcPr>
          <w:p>
            <w:r>
              <w:t>Palm Jumeirah</w:t>
            </w:r>
          </w:p>
        </w:tc>
        <w:tc>
          <w:tcPr>
            <w:tcW w:type="dxa" w:w="1987"/>
          </w:tcPr>
          <w:p>
            <w:r>
              <w:t>$540,000,000</w:t>
            </w:r>
          </w:p>
        </w:tc>
        <w:tc>
          <w:tcPr>
            <w:tcW w:type="dxa" w:w="1987"/>
          </w:tcPr>
          <w:p>
            <w:r>
              <w:t>$365,000,000</w:t>
            </w:r>
          </w:p>
        </w:tc>
        <w:tc>
          <w:tcPr>
            <w:tcW w:type="dxa" w:w="1987"/>
          </w:tcPr>
          <w:p>
            <w:r>
              <w:t>$175,000,000</w:t>
            </w:r>
          </w:p>
        </w:tc>
      </w:tr>
      <w:tr>
        <w:tc>
          <w:tcPr>
            <w:tcW w:type="dxa" w:w="1987"/>
          </w:tcPr>
          <w:p>
            <w:r>
              <w:t>Downtown Branded Residences</w:t>
            </w:r>
          </w:p>
        </w:tc>
        <w:tc>
          <w:tcPr>
            <w:tcW w:type="dxa" w:w="1987"/>
          </w:tcPr>
          <w:p>
            <w:r>
              <w:t>Downtown Dubai</w:t>
            </w:r>
          </w:p>
        </w:tc>
        <w:tc>
          <w:tcPr>
            <w:tcW w:type="dxa" w:w="1987"/>
          </w:tcPr>
          <w:p>
            <w:r>
              <w:t>$815,000,000</w:t>
            </w:r>
          </w:p>
        </w:tc>
        <w:tc>
          <w:tcPr>
            <w:tcW w:type="dxa" w:w="1987"/>
          </w:tcPr>
          <w:p>
            <w:r>
              <w:t>$575,000,000</w:t>
            </w:r>
          </w:p>
        </w:tc>
        <w:tc>
          <w:tcPr>
            <w:tcW w:type="dxa" w:w="1987"/>
          </w:tcPr>
          <w:p>
            <w:r>
              <w:t>$240,000,000</w:t>
            </w:r>
          </w:p>
        </w:tc>
      </w:tr>
      <w:tr>
        <w:tc>
          <w:tcPr>
            <w:tcW w:type="dxa" w:w="1987"/>
          </w:tcPr>
          <w:p>
            <w:r>
              <w:t>Jumeirah Mixed-Use Quarter</w:t>
            </w:r>
          </w:p>
        </w:tc>
        <w:tc>
          <w:tcPr>
            <w:tcW w:type="dxa" w:w="1987"/>
          </w:tcPr>
          <w:p>
            <w:r>
              <w:t>Jumeirah</w:t>
            </w:r>
          </w:p>
        </w:tc>
        <w:tc>
          <w:tcPr>
            <w:tcW w:type="dxa" w:w="1987"/>
          </w:tcPr>
          <w:p>
            <w:r>
              <w:t>$910,000,000</w:t>
            </w:r>
          </w:p>
        </w:tc>
        <w:tc>
          <w:tcPr>
            <w:tcW w:type="dxa" w:w="1987"/>
          </w:tcPr>
          <w:p>
            <w:r>
              <w:t>$690,000,000</w:t>
            </w:r>
          </w:p>
        </w:tc>
        <w:tc>
          <w:tcPr>
            <w:tcW w:type="dxa" w:w="1987"/>
          </w:tcPr>
          <w:p>
            <w:r>
              <w:t>$220,000,000</w:t>
            </w:r>
          </w:p>
        </w:tc>
      </w:tr>
      <w:tr>
        <w:tc>
          <w:tcPr>
            <w:tcW w:type="dxa" w:w="1987"/>
          </w:tcPr>
          <w:p>
            <w:r>
              <w:t>Creekside Hospitality Residences</w:t>
            </w:r>
          </w:p>
        </w:tc>
        <w:tc>
          <w:tcPr>
            <w:tcW w:type="dxa" w:w="1987"/>
          </w:tcPr>
          <w:p>
            <w:r>
              <w:t>Dubai Creek Harbour</w:t>
            </w:r>
          </w:p>
        </w:tc>
        <w:tc>
          <w:tcPr>
            <w:tcW w:type="dxa" w:w="1987"/>
          </w:tcPr>
          <w:p>
            <w:r>
              <w:t>$455,000,000</w:t>
            </w:r>
          </w:p>
        </w:tc>
        <w:tc>
          <w:tcPr>
            <w:tcW w:type="dxa" w:w="1987"/>
          </w:tcPr>
          <w:p>
            <w:r>
              <w:t>$305,000,000</w:t>
            </w:r>
          </w:p>
        </w:tc>
        <w:tc>
          <w:tcPr>
            <w:tcW w:type="dxa" w:w="1987"/>
          </w:tcPr>
          <w:p>
            <w:r>
              <w:t>$150,000,000</w:t>
            </w:r>
          </w:p>
        </w:tc>
      </w:tr>
    </w:tbl>
    <w:p/>
    <w:p>
      <w:pPr>
        <w:pStyle w:val="Heading2"/>
      </w:pPr>
      <w:r>
        <w:t>Valuation conclusion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2F0D9"/>
          </w:tcPr>
          <w:p>
            <w:r>
              <w:rPr>
                <w:b/>
              </w:rPr>
              <w:t>Method</w:t>
            </w:r>
          </w:p>
        </w:tc>
        <w:tc>
          <w:tcPr>
            <w:tcW w:type="dxa" w:w="3312"/>
            <w:shd w:fill="E2F0D9"/>
          </w:tcPr>
          <w:p>
            <w:r>
              <w:rPr>
                <w:b/>
              </w:rPr>
              <w:t>Estimated Value (USD)</w:t>
            </w:r>
          </w:p>
        </w:tc>
        <w:tc>
          <w:tcPr>
            <w:tcW w:type="dxa" w:w="3312"/>
            <w:shd w:fill="E2F0D9"/>
          </w:tcPr>
          <w:p>
            <w:r>
              <w:rPr>
                <w:b/>
              </w:rPr>
              <w:t>Weighting</w:t>
            </w:r>
          </w:p>
        </w:tc>
      </w:tr>
      <w:tr>
        <w:tc>
          <w:tcPr>
            <w:tcW w:type="dxa" w:w="3312"/>
          </w:tcPr>
          <w:p>
            <w:r>
              <w:t>Discounted Cash Flow</w:t>
            </w:r>
          </w:p>
        </w:tc>
        <w:tc>
          <w:tcPr>
            <w:tcW w:type="dxa" w:w="3312"/>
          </w:tcPr>
          <w:p>
            <w:r>
              <w:t>$2,641,621,768</w:t>
            </w:r>
          </w:p>
        </w:tc>
        <w:tc>
          <w:tcPr>
            <w:tcW w:type="dxa" w:w="3312"/>
          </w:tcPr>
          <w:p>
            <w:r>
              <w:t>40%</w:t>
            </w:r>
          </w:p>
        </w:tc>
      </w:tr>
      <w:tr>
        <w:tc>
          <w:tcPr>
            <w:tcW w:type="dxa" w:w="3312"/>
          </w:tcPr>
          <w:p>
            <w:r>
              <w:t>Comparable Company Analysis</w:t>
            </w:r>
          </w:p>
        </w:tc>
        <w:tc>
          <w:tcPr>
            <w:tcW w:type="dxa" w:w="3312"/>
          </w:tcPr>
          <w:p>
            <w:r>
              <w:t>$2,636,000,000</w:t>
            </w:r>
          </w:p>
        </w:tc>
        <w:tc>
          <w:tcPr>
            <w:tcW w:type="dxa" w:w="3312"/>
          </w:tcPr>
          <w:p>
            <w:r>
              <w:t>25%</w:t>
            </w:r>
          </w:p>
        </w:tc>
      </w:tr>
      <w:tr>
        <w:tc>
          <w:tcPr>
            <w:tcW w:type="dxa" w:w="3312"/>
          </w:tcPr>
          <w:p>
            <w:r>
              <w:t>Net Asset Value</w:t>
            </w:r>
          </w:p>
        </w:tc>
        <w:tc>
          <w:tcPr>
            <w:tcW w:type="dxa" w:w="3312"/>
          </w:tcPr>
          <w:p>
            <w:r>
              <w:t>$2,950,000,000</w:t>
            </w:r>
          </w:p>
        </w:tc>
        <w:tc>
          <w:tcPr>
            <w:tcW w:type="dxa" w:w="3312"/>
          </w:tcPr>
          <w:p>
            <w:r>
              <w:t>35%</w:t>
            </w:r>
          </w:p>
        </w:tc>
      </w:tr>
      <w:tr>
        <w:tc>
          <w:tcPr>
            <w:tcW w:type="dxa" w:w="3312"/>
          </w:tcPr>
          <w:p>
            <w:r>
              <w:t>Blended Enterprise Value</w:t>
            </w:r>
          </w:p>
        </w:tc>
        <w:tc>
          <w:tcPr>
            <w:tcW w:type="dxa" w:w="3312"/>
          </w:tcPr>
          <w:p>
            <w:r>
              <w:t>$2,748,148,707</w:t>
            </w:r>
          </w:p>
        </w:tc>
        <w:tc>
          <w:tcPr>
            <w:tcW w:type="dxa" w:w="3312"/>
          </w:tcPr>
          <w:p>
            <w:r>
              <w:t>100%</w:t>
            </w:r>
          </w:p>
        </w:tc>
      </w:tr>
      <w:tr>
        <w:tc>
          <w:tcPr>
            <w:tcW w:type="dxa" w:w="3312"/>
          </w:tcPr>
          <w:p>
            <w:r>
              <w:t>Less: Debt / Add: Cash</w:t>
            </w:r>
          </w:p>
        </w:tc>
        <w:tc>
          <w:tcPr>
            <w:tcW w:type="dxa" w:w="3312"/>
          </w:tcPr>
          <w:p>
            <w:r>
              <w:t>($850,000,000) + $210,000,000</w:t>
            </w:r>
          </w:p>
        </w:tc>
        <w:tc>
          <w:tcPr>
            <w:tcW w:type="dxa" w:w="3312"/>
          </w:tcPr>
          <w:p>
            <w:r>
              <w:t>n/a</w:t>
            </w:r>
          </w:p>
        </w:tc>
      </w:tr>
      <w:tr>
        <w:tc>
          <w:tcPr>
            <w:tcW w:type="dxa" w:w="3312"/>
          </w:tcPr>
          <w:p>
            <w:r>
              <w:t>Pre-Money Equity Value</w:t>
            </w:r>
          </w:p>
        </w:tc>
        <w:tc>
          <w:tcPr>
            <w:tcW w:type="dxa" w:w="3312"/>
          </w:tcPr>
          <w:p>
            <w:r>
              <w:t>$2,108,148,707</w:t>
            </w:r>
          </w:p>
        </w:tc>
        <w:tc>
          <w:tcPr>
            <w:tcW w:type="dxa" w:w="3312"/>
          </w:tcPr>
          <w:p>
            <w:r>
              <w:t>n/a</w:t>
            </w:r>
          </w:p>
        </w:tc>
      </w:tr>
    </w:tbl>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