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Proposed Investment Terms</w:t>
        <w:br/>
        <w:t>Aurelia Developments LLC</w:t>
      </w:r>
    </w:p>
    <w:p>
      <w:pPr>
        <w:jc w:val="center"/>
      </w:pPr>
      <w:r>
        <w:rPr>
          <w:i/>
          <w:sz w:val="22"/>
        </w:rPr>
        <w:t>Illustrative deal structuring memorandum | All monetary amounts in USD</w:t>
      </w:r>
    </w:p>
    <w:tbl>
      <w:tblPr>
        <w:tblStyle w:val="TableGrid"/>
        <w:tblW w:type="auto" w:w="0"/>
        <w:jc w:val="center"/>
        <w:tblLook w:firstColumn="1" w:firstRow="1" w:lastColumn="0" w:lastRow="0" w:noHBand="0" w:noVBand="1" w:val="04A0"/>
      </w:tblPr>
      <w:tblGrid>
        <w:gridCol w:w="4968"/>
        <w:gridCol w:w="4968"/>
      </w:tblGrid>
      <w:tr>
        <w:tc>
          <w:tcPr>
            <w:tcW w:type="dxa" w:w="4968"/>
            <w:shd w:fill="D9E2F3"/>
          </w:tcPr>
          <w:p>
            <w:r>
              <w:rPr>
                <w:b/>
              </w:rPr>
              <w:t>Pre-money equity value</w:t>
            </w:r>
          </w:p>
        </w:tc>
        <w:tc>
          <w:tcPr>
            <w:tcW w:type="dxa" w:w="4968"/>
          </w:tcPr>
          <w:p>
            <w:r>
              <w:t>$2,000,000,000</w:t>
            </w:r>
          </w:p>
        </w:tc>
      </w:tr>
      <w:tr>
        <w:tc>
          <w:tcPr>
            <w:tcW w:type="dxa" w:w="4968"/>
            <w:shd w:fill="D9E2F3"/>
          </w:tcPr>
          <w:p>
            <w:r>
              <w:rPr>
                <w:b/>
              </w:rPr>
              <w:t>Total proposed capital raise</w:t>
            </w:r>
          </w:p>
        </w:tc>
        <w:tc>
          <w:tcPr>
            <w:tcW w:type="dxa" w:w="4968"/>
          </w:tcPr>
          <w:p>
            <w:r>
              <w:t>$420,000,000</w:t>
            </w:r>
          </w:p>
        </w:tc>
      </w:tr>
      <w:tr>
        <w:tc>
          <w:tcPr>
            <w:tcW w:type="dxa" w:w="4968"/>
            <w:shd w:fill="D9E2F3"/>
          </w:tcPr>
          <w:p>
            <w:r>
              <w:rPr>
                <w:b/>
              </w:rPr>
              <w:t>Primary equity tranche</w:t>
            </w:r>
          </w:p>
        </w:tc>
        <w:tc>
          <w:tcPr>
            <w:tcW w:type="dxa" w:w="4968"/>
          </w:tcPr>
          <w:p>
            <w:r>
              <w:t>$280,000,000</w:t>
            </w:r>
          </w:p>
        </w:tc>
      </w:tr>
      <w:tr>
        <w:tc>
          <w:tcPr>
            <w:tcW w:type="dxa" w:w="4968"/>
            <w:shd w:fill="D9E2F3"/>
          </w:tcPr>
          <w:p>
            <w:r>
              <w:rPr>
                <w:b/>
              </w:rPr>
              <w:t>Convertible note tranche</w:t>
            </w:r>
          </w:p>
        </w:tc>
        <w:tc>
          <w:tcPr>
            <w:tcW w:type="dxa" w:w="4968"/>
          </w:tcPr>
          <w:p>
            <w:r>
              <w:t>$90,000,000</w:t>
            </w:r>
          </w:p>
        </w:tc>
      </w:tr>
      <w:tr>
        <w:tc>
          <w:tcPr>
            <w:tcW w:type="dxa" w:w="4968"/>
            <w:shd w:fill="D9E2F3"/>
          </w:tcPr>
          <w:p>
            <w:r>
              <w:rPr>
                <w:b/>
              </w:rPr>
              <w:t>SAFE tranche</w:t>
            </w:r>
          </w:p>
        </w:tc>
        <w:tc>
          <w:tcPr>
            <w:tcW w:type="dxa" w:w="4968"/>
          </w:tcPr>
          <w:p>
            <w:r>
              <w:t>$50,000,000</w:t>
            </w:r>
          </w:p>
        </w:tc>
      </w:tr>
    </w:tbl>
    <w:p/>
    <w:p>
      <w:pPr>
        <w:pStyle w:val="Heading1"/>
      </w:pPr>
      <w:r>
        <w:t>1. Executive Summary</w:t>
      </w:r>
    </w:p>
    <w:p>
      <w:r>
        <w:t>Aurelia Developments LLC is proposing a multi-instrument financing round intended to raise an aggregate of $420,000,000 of new capital to fund upcoming luxury development projects, branded residence commitments, infrastructure spending, and related working capital needs. The proposed structure combines a primary preferred equity issuance with complementary convertible note and SAFE tranches to accommodate different investor risk appetites, timing preferences, and governance requirements.</w:t>
      </w:r>
    </w:p>
    <w:p>
      <w:r>
        <w:t>The proposed pricing framework assumes a pre-money equity valuation of $2,000,000,000, implying an illustrative common-equivalent price per share of $20.00 based on 100,000,000 existing fully diluted ordinary shares outstanding prior to the financing. The structure is designed to provide a clean lead equity anchor while preserving optionality for strategic investors that may prefer a deferral of valuation recognition through convertible instruments.</w:t>
      </w:r>
    </w:p>
    <w:p>
      <w:r>
        <w:t>From a deal execution perspective, the structure supports both institutional private equity participation and growth-style participation by investors seeking downside protections. The preferred equity component carries governance, liquidation preference, and investor protection rights; the convertible notes and SAFEs create staggered entry mechanics that can convert into equity on a subsequent qualified financing, change of control, or maturity event.</w:t>
      </w:r>
    </w:p>
    <w:p>
      <w:pPr>
        <w:pStyle w:val="Heading1"/>
      </w:pPr>
      <w:r>
        <w:t>2. Overview of Proposed Financing Structure</w:t>
      </w:r>
    </w:p>
    <w:p>
      <w:r>
        <w:t>The contemplated round has three principal layers. First, a Series C Preferred Equity tranche provides the core capital infusion and immediate balance-sheet strengthening. This tranche is intended for lead private equity and large institutional investors who want direct ownership, negotiated governance rights, information rights, and downside protections such as liquidation preference and anti-dilution adjustments.</w:t>
      </w:r>
    </w:p>
    <w:p>
      <w:r>
        <w:t>Second, a convertible note tranche provides debt-like capital with a stated coupon and maturity, but with conversion economics tied to a future qualified financing, liquidity event, or maturity trigger. This structure is useful where investors desire interim seniority or payment priority but are willing to convert into equity under pre-agreed pricing mechanics.</w:t>
      </w:r>
    </w:p>
    <w:p>
      <w:r>
        <w:t>Third, the SAFE tranche is designed as a simplified future-equity instrument for strategic or growth investors willing to fund the company now while deferring formal equity issuance mechanics until the next pricing event. Although SAFE structures are more commonly associated with venture or growth financings than mature developer financings, management believes that a limited SAFE sleeve can accommodate strategic investors seeking speed, simplicity, and capped upside participation.</w:t>
      </w:r>
    </w:p>
    <w:p>
      <w:pPr>
        <w:pStyle w:val="Heading1"/>
      </w:pPr>
      <w:r>
        <w:t>3. Equity Investment Terms</w:t>
      </w:r>
    </w:p>
    <w:p>
      <w:r>
        <w:t>The primary equity tranche contemplates an investment amount of $280,000,000 at an implied price of $20.00 per share. On this basis, the round would issue approximately 14,000,000 Series C Preferred shares, representing approximately 11.40% of the fully diluted post-financing capitalization assuming conversion of all other instruments modeled herein.</w:t>
      </w:r>
    </w:p>
    <w:p>
      <w:r>
        <w:t>The Series C Preferred investors would receive a 1.0x non-participating liquidation preference, broad-based weighted-average anti-dilution protection, standard information rights, pro rata participation rights in future financings, and the right to appoint one board director plus one observer so long as a minimum ownership threshold is maintained. Voting rights are expected to be on an as-converted basis, subject to class-specific protective provisions over major corporate actions.</w:t>
      </w:r>
    </w:p>
    <w:p>
      <w:r>
        <w:t>Management anticipates that the preferred investors will also negotiate reserved matters requiring class consent, including material indebtedness outside the approved plan, related-party transactions, sale of substantially all assets, amendment of constitutional documents, issuance of senior securities, and deviations from the approved annual budget and capital plan.</w:t>
      </w:r>
    </w:p>
    <w:p>
      <w:pPr>
        <w:pStyle w:val="Heading1"/>
      </w:pPr>
      <w:r>
        <w:t>4. Convertible Note Terms</w:t>
      </w:r>
    </w:p>
    <w:p>
      <w:r>
        <w:t>The proposed convertible note tranche totals $90,000,000. The notes carry a 5.0% annual interest rate and a 24-month maturity, with interest payable in kind unless otherwise agreed. The notes convert at the lower of a 20.0% discount to the next qualified equity financing price or the price implied by a $1,900,000,000 valuation cap.</w:t>
      </w:r>
    </w:p>
    <w:p>
      <w:r>
        <w:t>Using the current modeled common-equivalent financing price of $20.00 per share, the discount mechanism produces a conversion price of $16.00, while the valuation cap produces a cap price of $19.00. Accordingly, the model assumes a conversion price of $16.00 per share, yielding approximately 5,625,000 conversion shares before accrued interest.</w:t>
      </w:r>
    </w:p>
    <w:p>
      <w:r>
        <w:t>The notes are expected to convert automatically upon a qualified financing above a specified minimum size, at investor option upon a change of control, or mandatorily at maturity if not earlier converted. In a change of control scenario, investors may elect to receive the greater of repayment at principal plus accrued interest or the value of conversion shares calculated under the applicable discount/cap formula.</w:t>
      </w:r>
    </w:p>
    <w:p>
      <w:pPr>
        <w:pStyle w:val="Heading1"/>
      </w:pPr>
      <w:r>
        <w:t>5. SAFE Agreement Terms</w:t>
      </w:r>
    </w:p>
    <w:p>
      <w:r>
        <w:t>The SAFE tranche is modeled at $50,000,000 in aggregate commitments. The instrument is expected to convert into equity upon a qualified financing, change of control, or similar triggering event. The proposed economics include a valuation cap of $1,850,000,000 and a conversion discount of 22.5% to the next financing round.</w:t>
      </w:r>
    </w:p>
    <w:p>
      <w:r>
        <w:t>Applying those mechanics to the current common-equivalent price of $20.00 per share yields a discount price of $15.50 and a cap price of $18.50. The lower of those two values is $15.50, resulting in approximately 3,225,806 conversion shares under the illustrative model.</w:t>
      </w:r>
    </w:p>
    <w:p>
      <w:r>
        <w:t>The SAFE investors are not expected to receive current cash pay obligations or maturity-driven default remedies. Instead, their economics are tied to conversion into the next preferred round or monetization at a liquidity event based on the lower of the cap and discount mechanics. This provides speed and simplicity but affords less interim creditor-style protection than the convertible notes.</w:t>
      </w:r>
    </w:p>
    <w:p>
      <w:pPr>
        <w:pStyle w:val="Heading1"/>
      </w:pPr>
      <w:r>
        <w:t>6. Investor Rights and Protections</w:t>
      </w:r>
    </w:p>
    <w:p>
      <w:r>
        <w:t>Across the financing package, investors are expected to request a suite of standard institutional protections. These include liquidation preference, anti-dilution protections, pre-emptive rights, information rights, access to management, customary inspection rights, and participation rights in future rounds.</w:t>
      </w:r>
    </w:p>
    <w:p>
      <w:r>
        <w:t>Preferred investors are expected to receive the strongest rights package, including board representation and class vetoes over reserved matters. Convertible note investors are likely to require negative covenants around new senior indebtedness, distributions, and material amendments to capital structure, along with MFN rights if more favorable convertible terms are later offered. SAFE investors may request side-letter information rights and participation rights, though generally not full creditor or board protections.</w:t>
      </w:r>
    </w:p>
    <w:p>
      <w:pPr>
        <w:pStyle w:val="Heading1"/>
      </w:pPr>
      <w:r>
        <w:t>7. Governance Rights</w:t>
      </w:r>
    </w:p>
    <w:p>
      <w:r>
        <w:t>The proposed governance package assumes one board seat for the lead Series C investor, one observer seat for a designated strategic investor group, and enhanced quarterly reporting to all major financing participants. Major decisions would remain under ordinary board authority except where reserved matters require approval of the preferred class or a supermajority of the board.</w:t>
      </w:r>
    </w:p>
    <w:p>
      <w:r>
        <w:t>Voting thresholds are expected to distinguish between routine operating matters and transformational corporate actions. In practice, the governance package is intended to give new investors sufficient oversight without materially constraining management’s day-to-day project execution authority.</w:t>
      </w:r>
    </w:p>
    <w:p>
      <w:pPr>
        <w:pStyle w:val="Heading1"/>
      </w:pPr>
      <w:r>
        <w:t>8. Use of Proceeds</w:t>
      </w:r>
    </w:p>
    <w:p>
      <w:r>
        <w:t>The use of proceeds is expected to prioritize land acquisition obligations, equity contributions required to unlock project-level construction financing, branded residence and hospitality fit-out obligations, district-level infrastructure, working capital support, and contingency reserves. Management intends to allocate capital in line with approved project budgets and staging schedules.</w:t>
      </w:r>
    </w:p>
    <w:p>
      <w:r>
        <w:t>A material portion of the preferred equity tranche will be directed toward projects with the highest near-term value creation potential and strongest pricing power. Convertible and SAFE proceeds are expected to provide additional flexibility for timing-sensitive commitments and regional platform expansion.</w:t>
      </w:r>
    </w:p>
    <w:p>
      <w:pPr>
        <w:pStyle w:val="Heading1"/>
      </w:pPr>
      <w:r>
        <w:t>9. Impact on Capital Structure</w:t>
      </w:r>
    </w:p>
    <w:p>
      <w:r>
        <w:t>Immediately after issuance of the Series C Preferred shares, the company would have 114,000,000 shares on a primary-issued basis. On a fully diluted, as-converted basis after assuming conversion of the note and SAFE tranches, total shares would increase to approximately 122,850,806.</w:t>
      </w:r>
    </w:p>
    <w:p>
      <w:r>
        <w:t>The financing therefore reduces legacy shareholder ownership percentages while introducing new investor groups with differentiated rights. The dilution is material but not uncommon for a growth-stage developer seeking institutional scale capital. The final dilution outcome will depend on conversion timing, accrued interest on notes, and whether the SAFE and note terms are amended at closing.</w:t>
      </w:r>
    </w:p>
    <w:p>
      <w:pPr>
        <w:pStyle w:val="Heading1"/>
      </w:pPr>
      <w:r>
        <w:t>10. Exit Considerations</w:t>
      </w:r>
    </w:p>
    <w:p>
      <w:r>
        <w:t>Investors will evaluate the financing package against potential exit pathways, including a strategic sale, a private equity secondary transaction, project monetizations, or a broader public-market listing / IPO route. The liquidation preference and conversion mechanics should therefore be modeled under both downside and upside outcomes to understand waterfall behavior.</w:t>
      </w:r>
    </w:p>
    <w:p>
      <w:r>
        <w:t>From management’s perspective, the preferred equity structure provides a cleaner path to a future sponsor-led sale, while the convertible and SAFE instruments create additional complexity that must be carefully documented to avoid ambiguity in a change-of-control event. The supporting workbook models these effects at a high level.</w:t>
      </w:r>
    </w:p>
    <w:p>
      <w:pPr>
        <w:pStyle w:val="Heading2"/>
      </w:pPr>
      <w:r>
        <w:t>Investment structure snapshot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Investment Type</w:t>
            </w:r>
          </w:p>
        </w:tc>
        <w:tc>
          <w:tcPr>
            <w:tcW w:type="dxa" w:w="3312"/>
            <w:shd w:fill="D9EAF7"/>
          </w:tcPr>
          <w:p>
            <w:r>
              <w:rPr>
                <w:b/>
              </w:rPr>
              <w:t>Amount (USD)</w:t>
            </w:r>
          </w:p>
        </w:tc>
        <w:tc>
          <w:tcPr>
            <w:tcW w:type="dxa" w:w="3312"/>
            <w:shd w:fill="D9EAF7"/>
          </w:tcPr>
          <w:p>
            <w:r>
              <w:rPr>
                <w:b/>
              </w:rPr>
              <w:t>Key Terms</w:t>
            </w:r>
          </w:p>
        </w:tc>
      </w:tr>
      <w:tr>
        <w:tc>
          <w:tcPr>
            <w:tcW w:type="dxa" w:w="3312"/>
          </w:tcPr>
          <w:p>
            <w:r>
              <w:t>Series C Preferred Equity</w:t>
            </w:r>
          </w:p>
        </w:tc>
        <w:tc>
          <w:tcPr>
            <w:tcW w:type="dxa" w:w="3312"/>
          </w:tcPr>
          <w:p>
            <w:r>
              <w:t>$280,000,000</w:t>
            </w:r>
          </w:p>
        </w:tc>
        <w:tc>
          <w:tcPr>
            <w:tcW w:type="dxa" w:w="3312"/>
          </w:tcPr>
          <w:p>
            <w:r>
              <w:t>1.0x non-participating liquidation preference; board seat; anti-dilution; information rights</w:t>
            </w:r>
          </w:p>
        </w:tc>
      </w:tr>
      <w:tr>
        <w:tc>
          <w:tcPr>
            <w:tcW w:type="dxa" w:w="3312"/>
          </w:tcPr>
          <w:p>
            <w:r>
              <w:t>Convertible Notes</w:t>
            </w:r>
          </w:p>
        </w:tc>
        <w:tc>
          <w:tcPr>
            <w:tcW w:type="dxa" w:w="3312"/>
          </w:tcPr>
          <w:p>
            <w:r>
              <w:t>$90,000,000</w:t>
            </w:r>
          </w:p>
        </w:tc>
        <w:tc>
          <w:tcPr>
            <w:tcW w:type="dxa" w:w="3312"/>
          </w:tcPr>
          <w:p>
            <w:r>
              <w:t>5.0% coupon; 24-month maturity; 20% discount; $1.9bn cap</w:t>
            </w:r>
          </w:p>
        </w:tc>
      </w:tr>
      <w:tr>
        <w:tc>
          <w:tcPr>
            <w:tcW w:type="dxa" w:w="3312"/>
          </w:tcPr>
          <w:p>
            <w:r>
              <w:t>SAFE Instruments</w:t>
            </w:r>
          </w:p>
        </w:tc>
        <w:tc>
          <w:tcPr>
            <w:tcW w:type="dxa" w:w="3312"/>
          </w:tcPr>
          <w:p>
            <w:r>
              <w:t>$50,000,000</w:t>
            </w:r>
          </w:p>
        </w:tc>
        <w:tc>
          <w:tcPr>
            <w:tcW w:type="dxa" w:w="3312"/>
          </w:tcPr>
          <w:p>
            <w:r>
              <w:t>22.5% discount; $1.85bn cap; converts on qualified financing / liquidity event</w:t>
            </w:r>
          </w:p>
        </w:tc>
      </w:tr>
    </w:tbl>
    <w:p/>
    <w:p>
      <w:pPr>
        <w:pStyle w:val="Heading2"/>
      </w:pPr>
      <w:r>
        <w:t>Illustrative capitalization impact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F0D9"/>
          </w:tcPr>
          <w:p>
            <w:r>
              <w:rPr>
                <w:b/>
              </w:rPr>
              <w:t>Shareholder</w:t>
            </w:r>
          </w:p>
        </w:tc>
        <w:tc>
          <w:tcPr>
            <w:tcW w:type="dxa" w:w="3312"/>
            <w:shd w:fill="E2F0D9"/>
          </w:tcPr>
          <w:p>
            <w:r>
              <w:rPr>
                <w:b/>
              </w:rPr>
              <w:t>Ownership Before Financing</w:t>
            </w:r>
          </w:p>
        </w:tc>
        <w:tc>
          <w:tcPr>
            <w:tcW w:type="dxa" w:w="3312"/>
            <w:shd w:fill="E2F0D9"/>
          </w:tcPr>
          <w:p>
            <w:r>
              <w:rPr>
                <w:b/>
              </w:rPr>
              <w:t>Ownership After Financing (FD)</w:t>
            </w:r>
          </w:p>
        </w:tc>
      </w:tr>
      <w:tr>
        <w:tc>
          <w:tcPr>
            <w:tcW w:type="dxa" w:w="3312"/>
          </w:tcPr>
          <w:p>
            <w:r>
              <w:t>Founder Holding Entity</w:t>
            </w:r>
          </w:p>
        </w:tc>
        <w:tc>
          <w:tcPr>
            <w:tcW w:type="dxa" w:w="3312"/>
          </w:tcPr>
          <w:p>
            <w:r>
              <w:t>55.00%</w:t>
            </w:r>
          </w:p>
        </w:tc>
        <w:tc>
          <w:tcPr>
            <w:tcW w:type="dxa" w:w="3312"/>
          </w:tcPr>
          <w:p>
            <w:r>
              <w:t>44.77%</w:t>
            </w:r>
          </w:p>
        </w:tc>
      </w:tr>
      <w:tr>
        <w:tc>
          <w:tcPr>
            <w:tcW w:type="dxa" w:w="3312"/>
          </w:tcPr>
          <w:p>
            <w:r>
              <w:t>Regional Investment Group</w:t>
            </w:r>
          </w:p>
        </w:tc>
        <w:tc>
          <w:tcPr>
            <w:tcW w:type="dxa" w:w="3312"/>
          </w:tcPr>
          <w:p>
            <w:r>
              <w:t>25.00%</w:t>
            </w:r>
          </w:p>
        </w:tc>
        <w:tc>
          <w:tcPr>
            <w:tcW w:type="dxa" w:w="3312"/>
          </w:tcPr>
          <w:p>
            <w:r>
              <w:t>20.35%</w:t>
            </w:r>
          </w:p>
        </w:tc>
      </w:tr>
      <w:tr>
        <w:tc>
          <w:tcPr>
            <w:tcW w:type="dxa" w:w="3312"/>
          </w:tcPr>
          <w:p>
            <w:r>
              <w:t>Family Office Investor</w:t>
            </w:r>
          </w:p>
        </w:tc>
        <w:tc>
          <w:tcPr>
            <w:tcW w:type="dxa" w:w="3312"/>
          </w:tcPr>
          <w:p>
            <w:r>
              <w:t>20.00%</w:t>
            </w:r>
          </w:p>
        </w:tc>
        <w:tc>
          <w:tcPr>
            <w:tcW w:type="dxa" w:w="3312"/>
          </w:tcPr>
          <w:p>
            <w:r>
              <w:t>16.28%</w:t>
            </w:r>
          </w:p>
        </w:tc>
      </w:tr>
      <w:tr>
        <w:tc>
          <w:tcPr>
            <w:tcW w:type="dxa" w:w="3312"/>
          </w:tcPr>
          <w:p>
            <w:r>
              <w:t>Series C Preferred Investors</w:t>
            </w:r>
          </w:p>
        </w:tc>
        <w:tc>
          <w:tcPr>
            <w:tcW w:type="dxa" w:w="3312"/>
          </w:tcPr>
          <w:p>
            <w:r>
              <w:t>0.00%</w:t>
            </w:r>
          </w:p>
        </w:tc>
        <w:tc>
          <w:tcPr>
            <w:tcW w:type="dxa" w:w="3312"/>
          </w:tcPr>
          <w:p>
            <w:r>
              <w:t>11.40%</w:t>
            </w:r>
          </w:p>
        </w:tc>
      </w:tr>
      <w:tr>
        <w:tc>
          <w:tcPr>
            <w:tcW w:type="dxa" w:w="3312"/>
          </w:tcPr>
          <w:p>
            <w:r>
              <w:t>Convertible Note Investors</w:t>
            </w:r>
          </w:p>
        </w:tc>
        <w:tc>
          <w:tcPr>
            <w:tcW w:type="dxa" w:w="3312"/>
          </w:tcPr>
          <w:p>
            <w:r>
              <w:t>0.00%</w:t>
            </w:r>
          </w:p>
        </w:tc>
        <w:tc>
          <w:tcPr>
            <w:tcW w:type="dxa" w:w="3312"/>
          </w:tcPr>
          <w:p>
            <w:r>
              <w:t>4.58%</w:t>
            </w:r>
          </w:p>
        </w:tc>
      </w:tr>
      <w:tr>
        <w:tc>
          <w:tcPr>
            <w:tcW w:type="dxa" w:w="3312"/>
          </w:tcPr>
          <w:p>
            <w:r>
              <w:t>SAFE Investors</w:t>
            </w:r>
          </w:p>
        </w:tc>
        <w:tc>
          <w:tcPr>
            <w:tcW w:type="dxa" w:w="3312"/>
          </w:tcPr>
          <w:p>
            <w:r>
              <w:t>0.00%</w:t>
            </w:r>
          </w:p>
        </w:tc>
        <w:tc>
          <w:tcPr>
            <w:tcW w:type="dxa" w:w="3312"/>
          </w:tcPr>
          <w:p>
            <w:r>
              <w:t>2.63%</w:t>
            </w:r>
          </w:p>
        </w:tc>
      </w:tr>
    </w:tbl>
    <w:p/>
    <w:p>
      <w:r>
        <w:t>This memorandum is illustrative and should be read together with definitive legal documentation, subscription agreements, investor rights agreements, side letters, and the accompanying capitalization model workbook.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