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240" w:lineRule="auto"/>
        <w:jc w:val="center"/>
      </w:pPr>
      <w:r>
        <w:rPr>
          <w:rFonts w:ascii="Aptos Display" w:hAnsi="Aptos Display"/>
          <w:b/>
          <w:color w:val="1F3A5B"/>
          <w:sz w:val="44"/>
        </w:rPr>
        <w:t>Revenue Recognition Policies</w:t>
      </w:r>
    </w:p>
    <w:p>
      <w:pPr>
        <w:spacing w:before="0" w:after="60" w:line="276" w:lineRule="auto"/>
        <w:jc w:val="center"/>
      </w:pPr>
      <w:r>
        <w:rPr>
          <w:rFonts w:ascii="Aptos" w:hAnsi="Aptos"/>
          <w:b/>
          <w:color w:val="1F3A5B"/>
          <w:sz w:val="30"/>
        </w:rPr>
        <w:t>Aurelia Developments LLC</w:t>
      </w:r>
    </w:p>
    <w:p>
      <w:pPr>
        <w:pStyle w:val="CustomSubtle"/>
        <w:spacing w:before="0" w:after="360" w:line="276" w:lineRule="auto"/>
        <w:jc w:val="center"/>
      </w:pPr>
      <w:r>
        <w:rPr>
          <w:i/>
        </w:rPr>
        <w:t>Formal accounting policy documentation for external audit support, investor diligence, lender review, and internal financial reporting.</w:t>
      </w:r>
    </w:p>
    <w:tbl>
      <w:tblPr>
        <w:tblW w:type="auto" w:w="0"/>
        <w:jc w:val="center"/>
        <w:tblLayout w:type="fixed"/>
        <w:tblLook w:firstColumn="1" w:firstRow="1" w:lastColumn="0" w:lastRow="0" w:noHBand="0" w:noVBand="1" w:val="04A0"/>
      </w:tblPr>
      <w:tblGrid>
        <w:gridCol w:w="4896"/>
        <w:gridCol w:w="4896"/>
      </w:tblGrid>
      <w:tr>
        <w:tc>
          <w:tcPr>
            <w:tcW w:type="dxa" w:w="2880"/>
            <w:tcMar>
              <w:top w:w="120" w:type="dxa"/>
              <w:start w:w="120" w:type="dxa"/>
              <w:bottom w:w="120" w:type="dxa"/>
              <w:end w:w="120" w:type="dxa"/>
            </w:tcMar>
            <w:vAlign w:val="center"/>
            <w:shd w:fill="DCE6F1"/>
          </w:tcPr>
          <w:p>
            <w:pPr>
              <w:spacing w:before="0" w:after="0" w:line="264" w:lineRule="auto"/>
            </w:pPr>
            <w:r>
              <w:rPr>
                <w:b/>
              </w:rPr>
              <w:t>Prepared for</w:t>
            </w:r>
          </w:p>
        </w:tc>
        <w:tc>
          <w:tcPr>
            <w:tcW w:type="dxa" w:w="6192"/>
            <w:tcMar>
              <w:top w:w="120" w:type="dxa"/>
              <w:start w:w="120" w:type="dxa"/>
              <w:bottom w:w="120" w:type="dxa"/>
              <w:end w:w="120" w:type="dxa"/>
            </w:tcMar>
            <w:vAlign w:val="center"/>
            <w:shd w:fill="F7F9FC"/>
          </w:tcPr>
          <w:p>
            <w:pPr>
              <w:spacing w:before="0" w:after="0" w:line="264" w:lineRule="auto"/>
            </w:pPr>
            <w:r>
              <w:t>Management, auditors, lenders, and private equity stakeholders</w:t>
            </w:r>
          </w:p>
        </w:tc>
      </w:tr>
      <w:tr>
        <w:tc>
          <w:tcPr>
            <w:tcW w:type="dxa" w:w="2880"/>
            <w:tcMar>
              <w:top w:w="120" w:type="dxa"/>
              <w:start w:w="120" w:type="dxa"/>
              <w:bottom w:w="120" w:type="dxa"/>
              <w:end w:w="120" w:type="dxa"/>
            </w:tcMar>
            <w:vAlign w:val="center"/>
            <w:shd w:fill="DCE6F1"/>
          </w:tcPr>
          <w:p>
            <w:pPr>
              <w:spacing w:before="0" w:after="0" w:line="264" w:lineRule="auto"/>
            </w:pPr>
            <w:r>
              <w:rPr>
                <w:b/>
              </w:rPr>
              <w:t>Entity</w:t>
            </w:r>
          </w:p>
        </w:tc>
        <w:tc>
          <w:tcPr>
            <w:tcW w:type="dxa" w:w="6192"/>
            <w:tcMar>
              <w:top w:w="120" w:type="dxa"/>
              <w:start w:w="120" w:type="dxa"/>
              <w:bottom w:w="120" w:type="dxa"/>
              <w:end w:w="120" w:type="dxa"/>
            </w:tcMar>
            <w:vAlign w:val="center"/>
            <w:shd w:fill="F7F9FC"/>
          </w:tcPr>
          <w:p>
            <w:pPr>
              <w:spacing w:before="0" w:after="0" w:line="264" w:lineRule="auto"/>
            </w:pPr>
            <w:r>
              <w:t>Aurelia Developments LLC, Dubai, United Arab Emirates</w:t>
            </w:r>
          </w:p>
        </w:tc>
      </w:tr>
      <w:tr>
        <w:tc>
          <w:tcPr>
            <w:tcW w:type="dxa" w:w="2880"/>
            <w:tcMar>
              <w:top w:w="120" w:type="dxa"/>
              <w:start w:w="120" w:type="dxa"/>
              <w:bottom w:w="120" w:type="dxa"/>
              <w:end w:w="120" w:type="dxa"/>
            </w:tcMar>
            <w:vAlign w:val="center"/>
            <w:shd w:fill="DCE6F1"/>
          </w:tcPr>
          <w:p>
            <w:pPr>
              <w:spacing w:before="0" w:after="0" w:line="264" w:lineRule="auto"/>
            </w:pPr>
            <w:r>
              <w:rPr>
                <w:b/>
              </w:rPr>
              <w:t>Primary framework</w:t>
            </w:r>
          </w:p>
        </w:tc>
        <w:tc>
          <w:tcPr>
            <w:tcW w:type="dxa" w:w="6192"/>
            <w:tcMar>
              <w:top w:w="120" w:type="dxa"/>
              <w:start w:w="120" w:type="dxa"/>
              <w:bottom w:w="120" w:type="dxa"/>
              <w:end w:w="120" w:type="dxa"/>
            </w:tcMar>
            <w:vAlign w:val="center"/>
            <w:shd w:fill="F7F9FC"/>
          </w:tcPr>
          <w:p>
            <w:pPr>
              <w:spacing w:before="0" w:after="0" w:line="264" w:lineRule="auto"/>
            </w:pPr>
            <w:r>
              <w:t>IFRS 15 Revenue from Contracts with Customers, with lease income addressed under IFRS 16 where applicable</w:t>
            </w:r>
          </w:p>
        </w:tc>
      </w:tr>
      <w:tr>
        <w:tc>
          <w:tcPr>
            <w:tcW w:type="dxa" w:w="2880"/>
            <w:tcMar>
              <w:top w:w="120" w:type="dxa"/>
              <w:start w:w="120" w:type="dxa"/>
              <w:bottom w:w="120" w:type="dxa"/>
              <w:end w:w="120" w:type="dxa"/>
            </w:tcMar>
            <w:vAlign w:val="center"/>
            <w:shd w:fill="DCE6F1"/>
          </w:tcPr>
          <w:p>
            <w:pPr>
              <w:spacing w:before="0" w:after="0" w:line="264" w:lineRule="auto"/>
            </w:pPr>
            <w:r>
              <w:rPr>
                <w:b/>
              </w:rPr>
              <w:t>Document purpose</w:t>
            </w:r>
          </w:p>
        </w:tc>
        <w:tc>
          <w:tcPr>
            <w:tcW w:type="dxa" w:w="6192"/>
            <w:tcMar>
              <w:top w:w="120" w:type="dxa"/>
              <w:start w:w="120" w:type="dxa"/>
              <w:bottom w:w="120" w:type="dxa"/>
              <w:end w:w="120" w:type="dxa"/>
            </w:tcMar>
            <w:vAlign w:val="center"/>
            <w:shd w:fill="F7F9FC"/>
          </w:tcPr>
          <w:p>
            <w:pPr>
              <w:spacing w:before="0" w:after="0" w:line="264" w:lineRule="auto"/>
            </w:pPr>
            <w:r>
              <w:t>To document the basis, judgments, controls, and reporting treatment applied to all significant revenue streams</w:t>
            </w:r>
          </w:p>
        </w:tc>
      </w:tr>
    </w:tbl>
    <w:p>
      <w:pPr>
        <w:pStyle w:val="CustomSubtle"/>
        <w:spacing w:before="280" w:after="0" w:line="276" w:lineRule="auto"/>
        <w:jc w:val="center"/>
      </w:pPr>
      <w:r>
        <w:t>Version 2.0 - expanded narrative for diligence and audit file use</w:t>
      </w:r>
    </w:p>
    <w:p>
      <w:r>
        <w:br w:type="page"/>
      </w:r>
    </w:p>
    <w:p>
      <w:pPr>
        <w:pStyle w:val="Heading1"/>
        <w:spacing w:before="0" w:after="160" w:line="276" w:lineRule="auto"/>
      </w:pPr>
      <w:r>
        <w:t>Contents</w:t>
      </w:r>
    </w:p>
    <w:p>
      <w:pPr>
        <w:spacing w:before="0" w:after="80" w:line="276" w:lineRule="auto"/>
        <w:ind w:left="288"/>
      </w:pPr>
      <w:r>
        <w:t>1. Executive Summary</w:t>
      </w:r>
    </w:p>
    <w:p>
      <w:pPr>
        <w:spacing w:before="0" w:after="80" w:line="276" w:lineRule="auto"/>
        <w:ind w:left="288"/>
      </w:pPr>
      <w:r>
        <w:t>2. Applicable Accounting Standards and Core Principles</w:t>
      </w:r>
    </w:p>
    <w:p>
      <w:pPr>
        <w:spacing w:before="0" w:after="80" w:line="276" w:lineRule="auto"/>
        <w:ind w:left="288"/>
      </w:pPr>
      <w:r>
        <w:t>3. Company Revenue Streams and Policy Framework</w:t>
      </w:r>
    </w:p>
    <w:p>
      <w:pPr>
        <w:spacing w:before="0" w:after="80" w:line="276" w:lineRule="auto"/>
        <w:ind w:left="288"/>
      </w:pPr>
      <w:r>
        <w:t>4. Off-Plan Property Sales Revenue Recognition</w:t>
      </w:r>
    </w:p>
    <w:p>
      <w:pPr>
        <w:spacing w:before="0" w:after="80" w:line="276" w:lineRule="auto"/>
        <w:ind w:left="288"/>
      </w:pPr>
      <w:r>
        <w:t>5. Completed Property Sales</w:t>
      </w:r>
    </w:p>
    <w:p>
      <w:pPr>
        <w:spacing w:before="0" w:after="80" w:line="276" w:lineRule="auto"/>
        <w:ind w:left="288"/>
      </w:pPr>
      <w:r>
        <w:t>6. Development Management Fees</w:t>
      </w:r>
    </w:p>
    <w:p>
      <w:pPr>
        <w:spacing w:before="0" w:after="80" w:line="276" w:lineRule="auto"/>
        <w:ind w:left="288"/>
      </w:pPr>
      <w:r>
        <w:t>7. Joint Venture and Development Participation Revenue</w:t>
      </w:r>
    </w:p>
    <w:p>
      <w:pPr>
        <w:spacing w:before="0" w:after="80" w:line="276" w:lineRule="auto"/>
        <w:ind w:left="288"/>
      </w:pPr>
      <w:r>
        <w:t>8. Leasing, Rental, and Hospitality-Related Revenue</w:t>
      </w:r>
    </w:p>
    <w:p>
      <w:pPr>
        <w:spacing w:before="0" w:after="80" w:line="276" w:lineRule="auto"/>
        <w:ind w:left="288"/>
      </w:pPr>
      <w:r>
        <w:t>9. Variable Consideration, Incentives, and Cancellations</w:t>
      </w:r>
    </w:p>
    <w:p>
      <w:pPr>
        <w:spacing w:before="0" w:after="80" w:line="276" w:lineRule="auto"/>
        <w:ind w:left="288"/>
      </w:pPr>
      <w:r>
        <w:t>10. Contract Assets, Receivables, and Contract Liabilities</w:t>
      </w:r>
    </w:p>
    <w:p>
      <w:pPr>
        <w:spacing w:before="0" w:after="80" w:line="276" w:lineRule="auto"/>
        <w:ind w:left="288"/>
      </w:pPr>
      <w:r>
        <w:t>11. Escrow Accounts and Dubai Regulatory Considerations</w:t>
      </w:r>
    </w:p>
    <w:p>
      <w:pPr>
        <w:spacing w:before="0" w:after="80" w:line="276" w:lineRule="auto"/>
        <w:ind w:left="288"/>
      </w:pPr>
      <w:r>
        <w:t>12. Revenue Recognition Controls and Governance</w:t>
      </w:r>
    </w:p>
    <w:p>
      <w:pPr>
        <w:spacing w:before="0" w:after="80" w:line="276" w:lineRule="auto"/>
        <w:ind w:left="288"/>
      </w:pPr>
      <w:r>
        <w:t>13. Revenue Cut-Off Procedures</w:t>
      </w:r>
    </w:p>
    <w:p>
      <w:pPr>
        <w:spacing w:before="0" w:after="80" w:line="276" w:lineRule="auto"/>
        <w:ind w:left="288"/>
      </w:pPr>
      <w:r>
        <w:t>14. Revenue Recognition Risks and Key Judgments</w:t>
      </w:r>
    </w:p>
    <w:p>
      <w:pPr>
        <w:spacing w:before="0" w:after="80" w:line="276" w:lineRule="auto"/>
        <w:ind w:left="288"/>
      </w:pPr>
      <w:r>
        <w:t>15. Auditor Review Process</w:t>
      </w:r>
    </w:p>
    <w:p>
      <w:pPr>
        <w:spacing w:before="0" w:after="80" w:line="276" w:lineRule="auto"/>
        <w:ind w:left="288"/>
      </w:pPr>
      <w:r>
        <w:t>16. Appendix - Policy Summary Matrix and Required Documentation</w:t>
      </w:r>
    </w:p>
    <w:tbl>
      <w:tblPr>
        <w:tblW w:type="auto" w:w="0"/>
        <w:jc w:val="center"/>
        <w:tblLayout w:type="fixed"/>
        <w:tblLook w:firstColumn="1" w:firstRow="1" w:lastColumn="0" w:lastRow="0" w:noHBand="0" w:noVBand="1" w:val="04A0"/>
      </w:tblPr>
      <w:tblGrid>
        <w:gridCol w:w="3264"/>
        <w:gridCol w:w="3264"/>
        <w:gridCol w:w="3264"/>
      </w:tblGrid>
      <w:tr>
        <w:tc>
          <w:tcPr>
            <w:tcW w:type="dxa" w:w="2592"/>
            <w:shd w:fill="1F4E78"/>
            <w:tcMar>
              <w:top w:w="110" w:type="dxa"/>
              <w:start w:w="110" w:type="dxa"/>
              <w:bottom w:w="110" w:type="dxa"/>
              <w:end w:w="110" w:type="dxa"/>
            </w:tcMar>
          </w:tcPr>
          <w:p>
            <w:pPr>
              <w:spacing w:before="0" w:after="0" w:line="259" w:lineRule="auto"/>
            </w:pPr>
            <w:r>
              <w:rPr>
                <w:b/>
                <w:color w:val="FFFFFF"/>
              </w:rPr>
              <w:t>Area of focus</w:t>
            </w:r>
          </w:p>
        </w:tc>
        <w:tc>
          <w:tcPr>
            <w:tcW w:type="dxa" w:w="3456"/>
            <w:shd w:fill="1F4E78"/>
            <w:tcMar>
              <w:top w:w="110" w:type="dxa"/>
              <w:start w:w="110" w:type="dxa"/>
              <w:bottom w:w="110" w:type="dxa"/>
              <w:end w:w="110" w:type="dxa"/>
            </w:tcMar>
          </w:tcPr>
          <w:p>
            <w:pPr>
              <w:spacing w:before="0" w:after="0" w:line="259" w:lineRule="auto"/>
            </w:pPr>
            <w:r>
              <w:rPr>
                <w:b/>
                <w:color w:val="FFFFFF"/>
              </w:rPr>
              <w:t>Primary policy conclusion</w:t>
            </w:r>
          </w:p>
        </w:tc>
        <w:tc>
          <w:tcPr>
            <w:tcW w:type="dxa" w:w="3024"/>
            <w:shd w:fill="1F4E78"/>
            <w:tcMar>
              <w:top w:w="110" w:type="dxa"/>
              <w:start w:w="110" w:type="dxa"/>
              <w:bottom w:w="110" w:type="dxa"/>
              <w:end w:w="110" w:type="dxa"/>
            </w:tcMar>
          </w:tcPr>
          <w:p>
            <w:pPr>
              <w:spacing w:before="0" w:after="0" w:line="259" w:lineRule="auto"/>
            </w:pPr>
            <w:r>
              <w:rPr>
                <w:b/>
                <w:color w:val="FFFFFF"/>
              </w:rPr>
              <w:t>Principal evidence retained</w:t>
            </w:r>
          </w:p>
        </w:tc>
      </w:tr>
      <w:tr>
        <w:tc>
          <w:tcPr>
            <w:tcW w:type="dxa" w:w="2592"/>
            <w:shd w:fill="F6F8FB"/>
            <w:tcMar>
              <w:top w:w="120" w:type="dxa"/>
              <w:start w:w="120" w:type="dxa"/>
              <w:bottom w:w="120" w:type="dxa"/>
              <w:end w:w="120" w:type="dxa"/>
            </w:tcMar>
          </w:tcPr>
          <w:p>
            <w:pPr>
              <w:spacing w:before="0" w:after="0" w:line="259" w:lineRule="auto"/>
            </w:pPr>
            <w:r>
              <w:t>Real estate development revenue</w:t>
            </w:r>
          </w:p>
        </w:tc>
        <w:tc>
          <w:tcPr>
            <w:tcW w:type="dxa" w:w="3456"/>
            <w:shd w:fill="F6F8FB"/>
            <w:tcMar>
              <w:top w:w="120" w:type="dxa"/>
              <w:start w:w="120" w:type="dxa"/>
              <w:bottom w:w="120" w:type="dxa"/>
              <w:end w:w="120" w:type="dxa"/>
            </w:tcMar>
          </w:tcPr>
          <w:p>
            <w:pPr>
              <w:spacing w:before="0" w:after="0" w:line="259" w:lineRule="auto"/>
            </w:pPr>
            <w:r>
              <w:t>Off-plan and completed sales are assessed under IFRS 15 using a contract-by-contract transfer-of-control analysis; collection patterns and escrow funding do not by themselves determine revenue timing.</w:t>
            </w:r>
          </w:p>
        </w:tc>
        <w:tc>
          <w:tcPr>
            <w:tcW w:type="dxa" w:w="3024"/>
            <w:shd w:fill="F6F8FB"/>
            <w:tcMar>
              <w:top w:w="120" w:type="dxa"/>
              <w:start w:w="120" w:type="dxa"/>
              <w:bottom w:w="120" w:type="dxa"/>
              <w:end w:w="120" w:type="dxa"/>
            </w:tcMar>
          </w:tcPr>
          <w:p>
            <w:pPr>
              <w:spacing w:before="0" w:after="0" w:line="259" w:lineRule="auto"/>
            </w:pPr>
            <w:r>
              <w:t>Executed SPA, project milestone certifications, handover documents, title/possession support, finance review papers</w:t>
            </w:r>
          </w:p>
        </w:tc>
      </w:tr>
    </w:tbl>
    <w:p>
      <w:pPr>
        <w:pStyle w:val="Heading1"/>
        <w:spacing w:before="280" w:after="120" w:line="276" w:lineRule="auto"/>
      </w:pPr>
      <w:r>
        <w:t>1. Executive Summary</w:t>
      </w:r>
    </w:p>
    <w:p>
      <w:pPr>
        <w:spacing w:before="0" w:after="140" w:line="278" w:lineRule="auto"/>
      </w:pPr>
      <w:r>
        <w:t>This document sets out the revenue recognition framework applied by Aurelia Developments LLC in preparing its management accounts, year-end financial statements, lender information packs, and investor reporting materials. The purpose of the policy is to ensure that revenue is recorded in a manner that faithfully depicts the transfer of promised goods or services to customers and is supported by consistent, auditable judgments across projects, entities, and reporting periods.</w:t>
      </w:r>
    </w:p>
    <w:p>
      <w:pPr>
        <w:spacing w:before="0" w:after="140" w:line="278" w:lineRule="auto"/>
      </w:pPr>
      <w:r>
        <w:t>The company applies IFRS 15, Revenue from Contracts with Customers, to contracts that give rise to revenue from property sales, development management services, and certain development participation arrangements. Leasing income is presented separately because that stream is generally accounted for under lease accounting guidance rather than IFRS 15. Hospitality-related income is evaluated by reference to the underlying contract terms to determine whether the company acts as principal, agent, licensor, manager, or lessor.</w:t>
      </w:r>
    </w:p>
    <w:p>
      <w:pPr>
        <w:spacing w:before="0" w:after="140" w:line="278" w:lineRule="auto"/>
      </w:pPr>
      <w:r>
        <w:t>For real estate developers, revenue recognition is a critical accounting area because significant cash collections may occur long before legal completion or physical handover, customer contracts can include bespoke terms, and development projects typically span multiple reporting periods. As a result, management must distinguish carefully between cash receipts, customer advances, escrow-restricted funds, enforceable contract rights, and the point at which control of a completed asset or development service is transferred.</w:t>
      </w:r>
    </w:p>
    <w:p>
      <w:pPr>
        <w:spacing w:before="0" w:after="140" w:line="278" w:lineRule="auto"/>
      </w:pPr>
      <w:r>
        <w:t>Accordingly, Aurelia's policy framework is built around four questions: what has been promised to the customer; whether those promises are distinct performance obligations; when control of those obligations transfers; and whether the resulting measurement of revenue is constrained by variable consideration, cancellation risk, collectability concerns, or unresolved contractual contingencies. Revenue is recognized only when the company concludes that the relevant recognition criteria have been satisfied and adequate documentary evidence exists in the accounting file.</w:t>
      </w:r>
    </w:p>
    <w:p>
      <w:pPr>
        <w:pStyle w:val="Heading1"/>
        <w:spacing w:before="280" w:after="120" w:line="276" w:lineRule="auto"/>
      </w:pPr>
      <w:r>
        <w:t>2. Applicable Accounting Standards and Core Principles</w:t>
      </w:r>
    </w:p>
    <w:p>
      <w:pPr>
        <w:spacing w:before="0" w:after="140" w:line="278" w:lineRule="auto"/>
      </w:pPr>
      <w:r>
        <w:t>The primary accounting standard for non-lease revenue is IFRS 15. That standard requires an entity to recognize revenue in an amount that reflects the consideration to which the entity expects to be entitled in exchange for transferring promised goods or services to a customer. The standard is operationalized through the five-step model: identify the contract, identify the performance obligations, determine the transaction price, allocate the transaction price to the performance obligations, and recognize revenue as or when the entity satisfies a performance obligation.</w:t>
      </w:r>
    </w:p>
    <w:p>
      <w:pPr>
        <w:spacing w:before="0" w:after="140" w:line="278" w:lineRule="auto"/>
      </w:pPr>
      <w:r>
        <w:t>In applying step one, Aurelia evaluates whether an executed agreement creates enforceable rights and obligations, whether collection is probable, whether each party's rights and payment terms are identified, and whether the arrangement has commercial substance. Contracts that fail these criteria are not recognized as revenue contracts and related receipts remain as deposits or other liabilities until the criteria are met or the arrangement is otherwise resolved.</w:t>
      </w:r>
    </w:p>
    <w:p>
      <w:pPr>
        <w:spacing w:before="0" w:after="140" w:line="278" w:lineRule="auto"/>
      </w:pPr>
      <w:r>
        <w:t>In step two, management identifies whether the arrangement contains a single promise, such as delivery of a completed residential unit, or multiple promises, such as design oversight, project management, and performance-based advisory services. In most straightforward property sale contracts, the promise is the transfer of a specified property unit together with related legal rights and practical possession. Ancillary items, such as standard snagging obligations or statutory defect warranties, are generally not treated as separate performance obligations unless they convey an additional service beyond customary assurance obligations.</w:t>
      </w:r>
    </w:p>
    <w:p>
      <w:pPr>
        <w:spacing w:before="0" w:after="140" w:line="278" w:lineRule="auto"/>
      </w:pPr>
      <w:r>
        <w:t>In step three, the transaction price includes fixed contractual amounts and any variable consideration expected to be received, subject to constraint. Variable items may include rebates, incentives, penalty recoveries, price concessions, cancellation adjustments, or profit-based fee components. In step four, where multiple performance obligations exist, the transaction price is allocated based on relative stand-alone selling prices supported by market evidence, internal pricing practices, or cost-plus analyses. In step five, revenue is recognized either over time or at a point in time depending on the nature of control transfer under the specific contract.</w:t>
      </w:r>
    </w:p>
    <w:p>
      <w:pPr>
        <w:spacing w:before="0" w:after="140" w:line="278" w:lineRule="auto"/>
      </w:pPr>
      <w:r>
        <w:t>For real estate development companies, the most significant judgment typically arises in determining whether a property sale qualifies for over-time recognition. This requires analysis of the contract, local law, asset specificity, enforceable rights to payment for performance completed to date, and whether the customer controls the asset as it is created or enhanced. Where those conditions are not met, revenue is generally recognized at a point in time upon transfer of control, usually at handover or legal completion.</w:t>
      </w:r>
    </w:p>
    <w:p>
      <w:pPr>
        <w:pStyle w:val="Heading1"/>
        <w:spacing w:before="280" w:after="120" w:line="276" w:lineRule="auto"/>
      </w:pPr>
      <w:r>
        <w:t>3. Company Revenue Streams and Policy Framework</w:t>
      </w:r>
    </w:p>
    <w:p>
      <w:pPr>
        <w:spacing w:before="0" w:after="140" w:line="278" w:lineRule="auto"/>
      </w:pPr>
      <w:r>
        <w:t>Aurelia's principal revenue streams comprise off-plan residential property sales, completed property sales, development management fees, joint venture development income, commercial leasing income, and hospitality- or branded residence-related income. Each stream is assessed under a documented policy memo and mapped to the appropriate ledger accounts, supporting schedules, disclosure categories, and month-end control procedures.</w:t>
      </w:r>
    </w:p>
    <w:p>
      <w:pPr>
        <w:spacing w:before="0" w:after="140" w:line="278" w:lineRule="auto"/>
      </w:pPr>
      <w:r>
        <w:t>Off-plan residential property sales arise from sale and purchase agreements entered into before project completion, often supported by installment payment plans and escrow-funded customer collections. Completed property sales arise when a finished unit or asset is transferred to the buyer. Development management fees arise from providing project oversight, design coordination, procurement support, and execution monitoring to third parties or related development vehicles. Joint venture income may arise from service fees, performance-based development fees, or the company's share of distributable results accounted for under the relevant investment framework. Leasing income arises from recurring rental contracts for commercial, retail, or hospitality-related space. Hospitality and branded residence arrangements may combine management, licensing, rental, marketing, and sales components and therefore require careful contract parsing.</w:t>
      </w:r>
    </w:p>
    <w:p>
      <w:pPr>
        <w:spacing w:before="0" w:after="140" w:line="278" w:lineRule="auto"/>
      </w:pPr>
      <w:r>
        <w:t>The company maintains a revenue stream matrix that specifies, for each stream, the governing accounting standard, the normal basis of recognition, the source documentation required, the key estimates involved, and the designated review owner in finance. This matrix is reviewed at least annually and updated for new product structures, new jurisdictions, revised regulations, or unusual transaction terms.</w:t>
      </w:r>
    </w:p>
    <w:p>
      <w:pPr>
        <w:spacing w:before="0" w:after="140" w:line="278" w:lineRule="auto"/>
      </w:pPr>
      <w:r>
        <w:t>As a policy matter, Aurelia does not equate billing, invoicing, cash collection, or escrow release with revenue recognition. Those events may provide evidence of contract existence or collectability, but revenue is recorded only when the applicable performance obligation has been satisfied and the resulting amount can be measured reliably in accordance with the relevant standard.</w:t>
      </w:r>
    </w:p>
    <w:p>
      <w:pPr>
        <w:pStyle w:val="Heading1"/>
        <w:spacing w:before="280" w:after="120" w:line="276" w:lineRule="auto"/>
      </w:pPr>
      <w:r>
        <w:t>4. Off-Plan Property Sales Revenue Recognition</w:t>
      </w:r>
    </w:p>
    <w:p>
      <w:pPr>
        <w:spacing w:before="0" w:after="140" w:line="278" w:lineRule="auto"/>
      </w:pPr>
      <w:r>
        <w:t>Off-plan sales contracts are evaluated individually to determine whether revenue should be recognized over time or at a point in time. The starting point is the executed sale and purchase agreement, together with appendices covering unit specifications, payment plans, default provisions, termination rights, force majeure terms, customer change rights, construction obligations, and remedies available to both parties.</w:t>
      </w:r>
    </w:p>
    <w:p>
      <w:pPr>
        <w:spacing w:before="0" w:after="140" w:line="278" w:lineRule="auto"/>
      </w:pPr>
      <w:r>
        <w:t>Management assesses whether the contract transfers control to the customer over time by considering the IFRS 15 criteria. In practice, the most relevant criterion for real estate developments is whether the asset under construction has no alternative use to Aurelia and whether the company has an enforceable right to payment for performance completed to date, including a reasonable profit margin, if the customer or another party terminates the contract for reasons other than the company's failure to perform. This assessment requires legal analysis of contractual termination clauses, local property law, and the practical ability to redirect the asset to another customer without significant economic loss or contractual breach.</w:t>
      </w:r>
    </w:p>
    <w:p>
      <w:pPr>
        <w:spacing w:before="0" w:after="140" w:line="278" w:lineRule="auto"/>
      </w:pPr>
      <w:r>
        <w:t>Where the over-time criteria are not met, off-plan sale proceeds are recorded initially as contract liabilities or customer advances. Revenue is recognized only when control transfers, ordinarily at handover or at legal completion when the customer obtains the present ability to direct the use of and obtain substantially all of the remaining benefits from the property. Indicators include transfer of possession, execution of handover protocols, ability to occupy or lease the property, transfer of legal title or beneficial ownership rights where applicable, and cessation of Aurelia's substantive remaining control over the unit.</w:t>
      </w:r>
    </w:p>
    <w:p>
      <w:pPr>
        <w:spacing w:before="0" w:after="140" w:line="278" w:lineRule="auto"/>
      </w:pPr>
      <w:r>
        <w:t>Where management concludes that over-time recognition is appropriate for a particular contract population, progress is measured using the method that best depicts performance, typically a cost-to-complete input method based on certified construction costs incurred relative to total estimated costs. The estimate excludes abnormal wastage, significant uninstalled materials where appropriate, and costs that do not depict transfer of control to the customer. Total estimated costs are approved by the project controls and finance teams and updated prospectively for revisions in scope, pricing, procurement, delays, or contingencies. Resulting revenue and margin adjustments are recognized in the period in which estimates change.</w:t>
      </w:r>
    </w:p>
    <w:p>
      <w:pPr>
        <w:spacing w:before="0" w:after="140" w:line="278" w:lineRule="auto"/>
      </w:pPr>
      <w:r>
        <w:t>Customer installment plans, including booking deposits, milestone collections, and handover payments, do not independently determine the timing of revenue. They affect receivable recognition, contract liability balances, and cash flow management, but they are separate from the transfer-of-control analysis. Likewise, funds held in escrow remain restricted from a treasury perspective, yet the existence of escrow restrictions does not by itself accelerate or defer revenue; rather, it affects presentation of cash and funding availability.</w:t>
      </w:r>
    </w:p>
    <w:p>
      <w:pPr>
        <w:spacing w:before="0" w:after="140" w:line="278" w:lineRule="auto"/>
      </w:pPr>
      <w:r>
        <w:t>For cancelled or materially modified off-plan contracts, management evaluates whether the original contract is terminated and replaced, or modified as part of the existing contract. Any previously recognized revenue is revisited in accordance with the contract modification and variable consideration guidance. Deposits retained as compensation for customer default are assessed to determine whether they represent consideration for a transferred good or service, liquidated damages, or another form of gain requiring separate presentation.</w:t>
      </w:r>
    </w:p>
    <w:tbl>
      <w:tblPr>
        <w:tblW w:type="auto" w:w="0"/>
        <w:jc w:val="center"/>
        <w:tblLayout w:type="fixed"/>
        <w:tblLook w:firstColumn="1" w:firstRow="1" w:lastColumn="0" w:lastRow="0" w:noHBand="0" w:noVBand="1" w:val="04A0"/>
      </w:tblPr>
      <w:tblGrid>
        <w:gridCol w:w="3264"/>
        <w:gridCol w:w="3264"/>
        <w:gridCol w:w="3264"/>
      </w:tblGrid>
      <w:tr>
        <w:tc>
          <w:tcPr>
            <w:tcW w:type="dxa" w:w="2592"/>
            <w:shd w:fill="D9EAF7"/>
            <w:tcMar>
              <w:top w:w="110" w:type="dxa"/>
              <w:start w:w="110" w:type="dxa"/>
              <w:bottom w:w="110" w:type="dxa"/>
              <w:end w:w="110" w:type="dxa"/>
            </w:tcMar>
          </w:tcPr>
          <w:p>
            <w:pPr>
              <w:spacing w:before="0" w:after="0" w:line="252" w:lineRule="auto"/>
            </w:pPr>
            <w:r>
              <w:rPr>
                <w:b/>
              </w:rPr>
              <w:t>Question</w:t>
            </w:r>
          </w:p>
        </w:tc>
        <w:tc>
          <w:tcPr>
            <w:tcW w:type="dxa" w:w="3744"/>
            <w:shd w:fill="D9EAF7"/>
            <w:tcMar>
              <w:top w:w="110" w:type="dxa"/>
              <w:start w:w="110" w:type="dxa"/>
              <w:bottom w:w="110" w:type="dxa"/>
              <w:end w:w="110" w:type="dxa"/>
            </w:tcMar>
          </w:tcPr>
          <w:p>
            <w:pPr>
              <w:spacing w:before="0" w:after="0" w:line="252" w:lineRule="auto"/>
            </w:pPr>
            <w:r>
              <w:rPr>
                <w:b/>
              </w:rPr>
              <w:t>Policy emphasis</w:t>
            </w:r>
          </w:p>
        </w:tc>
        <w:tc>
          <w:tcPr>
            <w:tcW w:type="dxa" w:w="2880"/>
            <w:shd w:fill="D9EAF7"/>
            <w:tcMar>
              <w:top w:w="110" w:type="dxa"/>
              <w:start w:w="110" w:type="dxa"/>
              <w:bottom w:w="110" w:type="dxa"/>
              <w:end w:w="110" w:type="dxa"/>
            </w:tcMar>
          </w:tcPr>
          <w:p>
            <w:pPr>
              <w:spacing w:before="0" w:after="0" w:line="252" w:lineRule="auto"/>
            </w:pPr>
            <w:r>
              <w:rPr>
                <w:b/>
              </w:rPr>
              <w:t>Typical evidence</w:t>
            </w:r>
          </w:p>
        </w:tc>
      </w:tr>
      <w:tr>
        <w:tc>
          <w:tcPr>
            <w:tcW w:type="dxa" w:w="3264"/>
            <w:tcMar>
              <w:top w:w="115" w:type="dxa"/>
              <w:start w:w="115" w:type="dxa"/>
              <w:bottom w:w="115" w:type="dxa"/>
              <w:end w:w="115" w:type="dxa"/>
            </w:tcMar>
            <w:shd w:fill="F9FBFD"/>
            <w:vAlign w:val="center"/>
          </w:tcPr>
          <w:p>
            <w:pPr>
              <w:spacing w:before="0" w:after="0" w:line="259" w:lineRule="auto"/>
            </w:pPr>
            <w:r>
              <w:t>Alternative use</w:t>
            </w:r>
          </w:p>
        </w:tc>
        <w:tc>
          <w:tcPr>
            <w:tcW w:type="dxa" w:w="3264"/>
            <w:tcMar>
              <w:top w:w="115" w:type="dxa"/>
              <w:start w:w="115" w:type="dxa"/>
              <w:bottom w:w="115" w:type="dxa"/>
              <w:end w:w="115" w:type="dxa"/>
            </w:tcMar>
            <w:shd w:fill="F3F8FC"/>
            <w:vAlign w:val="center"/>
          </w:tcPr>
          <w:p>
            <w:pPr>
              <w:spacing w:before="0" w:after="0" w:line="259" w:lineRule="auto"/>
            </w:pPr>
            <w:r>
              <w:t>Determine whether the unit or asset is highly specific and cannot be redirected without significant cost or breach.</w:t>
            </w:r>
          </w:p>
        </w:tc>
        <w:tc>
          <w:tcPr>
            <w:tcW w:type="dxa" w:w="3264"/>
            <w:tcMar>
              <w:top w:w="115" w:type="dxa"/>
              <w:start w:w="115" w:type="dxa"/>
              <w:bottom w:w="115" w:type="dxa"/>
              <w:end w:w="115" w:type="dxa"/>
            </w:tcMar>
            <w:shd w:fill="F9FBFD"/>
            <w:vAlign w:val="center"/>
          </w:tcPr>
          <w:p>
            <w:pPr>
              <w:spacing w:before="0" w:after="0" w:line="259" w:lineRule="auto"/>
            </w:pPr>
            <w:r>
              <w:t>Contract specifications, legal memo, product standardization analysis</w:t>
            </w:r>
          </w:p>
        </w:tc>
      </w:tr>
      <w:tr>
        <w:tc>
          <w:tcPr>
            <w:tcW w:type="dxa" w:w="3264"/>
            <w:tcMar>
              <w:top w:w="115" w:type="dxa"/>
              <w:start w:w="115" w:type="dxa"/>
              <w:bottom w:w="115" w:type="dxa"/>
              <w:end w:w="115" w:type="dxa"/>
            </w:tcMar>
            <w:shd w:fill="F9FBFD"/>
            <w:vAlign w:val="center"/>
          </w:tcPr>
          <w:p>
            <w:pPr>
              <w:spacing w:before="0" w:after="0" w:line="259" w:lineRule="auto"/>
            </w:pPr>
            <w:r>
              <w:t>Enforceable right to payment</w:t>
            </w:r>
          </w:p>
        </w:tc>
        <w:tc>
          <w:tcPr>
            <w:tcW w:type="dxa" w:w="3264"/>
            <w:tcMar>
              <w:top w:w="115" w:type="dxa"/>
              <w:start w:w="115" w:type="dxa"/>
              <w:bottom w:w="115" w:type="dxa"/>
              <w:end w:w="115" w:type="dxa"/>
            </w:tcMar>
            <w:shd w:fill="F3F8FC"/>
            <w:vAlign w:val="center"/>
          </w:tcPr>
          <w:p>
            <w:pPr>
              <w:spacing w:before="0" w:after="0" w:line="259" w:lineRule="auto"/>
            </w:pPr>
            <w:r>
              <w:t>Assess whether the company is entitled to recover performance to date, usually including margin, if the contract is terminated for reasons outside company default.</w:t>
            </w:r>
          </w:p>
        </w:tc>
        <w:tc>
          <w:tcPr>
            <w:tcW w:type="dxa" w:w="3264"/>
            <w:tcMar>
              <w:top w:w="115" w:type="dxa"/>
              <w:start w:w="115" w:type="dxa"/>
              <w:bottom w:w="115" w:type="dxa"/>
              <w:end w:w="115" w:type="dxa"/>
            </w:tcMar>
            <w:shd w:fill="F9FBFD"/>
            <w:vAlign w:val="center"/>
          </w:tcPr>
          <w:p>
            <w:pPr>
              <w:spacing w:before="0" w:after="0" w:line="259" w:lineRule="auto"/>
            </w:pPr>
            <w:r>
              <w:t>Termination clauses, counsel advice, precedent analysis</w:t>
            </w:r>
          </w:p>
        </w:tc>
      </w:tr>
      <w:tr>
        <w:tc>
          <w:tcPr>
            <w:tcW w:type="dxa" w:w="3264"/>
            <w:tcMar>
              <w:top w:w="115" w:type="dxa"/>
              <w:start w:w="115" w:type="dxa"/>
              <w:bottom w:w="115" w:type="dxa"/>
              <w:end w:w="115" w:type="dxa"/>
            </w:tcMar>
            <w:shd w:fill="F9FBFD"/>
            <w:vAlign w:val="center"/>
          </w:tcPr>
          <w:p>
            <w:pPr>
              <w:spacing w:before="0" w:after="0" w:line="259" w:lineRule="auto"/>
            </w:pPr>
            <w:r>
              <w:t>Progress measurement</w:t>
            </w:r>
          </w:p>
        </w:tc>
        <w:tc>
          <w:tcPr>
            <w:tcW w:type="dxa" w:w="3264"/>
            <w:tcMar>
              <w:top w:w="115" w:type="dxa"/>
              <w:start w:w="115" w:type="dxa"/>
              <w:bottom w:w="115" w:type="dxa"/>
              <w:end w:w="115" w:type="dxa"/>
            </w:tcMar>
            <w:shd w:fill="F3F8FC"/>
            <w:vAlign w:val="center"/>
          </w:tcPr>
          <w:p>
            <w:pPr>
              <w:spacing w:before="0" w:after="0" w:line="259" w:lineRule="auto"/>
            </w:pPr>
            <w:r>
              <w:t>Use cost-to-complete or another method only if it faithfully depicts transfer of control and excludes non-performance costs.</w:t>
            </w:r>
          </w:p>
        </w:tc>
        <w:tc>
          <w:tcPr>
            <w:tcW w:type="dxa" w:w="3264"/>
            <w:tcMar>
              <w:top w:w="115" w:type="dxa"/>
              <w:start w:w="115" w:type="dxa"/>
              <w:bottom w:w="115" w:type="dxa"/>
              <w:end w:w="115" w:type="dxa"/>
            </w:tcMar>
            <w:shd w:fill="F9FBFD"/>
            <w:vAlign w:val="center"/>
          </w:tcPr>
          <w:p>
            <w:pPr>
              <w:spacing w:before="0" w:after="0" w:line="259" w:lineRule="auto"/>
            </w:pPr>
            <w:r>
              <w:t>Certified cost reports, EAC schedules, review sign-off</w:t>
            </w:r>
          </w:p>
        </w:tc>
      </w:tr>
    </w:tbl>
    <w:p>
      <w:pPr>
        <w:pStyle w:val="Heading1"/>
        <w:spacing w:before="280" w:after="120" w:line="276" w:lineRule="auto"/>
      </w:pPr>
      <w:r>
        <w:t>5. Completed Property Sales</w:t>
      </w:r>
    </w:p>
    <w:p>
      <w:pPr>
        <w:spacing w:before="0" w:after="140" w:line="278" w:lineRule="auto"/>
      </w:pPr>
      <w:r>
        <w:t>Completed property sales are generally recognized at a point in time when control of the finished property transfers to the purchaser. This usually occurs on the completion date evidenced by handover documentation, transfer of keys or access credentials, confirmation that the unit is ready for occupation, transfer of significant risks and rewards, and, where applicable, legal title transfer or registration support.</w:t>
      </w:r>
    </w:p>
    <w:p>
      <w:pPr>
        <w:spacing w:before="0" w:after="140" w:line="278" w:lineRule="auto"/>
      </w:pPr>
      <w:r>
        <w:t>Management considers a bundle of transfer-of-control indicators rather than relying on a single legal event. These include the customer's present obligation to pay the remaining consideration, the customer's acceptance of the property subject only to ordinary snagging items, the buyer's ability to direct the use of the property, and the absence of any substantive repurchase rights retained by the company. Where minor punch-list or snagging work remains, revenue may still be recognized if those items are immaterial and do not prevent the customer from obtaining control of the property as promised.</w:t>
      </w:r>
    </w:p>
    <w:p>
      <w:pPr>
        <w:spacing w:before="0" w:after="140" w:line="278" w:lineRule="auto"/>
      </w:pPr>
      <w:r>
        <w:t>If the company provides post-handover services beyond standard warranty obligations, those services are assessed to determine whether they represent a distinct performance obligation. If so, a portion of the transaction price is deferred and recognized as the service is delivered. Ordinary statutory warranties and defect liability obligations that merely assure the customer that the property complies with the contract are treated as provisions or expected cost accruals rather than separate performance obligations, unless the facts support a service-type warranty conclusion.</w:t>
      </w:r>
    </w:p>
    <w:p>
      <w:pPr>
        <w:pStyle w:val="Heading1"/>
        <w:spacing w:before="280" w:after="120" w:line="276" w:lineRule="auto"/>
      </w:pPr>
      <w:r>
        <w:t>6. Development Management Fees</w:t>
      </w:r>
    </w:p>
    <w:p>
      <w:pPr>
        <w:spacing w:before="0" w:after="140" w:line="278" w:lineRule="auto"/>
      </w:pPr>
      <w:r>
        <w:t>Development management arrangements are assessed to identify the services promised, the duration of the mandate, the billing milestones, the basis for variable remuneration, and whether the company acts as principal or agent. Typical services may include feasibility support, design coordination, procurement oversight, contractor management, cost control, reporting to owners or investors, handover supervision, and coordination with regulators and operators.</w:t>
      </w:r>
    </w:p>
    <w:p>
      <w:pPr>
        <w:spacing w:before="0" w:after="140" w:line="278" w:lineRule="auto"/>
      </w:pPr>
      <w:r>
        <w:t>Where the customer simultaneously receives and consumes the benefits of the development management services as Aurelia performs, revenue is recognized over time. Progress may be measured using time elapsed, achievement of contract milestones, or input measures such as labor hours or costs incurred, depending on which measure best depicts the transfer of services. Milestone billings are not automatically treated as the basis of recognition unless the milestone structure appropriately reflects performance delivered.</w:t>
      </w:r>
    </w:p>
    <w:p>
      <w:pPr>
        <w:spacing w:before="0" w:after="140" w:line="278" w:lineRule="auto"/>
      </w:pPr>
      <w:r>
        <w:t>Fixed monthly retainers are recognized over the service period unless evidence indicates a different pattern of transfer. Success fees, incentive fees, or performance-based fees are treated as variable consideration and are recognized only to the extent that it is highly probable that a significant reversal will not occur when the uncertainty is resolved. Finance maintains a separate register of variable fee arrangements requiring senior review at each reporting date.</w:t>
      </w:r>
    </w:p>
    <w:p>
      <w:pPr>
        <w:pStyle w:val="Heading1"/>
        <w:spacing w:before="280" w:after="120" w:line="276" w:lineRule="auto"/>
      </w:pPr>
      <w:r>
        <w:t>7. Joint Venture and Development Participation Revenue</w:t>
      </w:r>
    </w:p>
    <w:p>
      <w:pPr>
        <w:spacing w:before="0" w:after="140" w:line="278" w:lineRule="auto"/>
      </w:pPr>
      <w:r>
        <w:t>Where Aurelia participates in development projects through a joint arrangement, management first determines the legal and accounting form of the arrangement, including whether it is a joint operation, a joint venture, a simple service arrangement, or an investment with separate profit-sharing mechanics. The accounting treatment depends on the rights and obligations created by the contractual structure.</w:t>
      </w:r>
    </w:p>
    <w:p>
      <w:pPr>
        <w:spacing w:before="0" w:after="140" w:line="278" w:lineRule="auto"/>
      </w:pPr>
      <w:r>
        <w:t>If Aurelia earns a defined development fee from a joint venture vehicle or a co-development partner, that fee is assessed under IFRS 15 in the same manner as other service contracts. If, however, the return is based on the company's equity interest in the investee's net results, that return may fall outside IFRS 15 and be recognized through equity-accounted earnings or distribution income in accordance with the relevant standards. Therefore, not all cash receipts from joint venture arrangements are revenue from contracts with customers.</w:t>
      </w:r>
    </w:p>
    <w:p>
      <w:pPr>
        <w:spacing w:before="0" w:after="140" w:line="278" w:lineRule="auto"/>
      </w:pPr>
      <w:r>
        <w:t>Where profit participation fees exist in addition to fixed service fees, the variable portion is recognized only when the related uncertainty has been resolved or sufficiently constrained. Finance coordinates with legal, deal, and investment teams to document the basis for classification and recognition before any amounts are booked to revenue.</w:t>
      </w:r>
    </w:p>
    <w:p>
      <w:pPr>
        <w:pStyle w:val="Heading1"/>
        <w:spacing w:before="280" w:after="120" w:line="276" w:lineRule="auto"/>
      </w:pPr>
      <w:r>
        <w:t>8. Leasing, Rental, and Hospitality-Related Revenue</w:t>
      </w:r>
    </w:p>
    <w:p>
      <w:pPr>
        <w:spacing w:before="0" w:after="140" w:line="278" w:lineRule="auto"/>
      </w:pPr>
      <w:r>
        <w:t>Commercial leasing income, including retail or mixed-use rental streams, is generally recognized on a straight-line basis over the lease term unless another systematic basis better represents the pattern in which benefit is derived from the use of the underlying asset. Rent-free periods, stepped rents, and fixed escalation clauses are taken into account in measuring straight-line rental income, with corresponding lease receivable or deferred income balances as required by the lease accounting framework.</w:t>
      </w:r>
    </w:p>
    <w:p>
      <w:pPr>
        <w:spacing w:before="0" w:after="140" w:line="278" w:lineRule="auto"/>
      </w:pPr>
      <w:r>
        <w:t>Turnover rents, variable lease payments linked to tenant sales, and service recharge arrangements are assessed separately in accordance with the underlying lease and service contract terms. Security deposits are not recognized as revenue when received. Instead, they are recorded as liabilities unless and until applied in accordance with the contract.</w:t>
      </w:r>
    </w:p>
    <w:p>
      <w:pPr>
        <w:spacing w:before="0" w:after="140" w:line="278" w:lineRule="auto"/>
      </w:pPr>
      <w:r>
        <w:t>Hospitality and branded residence income may include license fees, marketing fees, rental pool income, participation in room or operating revenues, and operator reimbursements. Management evaluates whether Aurelia controls the promised service before transfer to the end customer. If the company acts as principal, gross revenue presentation may be appropriate; if it acts as agent arranging services for an operator or resident, net presentation may be required. Each significant branded residence or hospitality agreement is therefore supported by a principal-versus-agent assessment memo.</w:t>
      </w:r>
    </w:p>
    <w:p>
      <w:pPr>
        <w:pStyle w:val="Heading1"/>
        <w:spacing w:before="280" w:after="120" w:line="276" w:lineRule="auto"/>
      </w:pPr>
      <w:r>
        <w:t>9. Variable Consideration, Incentives, and Cancellations</w:t>
      </w:r>
    </w:p>
    <w:p>
      <w:pPr>
        <w:spacing w:before="0" w:after="140" w:line="278" w:lineRule="auto"/>
      </w:pPr>
      <w:r>
        <w:t>The company considers all forms of variable consideration when measuring revenue, including early payment discounts, limited-time marketing incentives, fit-out contributions, referral rebates, broker support, waiver of fees, liquidated damages, and other concessions. Variable consideration is included in the transaction price only to the extent that it is highly probable that a significant reversal in cumulative revenue recognized will not occur when the uncertainty is subsequently resolved.</w:t>
      </w:r>
    </w:p>
    <w:p>
      <w:pPr>
        <w:spacing w:before="0" w:after="140" w:line="278" w:lineRule="auto"/>
      </w:pPr>
      <w:r>
        <w:t>Sales incentives granted to customers are analyzed to determine whether they represent a reduction of the transaction price, a payment to a customer, or consideration for a distinct good or service received by the company. In the absence of a separately identifiable benefit to Aurelia at fair value, such incentives are generally accounted for as a reduction of revenue rather than an operating expense.</w:t>
      </w:r>
    </w:p>
    <w:p>
      <w:pPr>
        <w:spacing w:before="0" w:after="140" w:line="278" w:lineRule="auto"/>
      </w:pPr>
      <w:r>
        <w:t>Customer cancellations are tracked centrally. Where cancellation rights are substantive and exercised, previously recognized balances are reassessed. Deposits forfeited by customers are recognized only when the company has no further obligation to transfer the property or refund the consideration and the legal right to retain the amount is clear. The accounting conclusion is documented with reference to contract terms, legal advice if relevant, and the factual status of the unit's resale or redeployment.</w:t>
      </w:r>
    </w:p>
    <w:p>
      <w:pPr>
        <w:pStyle w:val="Heading1"/>
        <w:spacing w:before="280" w:after="120" w:line="276" w:lineRule="auto"/>
      </w:pPr>
      <w:r>
        <w:t>10. Contract Assets, Receivables, and Contract Liabilities</w:t>
      </w:r>
    </w:p>
    <w:p>
      <w:pPr>
        <w:spacing w:before="0" w:after="140" w:line="278" w:lineRule="auto"/>
      </w:pPr>
      <w:r>
        <w:t>Amounts billed or collected in advance of satisfying a performance obligation are recorded as contract liabilities, customer advances, or deferred revenue depending on the nature of the arrangement and chart of accounts mapping. These balances are released to revenue only when the associated goods or services are transferred in accordance with policy.</w:t>
      </w:r>
    </w:p>
    <w:p>
      <w:pPr>
        <w:spacing w:before="0" w:after="140" w:line="278" w:lineRule="auto"/>
      </w:pPr>
      <w:r>
        <w:t>Where the company has transferred goods or services before it has an unconditional right to payment, the balance is classified as a contract asset. Once the right to payment becomes unconditional other than the passage of time, the amount is reclassified to receivables. Receivables are subject to impairment assessment under the expected credit loss framework where applicable.</w:t>
      </w:r>
    </w:p>
    <w:p>
      <w:pPr>
        <w:spacing w:before="0" w:after="140" w:line="278" w:lineRule="auto"/>
      </w:pPr>
      <w:r>
        <w:t>For off-plan property sales recognized at a point in time, customer installment collections typically accumulate in contract liabilities until handover. For contracts recognized over time, management may recognize either a contract asset or a contract liability depending on the relationship between cumulative revenue recognized and cumulative billings or cash collections. The finance team reconciles contract balances to project-level subledgers at each month-end.</w:t>
      </w:r>
    </w:p>
    <w:p>
      <w:pPr>
        <w:pStyle w:val="Heading1"/>
        <w:spacing w:before="280" w:after="120" w:line="276" w:lineRule="auto"/>
      </w:pPr>
      <w:r>
        <w:t>11. Escrow Accounts and Dubai Regulatory Considerations</w:t>
      </w:r>
    </w:p>
    <w:p>
      <w:pPr>
        <w:spacing w:before="0" w:after="140" w:line="278" w:lineRule="auto"/>
      </w:pPr>
      <w:r>
        <w:t>Dubai real estate developments frequently operate within a regulatory framework requiring customer receipts to be deposited into project-specific escrow accounts, with releases subject to construction progress, certification, and regulatory protocols. These arrangements are important for safeguarding customer funds and governing project financing discipline.</w:t>
      </w:r>
    </w:p>
    <w:p>
      <w:pPr>
        <w:spacing w:before="0" w:after="140" w:line="278" w:lineRule="auto"/>
      </w:pPr>
      <w:r>
        <w:t>From an accounting perspective, the escrow requirement affects cash classification, treasury planning, and the availability of funds, but it does not by itself determine whether revenue has been earned. Revenue is governed by the transfer-of-control analysis under the applicable accounting standard. Nonetheless, the existence of escrow rules can provide corroborative evidence regarding construction progress, enforceable customer rights, and the contractual environment in which revenue is assessed.</w:t>
      </w:r>
    </w:p>
    <w:p>
      <w:pPr>
        <w:spacing w:before="0" w:after="140" w:line="278" w:lineRule="auto"/>
      </w:pPr>
      <w:r>
        <w:t>The finance team monitors escrow-restricted balances separately from unrestricted cash and documents all material releases. Any mismatch between recognized revenue, certified progress, cash releases, and contract liability balances is investigated as part of the month-end close. This discipline helps ensure that regulatory mechanics are understood without conflating cash restrictions with revenue recognition criteria.</w:t>
      </w:r>
    </w:p>
    <w:p>
      <w:pPr>
        <w:pStyle w:val="Heading1"/>
        <w:spacing w:before="280" w:after="120" w:line="276" w:lineRule="auto"/>
      </w:pPr>
      <w:r>
        <w:t>12. Revenue Recognition Controls and Governance</w:t>
      </w:r>
    </w:p>
    <w:p>
      <w:pPr>
        <w:spacing w:before="0" w:after="140" w:line="278" w:lineRule="auto"/>
      </w:pPr>
      <w:r>
        <w:t>Aurelia maintains a layered control framework over revenue recognition. Front-end controls include standardized contract templates, legal review of non-standard clauses, approval matrices for incentives and bespoke payment terms, and master data controls over project, unit, and customer records. Commercial teams may not alter revenue-related accounting assumptions without finance and legal approval.</w:t>
      </w:r>
    </w:p>
    <w:p>
      <w:pPr>
        <w:spacing w:before="0" w:after="140" w:line="278" w:lineRule="auto"/>
      </w:pPr>
      <w:r>
        <w:t>During project execution, construction progress used for accounting judgments is supported by certified cost reports, quantity surveyor updates, project control dashboards, and management challenge sessions. Revenue entries requiring significant judgment are documented in accounting position papers reviewed by the financial controller and, for high-risk matters, the chief financial officer or audit committee delegate.</w:t>
      </w:r>
    </w:p>
    <w:p>
      <w:pPr>
        <w:spacing w:before="0" w:after="140" w:line="278" w:lineRule="auto"/>
      </w:pPr>
      <w:r>
        <w:t>Close controls include contract liability rollforwards, reconciliation of handover logs to recognized revenue, review of manual journals, investigation of unusual margins, comparison of recognized revenue to approved project budgets, and segregation of duties between contract administration, billing, collections, general ledger posting, and financial reporting. Control deficiencies and overrides are escalated and retained in the close file.</w:t>
      </w:r>
    </w:p>
    <w:p>
      <w:pPr>
        <w:spacing w:before="0" w:after="140" w:line="276" w:lineRule="auto"/>
      </w:pPr>
      <w:r>
        <w:rPr>
          <w:b/>
        </w:rPr>
        <w:t xml:space="preserve">Key control owners: </w:t>
      </w:r>
      <w:r>
        <w:t>Commercial, legal, project controls, financial reporting, treasury, and executive management each perform discrete review roles under the monthly close calendar.</w:t>
      </w:r>
    </w:p>
    <w:p>
      <w:pPr>
        <w:pStyle w:val="Heading1"/>
        <w:spacing w:before="280" w:after="120" w:line="276" w:lineRule="auto"/>
      </w:pPr>
      <w:r>
        <w:t>13. Revenue Cut-Off Procedures</w:t>
      </w:r>
    </w:p>
    <w:p>
      <w:pPr>
        <w:spacing w:before="0" w:after="140" w:line="278" w:lineRule="auto"/>
      </w:pPr>
      <w:r>
        <w:t>At each month-end and especially at quarter-end and year-end, the company performs cut-off procedures designed to ensure revenue is recorded in the proper reporting period. Handover events occurring close to period end are reviewed individually, with supporting evidence including possession notices, key handover forms, customer acceptance records, title transfer documentation where available, and confirmation that substantive remaining obligations do not preclude control transfer.</w:t>
      </w:r>
    </w:p>
    <w:p>
      <w:pPr>
        <w:spacing w:before="0" w:after="140" w:line="278" w:lineRule="auto"/>
      </w:pPr>
      <w:r>
        <w:t>For over-time contracts, project progress estimates are frozen as of the reporting date using certified cost information and approved estimate-at-completion schedules. Costs incurred after the reporting date are excluded unless they provide evidence of conditions that already existed at period end. Manual cut-off journals are logged and subjected to secondary review.</w:t>
      </w:r>
    </w:p>
    <w:p>
      <w:pPr>
        <w:spacing w:before="0" w:after="140" w:line="278" w:lineRule="auto"/>
      </w:pPr>
      <w:r>
        <w:t>The company also performs post-close lookback reviews to identify units, service milestones, or credits recognized immediately before period end that reversed shortly thereafter. Such reversals are investigated to assess whether the original cut-off judgment was appropriate and whether any control enhancement is required.</w:t>
      </w:r>
    </w:p>
    <w:p>
      <w:pPr>
        <w:pStyle w:val="Heading1"/>
        <w:spacing w:before="280" w:after="120" w:line="276" w:lineRule="auto"/>
      </w:pPr>
      <w:r>
        <w:t>14. Revenue Recognition Risks and Key Judgments</w:t>
      </w:r>
    </w:p>
    <w:p>
      <w:pPr>
        <w:spacing w:before="0" w:after="140" w:line="278" w:lineRule="auto"/>
      </w:pPr>
      <w:r>
        <w:t>The most significant risks in this area include premature recognition before transfer of control, inappropriate over-time recognition conclusions, inaccurate estimates of cost-to-complete, failure to constrain variable consideration, incorrect principal-versus-agent conclusions, weak cut-off discipline around handovers, and incomplete treatment of cancellations or modifications.</w:t>
      </w:r>
    </w:p>
    <w:p>
      <w:pPr>
        <w:spacing w:before="0" w:after="140" w:line="278" w:lineRule="auto"/>
      </w:pPr>
      <w:r>
        <w:t>To address these risks, management identifies high-risk projects and revenue streams at the start of each reporting cycle. These items receive enhanced technical review and may require legal memoranda, quantity surveyor confirmation, or executive sign-off. Sensitivity analyses are prepared where reasonable changes in assumptions could materially affect recognized revenue or gross margin.</w:t>
      </w:r>
    </w:p>
    <w:p>
      <w:pPr>
        <w:spacing w:before="0" w:after="140" w:line="278" w:lineRule="auto"/>
      </w:pPr>
      <w:r>
        <w:t>Because real estate markets can change rapidly, the company also monitors collectability risk, customer affordability, and external regulatory developments that may affect enforceability or pricing. Where collectability becomes doubtful, management considers whether contract criteria remain satisfied and whether impairment, derecognition, or revised accounting conclusions are required.</w:t>
      </w:r>
    </w:p>
    <w:p>
      <w:pPr>
        <w:pStyle w:val="Heading1"/>
        <w:spacing w:before="280" w:after="120" w:line="276" w:lineRule="auto"/>
      </w:pPr>
      <w:r>
        <w:t>15. Auditor Review Process</w:t>
      </w:r>
    </w:p>
    <w:p>
      <w:pPr>
        <w:spacing w:before="0" w:after="140" w:line="278" w:lineRule="auto"/>
      </w:pPr>
      <w:r>
        <w:t>External auditors typically review the revenue policy framework through a combination of walkthroughs, control testing, substantive sampling, contract inspection, cut-off testing, analytical review, and evaluation of management judgments. Particular attention is given to large handovers near reporting dates, unusual deal structures, modifications, rebates, and any contract populations recognized over time.</w:t>
      </w:r>
    </w:p>
    <w:p>
      <w:pPr>
        <w:spacing w:before="0" w:after="140" w:line="278" w:lineRule="auto"/>
      </w:pPr>
      <w:r>
        <w:t>The internal finance team supports the audit process by maintaining a complete revenue file for each material project or revenue stream. This includes the accounting policy memo, contract summaries, legal analyses, progress certifications, handover evidence, contract balance reconciliations, and management approval records. Exceptions identified during audit are tracked to remediation plans and considered in subsequent policy updates.</w:t>
      </w:r>
    </w:p>
    <w:p>
      <w:pPr>
        <w:spacing w:before="0" w:after="140" w:line="278" w:lineRule="auto"/>
      </w:pPr>
      <w:r>
        <w:t>Audit committee or board-level oversight may be engaged for especially judgmental matters, including novel product types, major branded residence structures, or transactions with related parties. Final accounting positions are documented formally so that stakeholders can understand the basis for recognition, the range of considered alternatives, and the rationale for management's conclusion.</w:t>
      </w:r>
    </w:p>
    <w:p>
      <w:pPr>
        <w:pStyle w:val="Heading1"/>
        <w:spacing w:before="280" w:after="120" w:line="276" w:lineRule="auto"/>
      </w:pPr>
      <w:r>
        <w:t>16. Appendix - Policy Summary Matrix and Required Documentation</w:t>
      </w:r>
    </w:p>
    <w:p>
      <w:pPr>
        <w:spacing w:before="0" w:after="140" w:line="278" w:lineRule="auto"/>
      </w:pPr>
      <w:r>
        <w:t>The appendix below provides a condensed operating matrix summarizing the normal recognition basis for each principal revenue stream and the minimum file documentation expected before revenue is recognized or presented in external reporting. The matrix supports operational consistency but does not override the need for contract-specific analysis where terms differ from standard templates.</w:t>
      </w:r>
    </w:p>
    <w:p>
      <w:pPr>
        <w:spacing w:before="0" w:after="140" w:line="278" w:lineRule="auto"/>
      </w:pPr>
      <w:r>
        <w:t>Finance retains this policy document alongside supporting schedules, sample contract reviews, and month-end close evidence. The policy is refreshed at least annually and sooner if there are significant regulatory, legal, contractual, or business-model changes.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448"/>
            <w:shd w:fill="1F4E78"/>
            <w:tcMar>
              <w:top w:w="110" w:type="dxa"/>
              <w:start w:w="110" w:type="dxa"/>
              <w:bottom w:w="110" w:type="dxa"/>
              <w:end w:w="110" w:type="dxa"/>
            </w:tcMar>
          </w:tcPr>
          <w:p>
            <w:pPr>
              <w:spacing w:before="0" w:after="0" w:line="252" w:lineRule="auto"/>
            </w:pPr>
            <w:r>
              <w:rPr>
                <w:b/>
                <w:color w:val="FFFFFF"/>
              </w:rPr>
              <w:t>Revenue stream</w:t>
            </w:r>
          </w:p>
        </w:tc>
        <w:tc>
          <w:tcPr>
            <w:tcW w:type="dxa" w:w="2448"/>
            <w:shd w:fill="1F4E78"/>
            <w:tcMar>
              <w:top w:w="110" w:type="dxa"/>
              <w:start w:w="110" w:type="dxa"/>
              <w:bottom w:w="110" w:type="dxa"/>
              <w:end w:w="110" w:type="dxa"/>
            </w:tcMar>
          </w:tcPr>
          <w:p>
            <w:pPr>
              <w:spacing w:before="0" w:after="0" w:line="252" w:lineRule="auto"/>
            </w:pPr>
            <w:r>
              <w:rPr>
                <w:b/>
                <w:color w:val="FFFFFF"/>
              </w:rPr>
              <w:t>Normal timing</w:t>
            </w:r>
          </w:p>
        </w:tc>
        <w:tc>
          <w:tcPr>
            <w:tcW w:type="dxa" w:w="2880"/>
            <w:shd w:fill="1F4E78"/>
            <w:tcMar>
              <w:top w:w="110" w:type="dxa"/>
              <w:start w:w="110" w:type="dxa"/>
              <w:bottom w:w="110" w:type="dxa"/>
              <w:end w:w="110" w:type="dxa"/>
            </w:tcMar>
          </w:tcPr>
          <w:p>
            <w:pPr>
              <w:spacing w:before="0" w:after="0" w:line="252" w:lineRule="auto"/>
            </w:pPr>
            <w:r>
              <w:rPr>
                <w:b/>
                <w:color w:val="FFFFFF"/>
              </w:rPr>
              <w:t>Primary standard</w:t>
            </w:r>
          </w:p>
        </w:tc>
        <w:tc>
          <w:tcPr>
            <w:tcW w:type="dxa" w:w="2160"/>
            <w:shd w:fill="1F4E78"/>
            <w:tcMar>
              <w:top w:w="110" w:type="dxa"/>
              <w:start w:w="110" w:type="dxa"/>
              <w:bottom w:w="110" w:type="dxa"/>
              <w:end w:w="110" w:type="dxa"/>
            </w:tcMar>
          </w:tcPr>
          <w:p>
            <w:pPr>
              <w:spacing w:before="0" w:after="0" w:line="252" w:lineRule="auto"/>
            </w:pPr>
            <w:r>
              <w:rPr>
                <w:b/>
                <w:color w:val="FFFFFF"/>
              </w:rPr>
              <w:t>Minimum documentation</w:t>
            </w:r>
          </w:p>
        </w:tc>
      </w:tr>
      <w:tr>
        <w:tc>
          <w:tcPr>
            <w:tcW w:type="dxa" w:w="2448"/>
            <w:tcMar>
              <w:top w:w="115" w:type="dxa"/>
              <w:start w:w="115" w:type="dxa"/>
              <w:bottom w:w="115" w:type="dxa"/>
              <w:end w:w="115" w:type="dxa"/>
            </w:tcMar>
            <w:shd w:fill="F7F9FC"/>
            <w:vAlign w:val="center"/>
          </w:tcPr>
          <w:p>
            <w:pPr>
              <w:spacing w:before="0" w:after="0" w:line="259" w:lineRule="auto"/>
            </w:pPr>
            <w:r>
              <w:t>Off-plan property sales</w:t>
            </w:r>
          </w:p>
        </w:tc>
        <w:tc>
          <w:tcPr>
            <w:tcW w:type="dxa" w:w="2448"/>
            <w:tcMar>
              <w:top w:w="115" w:type="dxa"/>
              <w:start w:w="115" w:type="dxa"/>
              <w:bottom w:w="115" w:type="dxa"/>
              <w:end w:w="115" w:type="dxa"/>
            </w:tcMar>
            <w:shd w:fill="F7F9FC"/>
            <w:vAlign w:val="center"/>
          </w:tcPr>
          <w:p>
            <w:pPr>
              <w:spacing w:before="0" w:after="0" w:line="259" w:lineRule="auto"/>
            </w:pPr>
            <w:r>
              <w:t>Over time only if IFRS 15 criteria are met; otherwise at handover / control transfer</w:t>
            </w:r>
          </w:p>
        </w:tc>
        <w:tc>
          <w:tcPr>
            <w:tcW w:type="dxa" w:w="2448"/>
            <w:tcMar>
              <w:top w:w="115" w:type="dxa"/>
              <w:start w:w="115" w:type="dxa"/>
              <w:bottom w:w="115" w:type="dxa"/>
              <w:end w:w="115" w:type="dxa"/>
            </w:tcMar>
            <w:shd w:fill="F7F9FC"/>
            <w:vAlign w:val="center"/>
          </w:tcPr>
          <w:p>
            <w:pPr>
              <w:spacing w:before="0" w:after="0" w:line="259" w:lineRule="auto"/>
            </w:pPr>
            <w:r>
              <w:t>IFRS 15</w:t>
            </w:r>
          </w:p>
        </w:tc>
        <w:tc>
          <w:tcPr>
            <w:tcW w:type="dxa" w:w="2448"/>
            <w:tcMar>
              <w:top w:w="115" w:type="dxa"/>
              <w:start w:w="115" w:type="dxa"/>
              <w:bottom w:w="115" w:type="dxa"/>
              <w:end w:w="115" w:type="dxa"/>
            </w:tcMar>
            <w:shd w:fill="F7F9FC"/>
            <w:vAlign w:val="center"/>
          </w:tcPr>
          <w:p>
            <w:pPr>
              <w:spacing w:before="0" w:after="0" w:line="259" w:lineRule="auto"/>
            </w:pPr>
            <w:r>
              <w:t>Executed contract, legal assessment, progress support, handover file or contract liability rollforward</w:t>
            </w:r>
          </w:p>
        </w:tc>
      </w:tr>
      <w:tr>
        <w:tc>
          <w:tcPr>
            <w:tcW w:type="dxa" w:w="2448"/>
            <w:tcMar>
              <w:top w:w="115" w:type="dxa"/>
              <w:start w:w="115" w:type="dxa"/>
              <w:bottom w:w="115" w:type="dxa"/>
              <w:end w:w="115" w:type="dxa"/>
            </w:tcMar>
            <w:shd w:fill="EEF3F8"/>
            <w:vAlign w:val="center"/>
          </w:tcPr>
          <w:p>
            <w:pPr>
              <w:spacing w:before="0" w:after="0" w:line="259" w:lineRule="auto"/>
            </w:pPr>
            <w:r>
              <w:t>Completed property sales</w:t>
            </w:r>
          </w:p>
        </w:tc>
        <w:tc>
          <w:tcPr>
            <w:tcW w:type="dxa" w:w="2448"/>
            <w:tcMar>
              <w:top w:w="115" w:type="dxa"/>
              <w:start w:w="115" w:type="dxa"/>
              <w:bottom w:w="115" w:type="dxa"/>
              <w:end w:w="115" w:type="dxa"/>
            </w:tcMar>
            <w:shd w:fill="EEF3F8"/>
            <w:vAlign w:val="center"/>
          </w:tcPr>
          <w:p>
            <w:pPr>
              <w:spacing w:before="0" w:after="0" w:line="259" w:lineRule="auto"/>
            </w:pPr>
            <w:r>
              <w:t>Point in time upon transfer of control</w:t>
            </w:r>
          </w:p>
        </w:tc>
        <w:tc>
          <w:tcPr>
            <w:tcW w:type="dxa" w:w="2448"/>
            <w:tcMar>
              <w:top w:w="115" w:type="dxa"/>
              <w:start w:w="115" w:type="dxa"/>
              <w:bottom w:w="115" w:type="dxa"/>
              <w:end w:w="115" w:type="dxa"/>
            </w:tcMar>
            <w:shd w:fill="EEF3F8"/>
            <w:vAlign w:val="center"/>
          </w:tcPr>
          <w:p>
            <w:pPr>
              <w:spacing w:before="0" w:after="0" w:line="259" w:lineRule="auto"/>
            </w:pPr>
            <w:r>
              <w:t>IFRS 15</w:t>
            </w:r>
          </w:p>
        </w:tc>
        <w:tc>
          <w:tcPr>
            <w:tcW w:type="dxa" w:w="2448"/>
            <w:tcMar>
              <w:top w:w="115" w:type="dxa"/>
              <w:start w:w="115" w:type="dxa"/>
              <w:bottom w:w="115" w:type="dxa"/>
              <w:end w:w="115" w:type="dxa"/>
            </w:tcMar>
            <w:shd w:fill="EEF3F8"/>
            <w:vAlign w:val="center"/>
          </w:tcPr>
          <w:p>
            <w:pPr>
              <w:spacing w:before="0" w:after="0" w:line="259" w:lineRule="auto"/>
            </w:pPr>
            <w:r>
              <w:t>SPA, completion readiness, possession/handover support, settlement file</w:t>
            </w:r>
          </w:p>
        </w:tc>
      </w:tr>
      <w:tr>
        <w:tc>
          <w:tcPr>
            <w:tcW w:type="dxa" w:w="2448"/>
            <w:tcMar>
              <w:top w:w="115" w:type="dxa"/>
              <w:start w:w="115" w:type="dxa"/>
              <w:bottom w:w="115" w:type="dxa"/>
              <w:end w:w="115" w:type="dxa"/>
            </w:tcMar>
            <w:shd w:fill="F7F9FC"/>
            <w:vAlign w:val="center"/>
          </w:tcPr>
          <w:p>
            <w:pPr>
              <w:spacing w:before="0" w:after="0" w:line="259" w:lineRule="auto"/>
            </w:pPr>
            <w:r>
              <w:t>Development management</w:t>
            </w:r>
          </w:p>
        </w:tc>
        <w:tc>
          <w:tcPr>
            <w:tcW w:type="dxa" w:w="2448"/>
            <w:tcMar>
              <w:top w:w="115" w:type="dxa"/>
              <w:start w:w="115" w:type="dxa"/>
              <w:bottom w:w="115" w:type="dxa"/>
              <w:end w:w="115" w:type="dxa"/>
            </w:tcMar>
            <w:shd w:fill="F7F9FC"/>
            <w:vAlign w:val="center"/>
          </w:tcPr>
          <w:p>
            <w:pPr>
              <w:spacing w:before="0" w:after="0" w:line="259" w:lineRule="auto"/>
            </w:pPr>
            <w:r>
              <w:t>Over time as services are rendered</w:t>
            </w:r>
          </w:p>
        </w:tc>
        <w:tc>
          <w:tcPr>
            <w:tcW w:type="dxa" w:w="2448"/>
            <w:tcMar>
              <w:top w:w="115" w:type="dxa"/>
              <w:start w:w="115" w:type="dxa"/>
              <w:bottom w:w="115" w:type="dxa"/>
              <w:end w:w="115" w:type="dxa"/>
            </w:tcMar>
            <w:shd w:fill="F7F9FC"/>
            <w:vAlign w:val="center"/>
          </w:tcPr>
          <w:p>
            <w:pPr>
              <w:spacing w:before="0" w:after="0" w:line="259" w:lineRule="auto"/>
            </w:pPr>
            <w:r>
              <w:t>IFRS 15</w:t>
            </w:r>
          </w:p>
        </w:tc>
        <w:tc>
          <w:tcPr>
            <w:tcW w:type="dxa" w:w="2448"/>
            <w:tcMar>
              <w:top w:w="115" w:type="dxa"/>
              <w:start w:w="115" w:type="dxa"/>
              <w:bottom w:w="115" w:type="dxa"/>
              <w:end w:w="115" w:type="dxa"/>
            </w:tcMar>
            <w:shd w:fill="F7F9FC"/>
            <w:vAlign w:val="center"/>
          </w:tcPr>
          <w:p>
            <w:pPr>
              <w:spacing w:before="0" w:after="0" w:line="259" w:lineRule="auto"/>
            </w:pPr>
            <w:r>
              <w:t>Service contract, milestone evidence, timesheets or progress reports, invoice mapping</w:t>
            </w:r>
          </w:p>
        </w:tc>
      </w:tr>
      <w:tr>
        <w:tc>
          <w:tcPr>
            <w:tcW w:type="dxa" w:w="2448"/>
            <w:tcMar>
              <w:top w:w="115" w:type="dxa"/>
              <w:start w:w="115" w:type="dxa"/>
              <w:bottom w:w="115" w:type="dxa"/>
              <w:end w:w="115" w:type="dxa"/>
            </w:tcMar>
            <w:shd w:fill="EEF3F8"/>
            <w:vAlign w:val="center"/>
          </w:tcPr>
          <w:p>
            <w:pPr>
              <w:spacing w:before="0" w:after="0" w:line="259" w:lineRule="auto"/>
            </w:pPr>
            <w:r>
              <w:t>JV fee income</w:t>
            </w:r>
          </w:p>
        </w:tc>
        <w:tc>
          <w:tcPr>
            <w:tcW w:type="dxa" w:w="2448"/>
            <w:tcMar>
              <w:top w:w="115" w:type="dxa"/>
              <w:start w:w="115" w:type="dxa"/>
              <w:bottom w:w="115" w:type="dxa"/>
              <w:end w:w="115" w:type="dxa"/>
            </w:tcMar>
            <w:shd w:fill="EEF3F8"/>
            <w:vAlign w:val="center"/>
          </w:tcPr>
          <w:p>
            <w:pPr>
              <w:spacing w:before="0" w:after="0" w:line="259" w:lineRule="auto"/>
            </w:pPr>
            <w:r>
              <w:t>Depends on whether fee-based service or investment return</w:t>
            </w:r>
          </w:p>
        </w:tc>
        <w:tc>
          <w:tcPr>
            <w:tcW w:type="dxa" w:w="2448"/>
            <w:tcMar>
              <w:top w:w="115" w:type="dxa"/>
              <w:start w:w="115" w:type="dxa"/>
              <w:bottom w:w="115" w:type="dxa"/>
              <w:end w:w="115" w:type="dxa"/>
            </w:tcMar>
            <w:shd w:fill="EEF3F8"/>
            <w:vAlign w:val="center"/>
          </w:tcPr>
          <w:p>
            <w:pPr>
              <w:spacing w:before="0" w:after="0" w:line="259" w:lineRule="auto"/>
            </w:pPr>
            <w:r>
              <w:t>IFRS 15 / other relevant standards</w:t>
            </w:r>
          </w:p>
        </w:tc>
        <w:tc>
          <w:tcPr>
            <w:tcW w:type="dxa" w:w="2448"/>
            <w:tcMar>
              <w:top w:w="115" w:type="dxa"/>
              <w:start w:w="115" w:type="dxa"/>
              <w:bottom w:w="115" w:type="dxa"/>
              <w:end w:w="115" w:type="dxa"/>
            </w:tcMar>
            <w:shd w:fill="EEF3F8"/>
            <w:vAlign w:val="center"/>
          </w:tcPr>
          <w:p>
            <w:pPr>
              <w:spacing w:before="0" w:after="0" w:line="259" w:lineRule="auto"/>
            </w:pPr>
            <w:r>
              <w:t>JV agreement, fee mechanics memo, classification paper</w:t>
            </w:r>
          </w:p>
        </w:tc>
      </w:tr>
      <w:tr>
        <w:tc>
          <w:tcPr>
            <w:tcW w:type="dxa" w:w="2448"/>
            <w:tcMar>
              <w:top w:w="115" w:type="dxa"/>
              <w:start w:w="115" w:type="dxa"/>
              <w:bottom w:w="115" w:type="dxa"/>
              <w:end w:w="115" w:type="dxa"/>
            </w:tcMar>
            <w:shd w:fill="F7F9FC"/>
            <w:vAlign w:val="center"/>
          </w:tcPr>
          <w:p>
            <w:pPr>
              <w:spacing w:before="0" w:after="0" w:line="259" w:lineRule="auto"/>
            </w:pPr>
            <w:r>
              <w:t>Commercial leasing</w:t>
            </w:r>
          </w:p>
        </w:tc>
        <w:tc>
          <w:tcPr>
            <w:tcW w:type="dxa" w:w="2448"/>
            <w:tcMar>
              <w:top w:w="115" w:type="dxa"/>
              <w:start w:w="115" w:type="dxa"/>
              <w:bottom w:w="115" w:type="dxa"/>
              <w:end w:w="115" w:type="dxa"/>
            </w:tcMar>
            <w:shd w:fill="F7F9FC"/>
            <w:vAlign w:val="center"/>
          </w:tcPr>
          <w:p>
            <w:pPr>
              <w:spacing w:before="0" w:after="0" w:line="259" w:lineRule="auto"/>
            </w:pPr>
            <w:r>
              <w:t>Typically straight-line over lease term</w:t>
            </w:r>
          </w:p>
        </w:tc>
        <w:tc>
          <w:tcPr>
            <w:tcW w:type="dxa" w:w="2448"/>
            <w:tcMar>
              <w:top w:w="115" w:type="dxa"/>
              <w:start w:w="115" w:type="dxa"/>
              <w:bottom w:w="115" w:type="dxa"/>
              <w:end w:w="115" w:type="dxa"/>
            </w:tcMar>
            <w:shd w:fill="F7F9FC"/>
            <w:vAlign w:val="center"/>
          </w:tcPr>
          <w:p>
            <w:pPr>
              <w:spacing w:before="0" w:after="0" w:line="259" w:lineRule="auto"/>
            </w:pPr>
            <w:r>
              <w:t>Lease accounting guidance</w:t>
            </w:r>
          </w:p>
        </w:tc>
        <w:tc>
          <w:tcPr>
            <w:tcW w:type="dxa" w:w="2448"/>
            <w:tcMar>
              <w:top w:w="115" w:type="dxa"/>
              <w:start w:w="115" w:type="dxa"/>
              <w:bottom w:w="115" w:type="dxa"/>
              <w:end w:w="115" w:type="dxa"/>
            </w:tcMar>
            <w:shd w:fill="F7F9FC"/>
            <w:vAlign w:val="center"/>
          </w:tcPr>
          <w:p>
            <w:pPr>
              <w:spacing w:before="0" w:after="0" w:line="259" w:lineRule="auto"/>
            </w:pPr>
            <w:r>
              <w:t>Lease agreement, rent schedule, escalation terms, tenant ledger</w:t>
            </w:r>
          </w:p>
        </w:tc>
      </w:tr>
      <w:tr>
        <w:tc>
          <w:tcPr>
            <w:tcW w:type="dxa" w:w="2448"/>
            <w:tcMar>
              <w:top w:w="115" w:type="dxa"/>
              <w:start w:w="115" w:type="dxa"/>
              <w:bottom w:w="115" w:type="dxa"/>
              <w:end w:w="115" w:type="dxa"/>
            </w:tcMar>
            <w:shd w:fill="EEF3F8"/>
            <w:vAlign w:val="center"/>
          </w:tcPr>
          <w:p>
            <w:pPr>
              <w:spacing w:before="0" w:after="0" w:line="259" w:lineRule="auto"/>
            </w:pPr>
            <w:r>
              <w:t>Hospitality / branded income</w:t>
            </w:r>
          </w:p>
        </w:tc>
        <w:tc>
          <w:tcPr>
            <w:tcW w:type="dxa" w:w="2448"/>
            <w:tcMar>
              <w:top w:w="115" w:type="dxa"/>
              <w:start w:w="115" w:type="dxa"/>
              <w:bottom w:w="115" w:type="dxa"/>
              <w:end w:w="115" w:type="dxa"/>
            </w:tcMar>
            <w:shd w:fill="EEF3F8"/>
            <w:vAlign w:val="center"/>
          </w:tcPr>
          <w:p>
            <w:pPr>
              <w:spacing w:before="0" w:after="0" w:line="259" w:lineRule="auto"/>
            </w:pPr>
            <w:r>
              <w:t>Based on principal-agent and contract analysis</w:t>
            </w:r>
          </w:p>
        </w:tc>
        <w:tc>
          <w:tcPr>
            <w:tcW w:type="dxa" w:w="2448"/>
            <w:tcMar>
              <w:top w:w="115" w:type="dxa"/>
              <w:start w:w="115" w:type="dxa"/>
              <w:bottom w:w="115" w:type="dxa"/>
              <w:end w:w="115" w:type="dxa"/>
            </w:tcMar>
            <w:shd w:fill="EEF3F8"/>
            <w:vAlign w:val="center"/>
          </w:tcPr>
          <w:p>
            <w:pPr>
              <w:spacing w:before="0" w:after="0" w:line="259" w:lineRule="auto"/>
            </w:pPr>
            <w:r>
              <w:t>IFRS 15 / lease guidance as relevant</w:t>
            </w:r>
          </w:p>
        </w:tc>
        <w:tc>
          <w:tcPr>
            <w:tcW w:type="dxa" w:w="2448"/>
            <w:tcMar>
              <w:top w:w="115" w:type="dxa"/>
              <w:start w:w="115" w:type="dxa"/>
              <w:bottom w:w="115" w:type="dxa"/>
              <w:end w:w="115" w:type="dxa"/>
            </w:tcMar>
            <w:shd w:fill="EEF3F8"/>
            <w:vAlign w:val="center"/>
          </w:tcPr>
          <w:p>
            <w:pPr>
              <w:spacing w:before="0" w:after="0" w:line="259" w:lineRule="auto"/>
            </w:pPr>
            <w:r>
              <w:t>Operator agreement, license terms, revenue share mechanics, classification memo</w:t>
            </w:r>
          </w:p>
        </w:tc>
      </w:tr>
    </w:tbl>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3A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3A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3A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3A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Subtle">
    <w:name w:val="Custom Subtle"/>
    <w:basedOn w:val="Normal"/>
    <w:rPr>
      <w:rFonts w:ascii="Aptos" w:hAnsi="Aptos"/>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