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Tax Credits, Tax Incentives, Subsidies, and Government Benefits</w:t>
        <w:br/>
        <w:t>Aurelia Developments LLC</w:t>
        <w:br/>
        <w:t>(Last 3 Fiscal Years)</w:t>
      </w:r>
    </w:p>
    <w:p>
      <w:pPr>
        <w:jc w:val="center"/>
      </w:pPr>
      <w:r>
        <w:rPr>
          <w:i/>
          <w:sz w:val="22"/>
        </w:rPr>
        <w:t>Prepared in USD | Illustrative Big 4–style diligence memorandum</w:t>
      </w:r>
    </w:p>
    <w:p>
      <w:pPr>
        <w:pStyle w:val="SmallNote"/>
        <w:jc w:val="center"/>
      </w:pPr>
      <w:r>
        <w:t>This document is an illustrative diligence-style package based on the provided company profile. It is not an actual filed submission or legal opinion.</w:t>
      </w:r>
    </w:p>
    <w:tbl>
      <w:tblPr>
        <w:tblW w:type="auto" w:w="0"/>
        <w:jc w:val="center"/>
        <w:tblLayout w:type="fixed"/>
        <w:tblLook w:firstColumn="1" w:firstRow="1" w:lastColumn="0" w:lastRow="0" w:noHBand="0" w:noVBand="1" w:val="04A0"/>
      </w:tblPr>
      <w:tblGrid>
        <w:gridCol w:w="4968"/>
        <w:gridCol w:w="4968"/>
      </w:tblGrid>
      <w:tr>
        <w:tc>
          <w:tcPr>
            <w:tcW w:type="dxa" w:w="2880"/>
            <w:shd w:fill="D9E2F3"/>
            <w:tcMar>
              <w:top w:w="80" w:type="dxa"/>
              <w:start w:w="80" w:type="dxa"/>
              <w:bottom w:w="80" w:type="dxa"/>
              <w:end w:w="80" w:type="dxa"/>
            </w:tcMar>
          </w:tcPr>
          <w:p>
            <w:r>
              <w:rPr>
                <w:b/>
              </w:rPr>
              <w:t>Entity</w:t>
            </w:r>
          </w:p>
        </w:tc>
        <w:tc>
          <w:tcPr>
            <w:tcW w:type="dxa" w:w="6480"/>
            <w:shd w:fill="F7F9FC"/>
            <w:tcMar>
              <w:top w:w="80" w:type="dxa"/>
              <w:start w:w="80" w:type="dxa"/>
              <w:bottom w:w="80" w:type="dxa"/>
              <w:end w:w="80" w:type="dxa"/>
            </w:tcMar>
          </w:tcPr>
          <w:p>
            <w:r>
              <w:t>Aurelia Developments LLC</w:t>
            </w:r>
          </w:p>
        </w:tc>
      </w:tr>
      <w:tr>
        <w:tc>
          <w:tcPr>
            <w:tcW w:type="dxa" w:w="2880"/>
            <w:shd w:fill="D9E2F3"/>
            <w:tcMar>
              <w:top w:w="80" w:type="dxa"/>
              <w:start w:w="80" w:type="dxa"/>
              <w:bottom w:w="80" w:type="dxa"/>
              <w:end w:w="80" w:type="dxa"/>
            </w:tcMar>
          </w:tcPr>
          <w:p>
            <w:r>
              <w:rPr>
                <w:b/>
              </w:rPr>
              <w:t>Jurisdiction</w:t>
            </w:r>
          </w:p>
        </w:tc>
        <w:tc>
          <w:tcPr>
            <w:tcW w:type="dxa" w:w="6480"/>
            <w:shd w:fill="F7F9FC"/>
            <w:tcMar>
              <w:top w:w="80" w:type="dxa"/>
              <w:start w:w="80" w:type="dxa"/>
              <w:bottom w:w="80" w:type="dxa"/>
              <w:end w:w="80" w:type="dxa"/>
            </w:tcMar>
          </w:tcPr>
          <w:p>
            <w:r>
              <w:t>Dubai, United Arab Emirates</w:t>
            </w:r>
          </w:p>
        </w:tc>
      </w:tr>
      <w:tr>
        <w:tc>
          <w:tcPr>
            <w:tcW w:type="dxa" w:w="2880"/>
            <w:shd w:fill="D9E2F3"/>
            <w:tcMar>
              <w:top w:w="80" w:type="dxa"/>
              <w:start w:w="80" w:type="dxa"/>
              <w:bottom w:w="80" w:type="dxa"/>
              <w:end w:w="80" w:type="dxa"/>
            </w:tcMar>
          </w:tcPr>
          <w:p>
            <w:r>
              <w:rPr>
                <w:b/>
              </w:rPr>
              <w:t>Coverage period</w:t>
            </w:r>
          </w:p>
        </w:tc>
        <w:tc>
          <w:tcPr>
            <w:tcW w:type="dxa" w:w="6480"/>
            <w:shd w:fill="F7F9FC"/>
            <w:tcMar>
              <w:top w:w="80" w:type="dxa"/>
              <w:start w:w="80" w:type="dxa"/>
              <w:bottom w:w="80" w:type="dxa"/>
              <w:end w:w="80" w:type="dxa"/>
            </w:tcMar>
          </w:tcPr>
          <w:p>
            <w:r>
              <w:t>FY2021, FY2022, FY2023</w:t>
            </w:r>
          </w:p>
        </w:tc>
      </w:tr>
      <w:tr>
        <w:tc>
          <w:tcPr>
            <w:tcW w:type="dxa" w:w="2880"/>
            <w:shd w:fill="D9E2F3"/>
            <w:tcMar>
              <w:top w:w="80" w:type="dxa"/>
              <w:start w:w="80" w:type="dxa"/>
              <w:bottom w:w="80" w:type="dxa"/>
              <w:end w:w="80" w:type="dxa"/>
            </w:tcMar>
          </w:tcPr>
          <w:p>
            <w:r>
              <w:rPr>
                <w:b/>
              </w:rPr>
              <w:t>Primary categories covered</w:t>
            </w:r>
          </w:p>
        </w:tc>
        <w:tc>
          <w:tcPr>
            <w:tcW w:type="dxa" w:w="6480"/>
            <w:shd w:fill="F7F9FC"/>
            <w:tcMar>
              <w:top w:w="80" w:type="dxa"/>
              <w:start w:w="80" w:type="dxa"/>
              <w:bottom w:w="80" w:type="dxa"/>
              <w:end w:w="80" w:type="dxa"/>
            </w:tcMar>
          </w:tcPr>
          <w:p>
            <w:r>
              <w:t>VAT recoveries, development incentives, fee waivers, infrastructure support, and other government benefits</w:t>
            </w:r>
          </w:p>
        </w:tc>
      </w:tr>
      <w:tr>
        <w:tc>
          <w:tcPr>
            <w:tcW w:type="dxa" w:w="2880"/>
            <w:shd w:fill="D9E2F3"/>
            <w:tcMar>
              <w:top w:w="80" w:type="dxa"/>
              <w:start w:w="80" w:type="dxa"/>
              <w:bottom w:w="80" w:type="dxa"/>
              <w:end w:w="80" w:type="dxa"/>
            </w:tcMar>
          </w:tcPr>
          <w:p>
            <w:r>
              <w:rPr>
                <w:b/>
              </w:rPr>
              <w:t>Presentation currency</w:t>
            </w:r>
          </w:p>
        </w:tc>
        <w:tc>
          <w:tcPr>
            <w:tcW w:type="dxa" w:w="6480"/>
            <w:shd w:fill="F7F9FC"/>
            <w:tcMar>
              <w:top w:w="80" w:type="dxa"/>
              <w:start w:w="80" w:type="dxa"/>
              <w:bottom w:w="80" w:type="dxa"/>
              <w:end w:w="80" w:type="dxa"/>
            </w:tcMar>
          </w:tcPr>
          <w:p>
            <w:r>
              <w:t>United States Dollars (USD)</w:t>
            </w:r>
          </w:p>
        </w:tc>
      </w:tr>
    </w:tbl>
    <w:p>
      <w:r>
        <w:br w:type="page"/>
      </w:r>
    </w:p>
    <w:p>
      <w:pPr>
        <w:pStyle w:val="Heading1"/>
      </w:pPr>
      <w:r>
        <w:t>1. Executive Summary</w:t>
      </w:r>
    </w:p>
    <w:p>
      <w:pPr/>
      <w:r>
        <w:t>Aurelia Developments LLC has historically benefited from a range of tax and quasi-tax relief measures that are common in large-scale real estate development environments in Dubai and the broader United Arab Emirates. For a developer operating through project SPVs, mixed-use structures, and branded hospitality arrangements, these benefits may arise through direct tax recovery mechanisms, fee exemptions, permit rebates, infrastructure cost support, utility connection subsidies, or zone-specific development incentives. Although the UAE tax environment differs materially from higher-tax jurisdictions with broad income-tax credit regimes, investors and auditors still require careful documentation because these benefits can materially affect project IRRs, cash conversion, recoverable balances, and the presentation of operating performance.</w:t>
      </w:r>
    </w:p>
    <w:p>
      <w:pPr/>
      <w:r>
        <w:t>This package has been prepared in a tax diligence format to summarize the principal benefits claimed over FY2021 through FY2023. The focus is on the economic effect of the benefit, the legal or program basis for the claim, the manner in which management accounted for the item, and the degree of certainty attached to realization. For a private equity buyer, the key questions are whether the benefits are recurring or non-recurring, whether they are transferable to a post-deal structure, whether any clawback or performance conditions remain outstanding, and whether the recorded values are fully supported by correspondence, approvals, or filing records.</w:t>
      </w:r>
    </w:p>
    <w:p>
      <w:pPr/>
      <w:r>
        <w:t>Based on the illustrative assumptions used in this package, Aurelia’s principal benefit categories during the review period were: (i) VAT recoveries or refunds associated with construction and development inputs; (ii) targeted development fee waivers or rebates linked to infrastructure or project activation programs; (iii) government-related infrastructure contributions or support offsets; and (iv) administrative, registration, or permit-related incentives granted to accelerate development activity. The aggregate illustrative benefit value over the three-year period is presented in the workbook schedules and should be interpreted as management’s diligence summary rather than as audited statutory disclosure.</w:t>
      </w:r>
    </w:p>
    <w:p>
      <w:pPr>
        <w:pStyle w:val="Heading1"/>
      </w:pPr>
      <w:r>
        <w:t>2. Overview of Applicable Framework</w:t>
      </w:r>
    </w:p>
    <w:p>
      <w:pPr/>
      <w:r>
        <w:t>The analysis of tax credits, incentives, subsidies, and similar government benefits sits at the intersection of tax compliance, financial reporting, and government assistance accounting. For income-tax-related items, the relevant framework may arise under local tax law and IAS 12, while grants and non-tax incentives are often considered in the context of IAS 20, Accounting for Government Grants and Disclosure of Government Assistance. Indirect tax recoveries, such as VAT refunds, are generally not ‘grants’ in substance but rather recoveries of amounts receivable from the tax authority where the statutory conditions for input tax recovery have been met.</w:t>
      </w:r>
    </w:p>
    <w:p>
      <w:pPr/>
      <w:r>
        <w:t>In the UAE context, a developer’s benefit profile may be structurally different from that of a corporation operating in a high direct-tax jurisdiction. During the review period, the more significant economic benefits are likely to have arisen from VAT recoverability, fee reductions, infrastructure support, and development-promotion measures rather than from conventional corporate income tax credits. Nonetheless, international investors still expect a disciplined framework that explains which items are statutory recoveries, which are discretionary government support arrangements, which are fee waivers, and how each category is measured and recognized.</w:t>
      </w:r>
    </w:p>
    <w:p>
      <w:pPr/>
      <w:r>
        <w:t>For diligence purposes, the technical accounting analysis should answer four questions for each benefit claimed: first, what is the legal basis for the benefit; second, when does entitlement arise; third, how is the benefit measured and presented in the financial statements; and fourth, what ongoing conditions, milestones, or clawback provisions could affect realization. The schedules attached to this memorandum are designed to organize the benefits using that framework.</w:t>
      </w:r>
    </w:p>
    <w:p>
      <w:pPr>
        <w:pStyle w:val="Heading1"/>
      </w:pPr>
      <w:r>
        <w:t>3. Overview of Incentive and Benefit Categories</w:t>
      </w:r>
    </w:p>
    <w:p>
      <w:pPr/>
      <w:r>
        <w:t>The company’s incentive profile over the last three fiscal years can be grouped into four broad categories. The first category is VAT recovery, which includes input tax recoveries or refund claims associated with taxable development activity, contractor payments, consultant costs, and other project inputs. The second category is development incentives, which includes project-support arrangements such as infrastructure contributions, zone-based support, or cost sharing mechanisms that reduce the net outlay required for project delivery. The third category is fee-based relief, such as permit fee rebates, registration concessions, or utility connection support. The fourth category is other government benefits, including administrative incentives, training or localization support, and selected compliance-related relief measures.</w:t>
      </w:r>
    </w:p>
    <w:p>
      <w:pPr/>
      <w:r>
        <w:t>Not all items within this package are ‘tax credits’ in the narrow sense. Several are fee or cost relief items that matter economically in the same way a tax credit would matter to an investor. Because private equity diligence focuses on enterprise cash flows and sustainable earnings rather than formal labels alone, these items are presented together in one integrated package. That approach mirrors market practice in transaction services where tax teams often work alongside accounting and operational diligence teams to identify all material government-linked benefits influencing project economics.</w:t>
      </w:r>
    </w:p>
    <w:p>
      <w:pPr>
        <w:pStyle w:val="Heading1"/>
      </w:pPr>
      <w:r>
        <w:t>4. Detailed Benefit Narratives</w:t>
      </w:r>
    </w:p>
    <w:p>
      <w:pPr/>
      <w:r>
        <w:t>The largest single category of benefit in this package is VAT recovery on construction and development inputs. In a real estate development context, recoverable VAT may arise on main contractor invoices, design and engineering services, legal and professional fees, project marketing spend, and certain infrastructure expenditures, subject to the nature of the underlying supply and the recoverability rules applicable to the relevant development. For investors, the principal diligence issues are whether the input VAT claims are fully supported by valid tax invoices, whether mixed-use allocations are reasonable, and whether there are delays or disputes that could impair recovery.</w:t>
      </w:r>
    </w:p>
    <w:p>
      <w:pPr/>
      <w:r>
        <w:t>A second category of benefit arises from infrastructure development support and related government-backed programs. These can take the form of rebates, cost-sharing grants, or offset mechanisms linked to utilities, roads, or enabling works required to activate a project. Such benefits are important because they reduce the effective capital burden of development without necessarily passing through the income statement in a simple one-line format. Instead, they may reduce the carrying cost of assets, be recognized as deferred income, or offset specific classes of expenditure depending on the legal form and accounting treatment.</w:t>
      </w:r>
    </w:p>
    <w:p>
      <w:pPr/>
      <w:r>
        <w:t>A third category includes fee waivers, permit concessions, and registration support. Even where individually smaller than VAT recoveries, these items can be meaningful in aggregate across multiple project phases and SPVs. They also tend to be highly sensitive to documentation quality because entitlement often depends on approval letters, program criteria, or evidence that milestones were achieved within a defined window.</w:t>
      </w:r>
    </w:p>
    <w:p>
      <w:pPr/>
      <w:r>
        <w:t>Finally, the company has monitored a small number of administrative or program-linked incentives that are economically valuable but may be at greater risk of reversal if conditions are not met. These can include conditional occupancy or activation support, targeted investment promotion relief, or localized reimbursement programs. Such items require explicit tracking because a diligence buyer will want to know whether the benefit has been fully earned or remains contingent on future performance.</w:t>
      </w:r>
    </w:p>
    <w:p>
      <w:pPr>
        <w:pStyle w:val="Heading1"/>
      </w:pPr>
      <w:r>
        <w:t>5. Accounting and Recognition Treatment</w:t>
      </w:r>
    </w:p>
    <w:p>
      <w:pPr/>
      <w:r>
        <w:t>Management’s accounting treatment of the benefits should distinguish carefully among indirect tax recoveries, government grants, fee waivers, and cost reimbursements. VAT recoveries are ordinarily recognized as receivables or reductions of input tax balances once the entity has a valid recoverable claim under the applicable regime. They are not typically presented as grant income. By contrast, a government subsidy tied to infrastructure or project activation may be recognized under a grant model either as deferred income recognized over the relevant periods or as a reduction to the carrying amount of related assets or costs, depending on the policy election and the substance of the support.</w:t>
      </w:r>
    </w:p>
    <w:p>
      <w:pPr/>
      <w:r>
        <w:t>Fee waivers and permit rebates are generally reflected as reductions of the underlying expense or asset cost rather than as stand-alone operating income, unless the legal and accounting facts support a different presentation. Diligence teams should therefore reconcile the schedules in this package to both the general ledger and the project cost reports to determine where the economic benefit ultimately resides within EBITDA, gross margin, or inventory carrying values.</w:t>
      </w:r>
    </w:p>
    <w:p>
      <w:pPr/>
      <w:r>
        <w:t>A disciplined accounting memo should also address whether any benefit remains contingent at period end. If the company has not yet met the relevant milestones, conditions precedent, or approval requirements, recognition may not be appropriate. This is especially important for development incentives with clawback or completion obligations.</w:t>
      </w:r>
    </w:p>
    <w:p>
      <w:pPr>
        <w:pStyle w:val="Heading1"/>
      </w:pPr>
      <w:r>
        <w:t>6. Financial Statement and Cash Flow Impact</w:t>
      </w:r>
    </w:p>
    <w:p>
      <w:pPr/>
      <w:r>
        <w:t>From a cash flow perspective, government-linked benefits can be significant drivers of project viability and funding efficiency. VAT recoveries directly influence working capital and liquidity. Infrastructure support and fee waivers reduce near-term development cash outflows. Permit or registration concessions can affect the cost base of land and project set-up. Because these benefits may be realized at different stages of the project lifecycle, the diligence analysis should map each item to the period in which cash benefit was actually received or reliably accrued.</w:t>
      </w:r>
    </w:p>
    <w:p>
      <w:pPr/>
      <w:r>
        <w:t>From a P&amp;L and balance sheet perspective, the location of the benefit can materially affect normalized financial analysis. A VAT recovery receivable supports current assets. A grant treated as deferred income affects liabilities and future earnings recognition. A permit fee waiver capitalized against inventory changes the future cost of sales profile. Investors therefore need more than a list of benefits; they need clarity on where each item sits in the financial statements and whether the accounting treatment is consistent across years and entities.</w:t>
      </w:r>
    </w:p>
    <w:p>
      <w:pPr>
        <w:pStyle w:val="Heading1"/>
      </w:pPr>
      <w:r>
        <w:t>7. Conditions, Compliance, and Clawback Risk</w:t>
      </w:r>
    </w:p>
    <w:p>
      <w:pPr/>
      <w:r>
        <w:t>Many development-related incentives are conditional. Conditions may relate to commencement dates, infrastructure completion milestones, occupancy thresholds, investment size, local content requirements, or continued compliance with development approvals. Where conditions exist, the company should maintain a central compliance tracker and periodic management certification that the requirements have been met or remain on track.</w:t>
      </w:r>
    </w:p>
    <w:p>
      <w:pPr/>
      <w:r>
        <w:t>In diligence, clawback risk is a core concern. A buyer will want to know whether any previously recognized benefit could be reversed if projects are delayed, incentives are challenged, or support program criteria are not fully satisfied. Accordingly, the workbook includes a sheet focused on key conditions, status, and residual risk factors.</w:t>
      </w:r>
    </w:p>
    <w:p>
      <w:pPr>
        <w:pStyle w:val="Heading1"/>
      </w:pPr>
      <w:r>
        <w:t>8. Internal Controls and Approval Process</w:t>
      </w:r>
    </w:p>
    <w:p>
      <w:pPr/>
      <w:r>
        <w:t>A robust internal framework for managing tax incentives and government benefits should involve tax, controllership, treasury, development finance, and legal functions. Claims should be supported by formal application records, tax invoices, authority correspondence, and project-level reconciliations. Recognition decisions should be reviewed by finance leadership and, where judgment is significant, external tax or accounting advisors.</w:t>
      </w:r>
    </w:p>
    <w:p>
      <w:pPr/>
      <w:r>
        <w:t>Because incentives can arise at SPV level while the economic oversight sits at group level, entity-by-entity tracking is essential. The company should maintain a rolling register that captures each benefit, legal basis, amount claimed, amount received, ledger treatment, approval date, and any outstanding conditions. This is one of the most useful diligence controls because it provides a single source of truth for tax teams, auditors, and transaction advisors.</w:t>
      </w:r>
    </w:p>
    <w:p>
      <w:pPr>
        <w:pStyle w:val="Heading1"/>
      </w:pPr>
      <w:r>
        <w:t>9. Risk Assessment</w:t>
      </w:r>
    </w:p>
    <w:p>
      <w:pPr/>
      <w:r>
        <w:t>The principal diligence risks associated with incentive claims include unsupported VAT recovery positions, inconsistent allocation of recoverable VAT in mixed-use projects, premature recognition of conditional grants, incomplete evidence of fee waiver approvals, and insufficient tracking of clawback conditions. Additional risk may arise where the benefit is embedded in project forecasts but has not yet been formally approved or where a buyer expects the benefit to continue post-acquisition without confirming transferability or continued eligibility.</w:t>
      </w:r>
    </w:p>
    <w:p>
      <w:pPr/>
      <w:r>
        <w:t>Overall, the illustrative profile reflected in the attached schedules suggests manageable but meaningful diligence risk. The most sensitive items are not necessarily the largest items in absolute value; rather, they are the items where entitlement depends on technical documentation or future milestones. Those items should be elevated for focused diligence Q&amp;A and, where appropriate, specific contractual protections.</w:t>
      </w:r>
    </w:p>
    <w:p>
      <w:pPr>
        <w:pStyle w:val="Heading1"/>
      </w:pPr>
      <w:r>
        <w:t>10. Auditor and Advisor Review</w:t>
      </w:r>
    </w:p>
    <w:p>
      <w:pPr/>
      <w:r>
        <w:t>External auditors and tax advisors typically review incentive claims through a combination of contract inspection, authority correspondence review, invoice testing, cash receipt tracing, grant agreement analysis, and assessment of accounting policy application. For VAT recoveries, the review focuses on recoverability support, invoice validity, and return-to-ledger reconciliation. For grants or subsidies, the review focuses on legal entitlement, compliance with conditions, and consistency of financial statement presentation.</w:t>
      </w:r>
    </w:p>
    <w:p>
      <w:pPr/>
      <w:r>
        <w:t>A diligence-ready file should therefore contain not only the schedules but also the underlying support matrix: claim forms, tax returns, correspondence, approval letters, receipts, general ledger references, and management sign-offs. This package is structured to mirror the index such a data-room file would ordinarily follow.</w:t>
      </w:r>
    </w:p>
    <w:p>
      <w:pPr>
        <w:pStyle w:val="Heading1"/>
      </w:pPr>
      <w:r>
        <w:t>Appendix A. Three-Year Illustrative Benefit Snapshot</w:t>
      </w:r>
    </w:p>
    <w:p>
      <w:pPr/>
      <w:r>
        <w:t>The supporting Excel workbook presents the quantified schedules for each benefit category and should be read together with this memorandum. The numbers are shown in USD to support investor review and are intended to illustrate the style and depth of a tax incentive diligence package for a Dubai developer.</w:t>
      </w:r>
    </w:p>
    <w:p>
      <w:pPr>
        <w:pStyle w:val="Heading2"/>
      </w:pPr>
      <w:r>
        <w:t>Illustrative aggregate benefit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Mar>
              <w:top w:w="80" w:type="dxa"/>
              <w:start w:w="80" w:type="dxa"/>
              <w:bottom w:w="80" w:type="dxa"/>
              <w:end w:w="80" w:type="dxa"/>
            </w:tcMar>
          </w:tcPr>
          <w:p>
            <w:r>
              <w:rPr>
                <w:b/>
              </w:rPr>
              <w:t>Benefit Category</w:t>
            </w:r>
          </w:p>
        </w:tc>
        <w:tc>
          <w:tcPr>
            <w:tcW w:type="dxa" w:w="1987"/>
            <w:shd w:fill="D9EAF7"/>
            <w:tcMar>
              <w:top w:w="80" w:type="dxa"/>
              <w:start w:w="80" w:type="dxa"/>
              <w:bottom w:w="80" w:type="dxa"/>
              <w:end w:w="80" w:type="dxa"/>
            </w:tcMar>
          </w:tcPr>
          <w:p>
            <w:r>
              <w:rPr>
                <w:b/>
              </w:rPr>
              <w:t>FY2021 (USD m)</w:t>
            </w:r>
          </w:p>
        </w:tc>
        <w:tc>
          <w:tcPr>
            <w:tcW w:type="dxa" w:w="1987"/>
            <w:shd w:fill="D9EAF7"/>
            <w:tcMar>
              <w:top w:w="80" w:type="dxa"/>
              <w:start w:w="80" w:type="dxa"/>
              <w:bottom w:w="80" w:type="dxa"/>
              <w:end w:w="80" w:type="dxa"/>
            </w:tcMar>
          </w:tcPr>
          <w:p>
            <w:r>
              <w:rPr>
                <w:b/>
              </w:rPr>
              <w:t>FY2022 (USD m)</w:t>
            </w:r>
          </w:p>
        </w:tc>
        <w:tc>
          <w:tcPr>
            <w:tcW w:type="dxa" w:w="1987"/>
            <w:shd w:fill="D9EAF7"/>
            <w:tcMar>
              <w:top w:w="80" w:type="dxa"/>
              <w:start w:w="80" w:type="dxa"/>
              <w:bottom w:w="80" w:type="dxa"/>
              <w:end w:w="80" w:type="dxa"/>
            </w:tcMar>
          </w:tcPr>
          <w:p>
            <w:r>
              <w:rPr>
                <w:b/>
              </w:rPr>
              <w:t>FY2023 (USD m)</w:t>
            </w:r>
          </w:p>
        </w:tc>
        <w:tc>
          <w:tcPr>
            <w:tcW w:type="dxa" w:w="1987"/>
            <w:shd w:fill="D9EAF7"/>
            <w:tcMar>
              <w:top w:w="80" w:type="dxa"/>
              <w:start w:w="80" w:type="dxa"/>
              <w:bottom w:w="80" w:type="dxa"/>
              <w:end w:w="80" w:type="dxa"/>
            </w:tcMar>
          </w:tcPr>
          <w:p>
            <w:r>
              <w:rPr>
                <w:b/>
              </w:rPr>
              <w:t>Primary Character</w:t>
            </w:r>
          </w:p>
        </w:tc>
      </w:tr>
      <w:tr>
        <w:tc>
          <w:tcPr>
            <w:tcW w:type="dxa" w:w="1987"/>
            <w:tcMar>
              <w:top w:w="80" w:type="dxa"/>
              <w:start w:w="80" w:type="dxa"/>
              <w:bottom w:w="80" w:type="dxa"/>
              <w:end w:w="80" w:type="dxa"/>
            </w:tcMar>
          </w:tcPr>
          <w:p>
            <w:r>
              <w:t>VAT recoveries / refunds</w:t>
            </w:r>
          </w:p>
        </w:tc>
        <w:tc>
          <w:tcPr>
            <w:tcW w:type="dxa" w:w="1987"/>
            <w:tcMar>
              <w:top w:w="80" w:type="dxa"/>
              <w:start w:w="80" w:type="dxa"/>
              <w:bottom w:w="80" w:type="dxa"/>
              <w:end w:w="80" w:type="dxa"/>
            </w:tcMar>
          </w:tcPr>
          <w:p>
            <w:pPr>
              <w:jc w:val="right"/>
            </w:pPr>
            <w:r>
              <w:t>6.8</w:t>
            </w:r>
          </w:p>
        </w:tc>
        <w:tc>
          <w:tcPr>
            <w:tcW w:type="dxa" w:w="1987"/>
            <w:tcMar>
              <w:top w:w="80" w:type="dxa"/>
              <w:start w:w="80" w:type="dxa"/>
              <w:bottom w:w="80" w:type="dxa"/>
              <w:end w:w="80" w:type="dxa"/>
            </w:tcMar>
          </w:tcPr>
          <w:p>
            <w:pPr>
              <w:jc w:val="right"/>
            </w:pPr>
            <w:r>
              <w:t>8.9</w:t>
            </w:r>
          </w:p>
        </w:tc>
        <w:tc>
          <w:tcPr>
            <w:tcW w:type="dxa" w:w="1987"/>
            <w:tcMar>
              <w:top w:w="80" w:type="dxa"/>
              <w:start w:w="80" w:type="dxa"/>
              <w:bottom w:w="80" w:type="dxa"/>
              <w:end w:w="80" w:type="dxa"/>
            </w:tcMar>
          </w:tcPr>
          <w:p>
            <w:pPr>
              <w:jc w:val="right"/>
            </w:pPr>
            <w:r>
              <w:t>11.6</w:t>
            </w:r>
          </w:p>
        </w:tc>
        <w:tc>
          <w:tcPr>
            <w:tcW w:type="dxa" w:w="1987"/>
            <w:tcMar>
              <w:top w:w="80" w:type="dxa"/>
              <w:start w:w="80" w:type="dxa"/>
              <w:bottom w:w="80" w:type="dxa"/>
              <w:end w:w="80" w:type="dxa"/>
            </w:tcMar>
          </w:tcPr>
          <w:p>
            <w:r>
              <w:t>Indirect tax recovery</w:t>
            </w:r>
          </w:p>
        </w:tc>
      </w:tr>
      <w:tr>
        <w:tc>
          <w:tcPr>
            <w:tcW w:type="dxa" w:w="1987"/>
            <w:tcMar>
              <w:top w:w="80" w:type="dxa"/>
              <w:start w:w="80" w:type="dxa"/>
              <w:bottom w:w="80" w:type="dxa"/>
              <w:end w:w="80" w:type="dxa"/>
            </w:tcMar>
          </w:tcPr>
          <w:p>
            <w:r>
              <w:t>Development incentives / subsidies</w:t>
            </w:r>
          </w:p>
        </w:tc>
        <w:tc>
          <w:tcPr>
            <w:tcW w:type="dxa" w:w="1987"/>
            <w:tcMar>
              <w:top w:w="80" w:type="dxa"/>
              <w:start w:w="80" w:type="dxa"/>
              <w:bottom w:w="80" w:type="dxa"/>
              <w:end w:w="80" w:type="dxa"/>
            </w:tcMar>
          </w:tcPr>
          <w:p>
            <w:pPr>
              <w:jc w:val="right"/>
            </w:pPr>
            <w:r>
              <w:t>2.4</w:t>
            </w:r>
          </w:p>
        </w:tc>
        <w:tc>
          <w:tcPr>
            <w:tcW w:type="dxa" w:w="1987"/>
            <w:tcMar>
              <w:top w:w="80" w:type="dxa"/>
              <w:start w:w="80" w:type="dxa"/>
              <w:bottom w:w="80" w:type="dxa"/>
              <w:end w:w="80" w:type="dxa"/>
            </w:tcMar>
          </w:tcPr>
          <w:p>
            <w:pPr>
              <w:jc w:val="right"/>
            </w:pPr>
            <w:r>
              <w:t>3.1</w:t>
            </w:r>
          </w:p>
        </w:tc>
        <w:tc>
          <w:tcPr>
            <w:tcW w:type="dxa" w:w="1987"/>
            <w:tcMar>
              <w:top w:w="80" w:type="dxa"/>
              <w:start w:w="80" w:type="dxa"/>
              <w:bottom w:w="80" w:type="dxa"/>
              <w:end w:w="80" w:type="dxa"/>
            </w:tcMar>
          </w:tcPr>
          <w:p>
            <w:pPr>
              <w:jc w:val="right"/>
            </w:pPr>
            <w:r>
              <w:t>4.2</w:t>
            </w:r>
          </w:p>
        </w:tc>
        <w:tc>
          <w:tcPr>
            <w:tcW w:type="dxa" w:w="1987"/>
            <w:tcMar>
              <w:top w:w="80" w:type="dxa"/>
              <w:start w:w="80" w:type="dxa"/>
              <w:bottom w:w="80" w:type="dxa"/>
              <w:end w:w="80" w:type="dxa"/>
            </w:tcMar>
          </w:tcPr>
          <w:p>
            <w:r>
              <w:t>Government support / grant-like</w:t>
            </w:r>
          </w:p>
        </w:tc>
      </w:tr>
      <w:tr>
        <w:tc>
          <w:tcPr>
            <w:tcW w:type="dxa" w:w="1987"/>
            <w:tcMar>
              <w:top w:w="80" w:type="dxa"/>
              <w:start w:w="80" w:type="dxa"/>
              <w:bottom w:w="80" w:type="dxa"/>
              <w:end w:w="80" w:type="dxa"/>
            </w:tcMar>
          </w:tcPr>
          <w:p>
            <w:r>
              <w:t>Fee waivers / permit rebates</w:t>
            </w:r>
          </w:p>
        </w:tc>
        <w:tc>
          <w:tcPr>
            <w:tcW w:type="dxa" w:w="1987"/>
            <w:tcMar>
              <w:top w:w="80" w:type="dxa"/>
              <w:start w:w="80" w:type="dxa"/>
              <w:bottom w:w="80" w:type="dxa"/>
              <w:end w:w="80" w:type="dxa"/>
            </w:tcMar>
          </w:tcPr>
          <w:p>
            <w:pPr>
              <w:jc w:val="right"/>
            </w:pPr>
            <w:r>
              <w:t>1.2</w:t>
            </w:r>
          </w:p>
        </w:tc>
        <w:tc>
          <w:tcPr>
            <w:tcW w:type="dxa" w:w="1987"/>
            <w:tcMar>
              <w:top w:w="80" w:type="dxa"/>
              <w:start w:w="80" w:type="dxa"/>
              <w:bottom w:w="80" w:type="dxa"/>
              <w:end w:w="80" w:type="dxa"/>
            </w:tcMar>
          </w:tcPr>
          <w:p>
            <w:pPr>
              <w:jc w:val="right"/>
            </w:pPr>
            <w:r>
              <w:t>1.8</w:t>
            </w:r>
          </w:p>
        </w:tc>
        <w:tc>
          <w:tcPr>
            <w:tcW w:type="dxa" w:w="1987"/>
            <w:tcMar>
              <w:top w:w="80" w:type="dxa"/>
              <w:start w:w="80" w:type="dxa"/>
              <w:bottom w:w="80" w:type="dxa"/>
              <w:end w:w="80" w:type="dxa"/>
            </w:tcMar>
          </w:tcPr>
          <w:p>
            <w:pPr>
              <w:jc w:val="right"/>
            </w:pPr>
            <w:r>
              <w:t>2.6</w:t>
            </w:r>
          </w:p>
        </w:tc>
        <w:tc>
          <w:tcPr>
            <w:tcW w:type="dxa" w:w="1987"/>
            <w:tcMar>
              <w:top w:w="80" w:type="dxa"/>
              <w:start w:w="80" w:type="dxa"/>
              <w:bottom w:w="80" w:type="dxa"/>
              <w:end w:w="80" w:type="dxa"/>
            </w:tcMar>
          </w:tcPr>
          <w:p>
            <w:r>
              <w:t>Cost relief</w:t>
            </w:r>
          </w:p>
        </w:tc>
      </w:tr>
      <w:tr>
        <w:tc>
          <w:tcPr>
            <w:tcW w:type="dxa" w:w="1987"/>
            <w:tcMar>
              <w:top w:w="80" w:type="dxa"/>
              <w:start w:w="80" w:type="dxa"/>
              <w:bottom w:w="80" w:type="dxa"/>
              <w:end w:w="80" w:type="dxa"/>
            </w:tcMar>
          </w:tcPr>
          <w:p>
            <w:r>
              <w:t>Other benefits</w:t>
            </w:r>
          </w:p>
        </w:tc>
        <w:tc>
          <w:tcPr>
            <w:tcW w:type="dxa" w:w="1987"/>
            <w:tcMar>
              <w:top w:w="80" w:type="dxa"/>
              <w:start w:w="80" w:type="dxa"/>
              <w:bottom w:w="80" w:type="dxa"/>
              <w:end w:w="80" w:type="dxa"/>
            </w:tcMar>
          </w:tcPr>
          <w:p>
            <w:pPr>
              <w:jc w:val="right"/>
            </w:pPr>
            <w:r>
              <w:t>0.4</w:t>
            </w:r>
          </w:p>
        </w:tc>
        <w:tc>
          <w:tcPr>
            <w:tcW w:type="dxa" w:w="1987"/>
            <w:tcMar>
              <w:top w:w="80" w:type="dxa"/>
              <w:start w:w="80" w:type="dxa"/>
              <w:bottom w:w="80" w:type="dxa"/>
              <w:end w:w="80" w:type="dxa"/>
            </w:tcMar>
          </w:tcPr>
          <w:p>
            <w:pPr>
              <w:jc w:val="right"/>
            </w:pPr>
            <w:r>
              <w:t>0.6</w:t>
            </w:r>
          </w:p>
        </w:tc>
        <w:tc>
          <w:tcPr>
            <w:tcW w:type="dxa" w:w="1987"/>
            <w:tcMar>
              <w:top w:w="80" w:type="dxa"/>
              <w:start w:w="80" w:type="dxa"/>
              <w:bottom w:w="80" w:type="dxa"/>
              <w:end w:w="80" w:type="dxa"/>
            </w:tcMar>
          </w:tcPr>
          <w:p>
            <w:pPr>
              <w:jc w:val="right"/>
            </w:pPr>
            <w:r>
              <w:t>0.9</w:t>
            </w:r>
          </w:p>
        </w:tc>
        <w:tc>
          <w:tcPr>
            <w:tcW w:type="dxa" w:w="1987"/>
            <w:tcMar>
              <w:top w:w="80" w:type="dxa"/>
              <w:start w:w="80" w:type="dxa"/>
              <w:bottom w:w="80" w:type="dxa"/>
              <w:end w:w="80" w:type="dxa"/>
            </w:tcMar>
          </w:tcPr>
          <w:p>
            <w:r>
              <w:t>Administrative / program support</w:t>
            </w:r>
          </w:p>
        </w:tc>
      </w:tr>
    </w:tbl>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rPr>
      <w:i/>
      <w:color w:val="6464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