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Blue"/>
        <w:jc w:val="center"/>
      </w:pPr>
      <w:r>
        <w:t>Timeline for Fund Deployment</w:t>
      </w:r>
    </w:p>
    <w:p>
      <w:pPr>
        <w:jc w:val="center"/>
      </w:pPr>
      <w:r>
        <w:rPr>
          <w:b/>
          <w:color w:val="444444"/>
          <w:sz w:val="23"/>
        </w:rPr>
        <w:t>Aurelia Developments LLC</w:t>
        <w:br/>
        <w:t>36–48 Month Capital Deployment Plan | USD</w:t>
      </w:r>
    </w:p>
    <w:tbl>
      <w:tblPr>
        <w:tblW w:type="auto" w:w="0"/>
        <w:jc w:val="center"/>
        <w:tblLayout w:type="fixed"/>
        <w:tblLook w:firstColumn="1" w:firstRow="1" w:lastColumn="0" w:lastRow="0" w:noHBand="0" w:noVBand="1" w:val="04A0"/>
      </w:tblPr>
      <w:tblGrid>
        <w:gridCol w:w="3264"/>
        <w:gridCol w:w="3264"/>
        <w:gridCol w:w="3264"/>
      </w:tblGrid>
      <w:tr>
        <w:tc>
          <w:tcPr>
            <w:tcW w:type="dxa" w:w="2880"/>
            <w:shd w:fill="D9EAF7"/>
            <w:tcMar>
              <w:top w:w="80" w:type="dxa"/>
              <w:start w:w="110" w:type="dxa"/>
              <w:bottom w:w="80" w:type="dxa"/>
              <w:end w:w="110" w:type="dxa"/>
            </w:tcMar>
            <w:vAlign w:val="center"/>
          </w:tcPr>
          <w:p>
            <w:pPr>
              <w:jc w:val="center"/>
            </w:pPr>
            <w:r>
              <w:rPr>
                <w:b/>
                <w:sz w:val="18"/>
              </w:rPr>
              <w:t>Total Institutional Capital Raised</w:t>
            </w:r>
          </w:p>
        </w:tc>
        <w:tc>
          <w:tcPr>
            <w:tcW w:type="dxa" w:w="3168"/>
            <w:shd w:fill="D9EAF7"/>
            <w:tcMar>
              <w:top w:w="80" w:type="dxa"/>
              <w:start w:w="110" w:type="dxa"/>
              <w:bottom w:w="80" w:type="dxa"/>
              <w:end w:w="110" w:type="dxa"/>
            </w:tcMar>
            <w:vAlign w:val="center"/>
          </w:tcPr>
          <w:p>
            <w:pPr>
              <w:jc w:val="center"/>
            </w:pPr>
            <w:r>
              <w:rPr>
                <w:b/>
                <w:sz w:val="18"/>
              </w:rPr>
              <w:t>Deployment Horizon</w:t>
            </w:r>
          </w:p>
        </w:tc>
        <w:tc>
          <w:tcPr>
            <w:tcW w:type="dxa" w:w="3024"/>
            <w:shd w:fill="D9EAF7"/>
            <w:tcMar>
              <w:top w:w="80" w:type="dxa"/>
              <w:start w:w="110" w:type="dxa"/>
              <w:bottom w:w="80" w:type="dxa"/>
              <w:end w:w="110" w:type="dxa"/>
            </w:tcMar>
            <w:vAlign w:val="center"/>
          </w:tcPr>
          <w:p>
            <w:pPr>
              <w:jc w:val="center"/>
            </w:pPr>
            <w:r>
              <w:rPr>
                <w:b/>
                <w:sz w:val="18"/>
              </w:rPr>
              <w:t>Primary Deployment Focus</w:t>
            </w:r>
          </w:p>
        </w:tc>
      </w:tr>
      <w:tr>
        <w:tc>
          <w:tcPr>
            <w:tcW w:type="dxa" w:w="2880"/>
            <w:tcMar>
              <w:top w:w="80" w:type="dxa"/>
              <w:start w:w="110" w:type="dxa"/>
              <w:bottom w:w="80" w:type="dxa"/>
              <w:end w:w="110" w:type="dxa"/>
            </w:tcMar>
            <w:vAlign w:val="center"/>
          </w:tcPr>
          <w:p>
            <w:pPr>
              <w:jc w:val="center"/>
            </w:pPr>
            <w:r>
              <w:rPr>
                <w:sz w:val="18"/>
              </w:rPr>
              <w:t>$1.05 billion</w:t>
            </w:r>
          </w:p>
        </w:tc>
        <w:tc>
          <w:tcPr>
            <w:tcW w:type="dxa" w:w="3168"/>
            <w:tcMar>
              <w:top w:w="80" w:type="dxa"/>
              <w:start w:w="110" w:type="dxa"/>
              <w:bottom w:w="80" w:type="dxa"/>
              <w:end w:w="110" w:type="dxa"/>
            </w:tcMar>
            <w:vAlign w:val="center"/>
          </w:tcPr>
          <w:p>
            <w:pPr>
              <w:jc w:val="center"/>
            </w:pPr>
            <w:r>
              <w:rPr>
                <w:sz w:val="18"/>
              </w:rPr>
              <w:t>$36–48 months</w:t>
            </w:r>
          </w:p>
        </w:tc>
        <w:tc>
          <w:tcPr>
            <w:tcW w:type="dxa" w:w="3024"/>
            <w:tcMar>
              <w:top w:w="80" w:type="dxa"/>
              <w:start w:w="110" w:type="dxa"/>
              <w:bottom w:w="80" w:type="dxa"/>
              <w:end w:w="110" w:type="dxa"/>
            </w:tcMar>
            <w:vAlign w:val="center"/>
          </w:tcPr>
          <w:p>
            <w:pPr>
              <w:jc w:val="center"/>
            </w:pPr>
            <w:r>
              <w:rPr>
                <w:sz w:val="18"/>
              </w:rPr>
              <w:t>Land, vertical construction, infrastructure, sales launch, working capital</w:t>
            </w:r>
          </w:p>
        </w:tc>
      </w:tr>
    </w:tbl>
    <w:p>
      <w:pPr>
        <w:pStyle w:val="BodyTight"/>
      </w:pPr>
      <w:r>
        <w:rPr>
          <w:b/>
        </w:rPr>
        <w:t xml:space="preserve">Prepared for: </w:t>
      </w:r>
      <w:r>
        <w:t>Private equity investors, co-lenders, board members, and investment committee reviewers. This memorandum presents a staged, project-linked deployment plan for recently raised institutional capital and is written in the style of a corporate finance and portfolio planning pack used in real estate private equity settings.</w:t>
      </w:r>
    </w:p>
    <w:p>
      <w:pPr>
        <w:pStyle w:val="SectionHeader"/>
      </w:pPr>
      <w:r>
        <w:t>1. Executive Summary</w:t>
      </w:r>
    </w:p>
    <w:p>
      <w:pPr>
        <w:pStyle w:val="BodyTight"/>
      </w:pPr>
      <w:r>
        <w:t>Aurelia Developments LLC has raised approximately $1.05 billion of institutional capital to support a multi-year growth program centred on six near-term developments in Dubai and selected GCC expansion initiatives. The raised capital is intended to be deployed in a disciplined sequence rather than in a single draw, with funding matched to land control, design progression, approvals, contractor mobilisation, escrow funding requirements, vertical construction, marketing launch, and final handover stages.</w:t>
      </w:r>
    </w:p>
    <w:p>
      <w:pPr>
        <w:pStyle w:val="BodyTight"/>
      </w:pPr>
      <w:r>
        <w:t>The expected deployment window spans 48 months, with the heaviest cash utilisation occurring in months 7 through 30 as land commitments, project infrastructure, structural works, MEP packages, façade and fit-out activity, and sales launch expenditure overlap across the live pipeline. The deployment schedule has been designed to preserve liquidity, align investor capital calls with project-risk reduction milestones, and maintain flexibility to defer lower-priority spend if market conditions soften.</w:t>
      </w:r>
    </w:p>
    <w:p>
      <w:pPr>
        <w:pStyle w:val="BodyTight"/>
      </w:pPr>
      <w:r>
        <w:t>On the current plan, approximately 22% of raised funds will be deployed during the first 12 months, 39% during months 13–24, 27% during months 25–36, and the remaining 12% during months 37–48. Capital is expected to be concentrated in land settlement obligations, project design and enabling works, direct construction expenditure, district and utility infrastructure, contingency reserves, corporate build-out, and selective technology and reporting upgrades needed to scale the platform for institutional oversight.</w:t>
      </w:r>
    </w:p>
    <w:p>
      <w:pPr>
        <w:pStyle w:val="SubHeader"/>
      </w:pPr>
      <w:r>
        <w:t>Key deployment metrics</w:t>
      </w:r>
    </w:p>
    <w:tbl>
      <w:tblPr>
        <w:tblW w:type="auto" w:w="0"/>
        <w:jc w:val="center"/>
        <w:tblLayout w:type="fixed"/>
        <w:tblLook w:firstColumn="1" w:firstRow="1" w:lastColumn="0" w:lastRow="0" w:noHBand="0" w:noVBand="1" w:val="04A0"/>
      </w:tblPr>
      <w:tblGrid>
        <w:gridCol w:w="4896"/>
        <w:gridCol w:w="4896"/>
      </w:tblGrid>
      <w:tr>
        <w:trPr>
          <w:tblHeader w:val="true"/>
        </w:trPr>
        <w:tc>
          <w:tcPr>
            <w:tcW w:type="dxa" w:w="4320"/>
            <w:shd w:fill="D9EAF7"/>
            <w:tcMar>
              <w:top w:w="80" w:type="dxa"/>
              <w:start w:w="110" w:type="dxa"/>
              <w:bottom w:w="80" w:type="dxa"/>
              <w:end w:w="110" w:type="dxa"/>
            </w:tcMar>
          </w:tcPr>
          <w:p>
            <w:r>
              <w:rPr>
                <w:b/>
              </w:rPr>
              <w:t>Metric</w:t>
            </w:r>
          </w:p>
        </w:tc>
        <w:tc>
          <w:tcPr>
            <w:tcW w:type="dxa" w:w="4464"/>
            <w:shd w:fill="D9EAF7"/>
            <w:tcMar>
              <w:top w:w="80" w:type="dxa"/>
              <w:start w:w="110" w:type="dxa"/>
              <w:bottom w:w="80" w:type="dxa"/>
              <w:end w:w="110" w:type="dxa"/>
            </w:tcMar>
          </w:tcPr>
          <w:p>
            <w:r>
              <w:rPr>
                <w:b/>
              </w:rPr>
              <w:t>Value</w:t>
            </w:r>
          </w:p>
        </w:tc>
      </w:tr>
      <w:tr>
        <w:tc>
          <w:tcPr>
            <w:tcW w:type="dxa" w:w="4896"/>
            <w:tcMar>
              <w:top w:w="80" w:type="dxa"/>
              <w:start w:w="110" w:type="dxa"/>
              <w:bottom w:w="80" w:type="dxa"/>
              <w:end w:w="110" w:type="dxa"/>
            </w:tcMar>
            <w:vAlign w:val="center"/>
          </w:tcPr>
          <w:p>
            <w:r>
              <w:t>Total capital raised</w:t>
            </w:r>
          </w:p>
        </w:tc>
        <w:tc>
          <w:tcPr>
            <w:tcW w:type="dxa" w:w="4896"/>
            <w:tcMar>
              <w:top w:w="80" w:type="dxa"/>
              <w:start w:w="110" w:type="dxa"/>
              <w:bottom w:w="80" w:type="dxa"/>
              <w:end w:w="110" w:type="dxa"/>
            </w:tcMar>
            <w:vAlign w:val="center"/>
          </w:tcPr>
          <w:p>
            <w:r>
              <w:t>$1,050,000,000</w:t>
            </w:r>
          </w:p>
        </w:tc>
      </w:tr>
      <w:tr>
        <w:tc>
          <w:tcPr>
            <w:tcW w:type="dxa" w:w="4896"/>
            <w:tcMar>
              <w:top w:w="80" w:type="dxa"/>
              <w:start w:w="110" w:type="dxa"/>
              <w:bottom w:w="80" w:type="dxa"/>
              <w:end w:w="110" w:type="dxa"/>
            </w:tcMar>
            <w:vAlign w:val="center"/>
          </w:tcPr>
          <w:p>
            <w:r>
              <w:t>Base planning horizon</w:t>
            </w:r>
          </w:p>
        </w:tc>
        <w:tc>
          <w:tcPr>
            <w:tcW w:type="dxa" w:w="4896"/>
            <w:tcMar>
              <w:top w:w="80" w:type="dxa"/>
              <w:start w:w="110" w:type="dxa"/>
              <w:bottom w:w="80" w:type="dxa"/>
              <w:end w:w="110" w:type="dxa"/>
            </w:tcMar>
            <w:vAlign w:val="center"/>
          </w:tcPr>
          <w:p>
            <w:r>
              <w:t>48 months</w:t>
            </w:r>
          </w:p>
        </w:tc>
      </w:tr>
      <w:tr>
        <w:tc>
          <w:tcPr>
            <w:tcW w:type="dxa" w:w="4896"/>
            <w:tcMar>
              <w:top w:w="80" w:type="dxa"/>
              <w:start w:w="110" w:type="dxa"/>
              <w:bottom w:w="80" w:type="dxa"/>
              <w:end w:w="110" w:type="dxa"/>
            </w:tcMar>
            <w:vAlign w:val="center"/>
          </w:tcPr>
          <w:p>
            <w:r>
              <w:t>Projects funded in core plan</w:t>
            </w:r>
          </w:p>
        </w:tc>
        <w:tc>
          <w:tcPr>
            <w:tcW w:type="dxa" w:w="4896"/>
            <w:tcMar>
              <w:top w:w="80" w:type="dxa"/>
              <w:start w:w="110" w:type="dxa"/>
              <w:bottom w:w="80" w:type="dxa"/>
              <w:end w:w="110" w:type="dxa"/>
            </w:tcMar>
            <w:vAlign w:val="center"/>
          </w:tcPr>
          <w:p>
            <w:r>
              <w:t>6 Dubai projects + 2 GCC strategic options</w:t>
            </w:r>
          </w:p>
        </w:tc>
      </w:tr>
      <w:tr>
        <w:tc>
          <w:tcPr>
            <w:tcW w:type="dxa" w:w="4896"/>
            <w:tcMar>
              <w:top w:w="80" w:type="dxa"/>
              <w:start w:w="110" w:type="dxa"/>
              <w:bottom w:w="80" w:type="dxa"/>
              <w:end w:w="110" w:type="dxa"/>
            </w:tcMar>
            <w:vAlign w:val="center"/>
          </w:tcPr>
          <w:p>
            <w:r>
              <w:t>Peak deployment period</w:t>
            </w:r>
          </w:p>
        </w:tc>
        <w:tc>
          <w:tcPr>
            <w:tcW w:type="dxa" w:w="4896"/>
            <w:tcMar>
              <w:top w:w="80" w:type="dxa"/>
              <w:start w:w="110" w:type="dxa"/>
              <w:bottom w:w="80" w:type="dxa"/>
              <w:end w:w="110" w:type="dxa"/>
            </w:tcMar>
            <w:vAlign w:val="center"/>
          </w:tcPr>
          <w:p>
            <w:r>
              <w:t>Months 13–24</w:t>
            </w:r>
          </w:p>
        </w:tc>
      </w:tr>
      <w:tr>
        <w:tc>
          <w:tcPr>
            <w:tcW w:type="dxa" w:w="4896"/>
            <w:tcMar>
              <w:top w:w="80" w:type="dxa"/>
              <w:start w:w="110" w:type="dxa"/>
              <w:bottom w:w="80" w:type="dxa"/>
              <w:end w:w="110" w:type="dxa"/>
            </w:tcMar>
            <w:vAlign w:val="center"/>
          </w:tcPr>
          <w:p>
            <w:r>
              <w:t>Land and land-related spend</w:t>
            </w:r>
          </w:p>
        </w:tc>
        <w:tc>
          <w:tcPr>
            <w:tcW w:type="dxa" w:w="4896"/>
            <w:tcMar>
              <w:top w:w="80" w:type="dxa"/>
              <w:start w:w="110" w:type="dxa"/>
              <w:bottom w:w="80" w:type="dxa"/>
              <w:end w:w="110" w:type="dxa"/>
            </w:tcMar>
            <w:vAlign w:val="center"/>
          </w:tcPr>
          <w:p>
            <w:r>
              <w:t>$220,000,000</w:t>
            </w:r>
          </w:p>
        </w:tc>
      </w:tr>
      <w:tr>
        <w:tc>
          <w:tcPr>
            <w:tcW w:type="dxa" w:w="4896"/>
            <w:tcMar>
              <w:top w:w="80" w:type="dxa"/>
              <w:start w:w="110" w:type="dxa"/>
              <w:bottom w:w="80" w:type="dxa"/>
              <w:end w:w="110" w:type="dxa"/>
            </w:tcMar>
            <w:vAlign w:val="center"/>
          </w:tcPr>
          <w:p>
            <w:r>
              <w:t>Construction and contractor spend</w:t>
            </w:r>
          </w:p>
        </w:tc>
        <w:tc>
          <w:tcPr>
            <w:tcW w:type="dxa" w:w="4896"/>
            <w:tcMar>
              <w:top w:w="80" w:type="dxa"/>
              <w:start w:w="110" w:type="dxa"/>
              <w:bottom w:w="80" w:type="dxa"/>
              <w:end w:w="110" w:type="dxa"/>
            </w:tcMar>
            <w:vAlign w:val="center"/>
          </w:tcPr>
          <w:p>
            <w:r>
              <w:t>$515,000,000</w:t>
            </w:r>
          </w:p>
        </w:tc>
      </w:tr>
      <w:tr>
        <w:tc>
          <w:tcPr>
            <w:tcW w:type="dxa" w:w="4896"/>
            <w:tcMar>
              <w:top w:w="80" w:type="dxa"/>
              <w:start w:w="110" w:type="dxa"/>
              <w:bottom w:w="80" w:type="dxa"/>
              <w:end w:w="110" w:type="dxa"/>
            </w:tcMar>
            <w:vAlign w:val="center"/>
          </w:tcPr>
          <w:p>
            <w:r>
              <w:t>Infrastructure and utilities</w:t>
            </w:r>
          </w:p>
        </w:tc>
        <w:tc>
          <w:tcPr>
            <w:tcW w:type="dxa" w:w="4896"/>
            <w:tcMar>
              <w:top w:w="80" w:type="dxa"/>
              <w:start w:w="110" w:type="dxa"/>
              <w:bottom w:w="80" w:type="dxa"/>
              <w:end w:w="110" w:type="dxa"/>
            </w:tcMar>
            <w:vAlign w:val="center"/>
          </w:tcPr>
          <w:p>
            <w:r>
              <w:t>$92,000,000</w:t>
            </w:r>
          </w:p>
        </w:tc>
      </w:tr>
      <w:tr>
        <w:tc>
          <w:tcPr>
            <w:tcW w:type="dxa" w:w="4896"/>
            <w:tcMar>
              <w:top w:w="80" w:type="dxa"/>
              <w:start w:w="110" w:type="dxa"/>
              <w:bottom w:w="80" w:type="dxa"/>
              <w:end w:w="110" w:type="dxa"/>
            </w:tcMar>
            <w:vAlign w:val="center"/>
          </w:tcPr>
          <w:p>
            <w:r>
              <w:t>Sales, launch and marketing</w:t>
            </w:r>
          </w:p>
        </w:tc>
        <w:tc>
          <w:tcPr>
            <w:tcW w:type="dxa" w:w="4896"/>
            <w:tcMar>
              <w:top w:w="80" w:type="dxa"/>
              <w:start w:w="110" w:type="dxa"/>
              <w:bottom w:w="80" w:type="dxa"/>
              <w:end w:w="110" w:type="dxa"/>
            </w:tcMar>
            <w:vAlign w:val="center"/>
          </w:tcPr>
          <w:p>
            <w:r>
              <w:t>$54,000,000</w:t>
            </w:r>
          </w:p>
        </w:tc>
      </w:tr>
      <w:tr>
        <w:tc>
          <w:tcPr>
            <w:tcW w:type="dxa" w:w="4896"/>
            <w:tcMar>
              <w:top w:w="80" w:type="dxa"/>
              <w:start w:w="110" w:type="dxa"/>
              <w:bottom w:w="80" w:type="dxa"/>
              <w:end w:w="110" w:type="dxa"/>
            </w:tcMar>
            <w:vAlign w:val="center"/>
          </w:tcPr>
          <w:p>
            <w:r>
              <w:t>Corporate / hiring / technology / contingency</w:t>
            </w:r>
          </w:p>
        </w:tc>
        <w:tc>
          <w:tcPr>
            <w:tcW w:type="dxa" w:w="4896"/>
            <w:tcMar>
              <w:top w:w="80" w:type="dxa"/>
              <w:start w:w="110" w:type="dxa"/>
              <w:bottom w:w="80" w:type="dxa"/>
              <w:end w:w="110" w:type="dxa"/>
            </w:tcMar>
            <w:vAlign w:val="center"/>
          </w:tcPr>
          <w:p>
            <w:r>
              <w:t>$169,000,000</w:t>
            </w:r>
          </w:p>
        </w:tc>
      </w:tr>
    </w:tbl>
    <w:p>
      <w:pPr>
        <w:pStyle w:val="SectionHeader"/>
      </w:pPr>
      <w:r>
        <w:t>2. Overview of Development Pipeline</w:t>
      </w:r>
    </w:p>
    <w:p>
      <w:pPr>
        <w:pStyle w:val="BodyTight"/>
      </w:pPr>
      <w:r>
        <w:t>The deployment plan is driven by a concentrated luxury development pipeline in prime Dubai submarkets where investor demand, destination branding, hospitality adjacency, and scarcity of premium waterfront or mixed-use product support premium pricing. The current funding plan assumes live and near-live deployment into Marina Residences Tower, Palm Waterfront Villas, Downtown Branded Residences, Jumeirah Mixed-Use Development, Creekside Signature Residences, and Desert Hills Villa Community.</w:t>
      </w:r>
    </w:p>
    <w:p>
      <w:pPr>
        <w:pStyle w:val="BodyTight"/>
      </w:pPr>
      <w:r>
        <w:t>Each project moves through a common capital sequence: site control and land settlement, concept design and consultant mobilisation, permitting and master planning approvals, enabling and infrastructure works, structural and envelope construction, sales launch and customer acquisition, fit-out and commissioning, and handover. The amount and timing of cash deployment differs materially by asset type, with branded residences requiring earlier design, hospitality, and marketing spend, while villa communities generally absorb more civil infrastructure and site servicing capital at the outset.</w:t>
      </w:r>
    </w:p>
    <w:p>
      <w:pPr>
        <w:pStyle w:val="BodyTight"/>
      </w:pPr>
      <w:r>
        <w:t>Aurelia also retains strategic optionality for selective GCC expansion through a Bahrain waterfront JV and a Riyadh branded residence feasibility program. These are not assumed to absorb the full capital base but are included in the long-range deployment narrative as contingent opportunities to be funded from residual reserves or follow-on partner capital if underwriting hurdles are met.</w:t>
      </w:r>
    </w:p>
    <w:p>
      <w:pPr>
        <w:pStyle w:val="SubHeader"/>
      </w:pPr>
      <w:r>
        <w:t>Development pipeline summary</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2232"/>
            <w:shd w:fill="D9EAF7"/>
            <w:tcMar>
              <w:top w:w="80" w:type="dxa"/>
              <w:start w:w="110" w:type="dxa"/>
              <w:bottom w:w="80" w:type="dxa"/>
              <w:end w:w="110" w:type="dxa"/>
            </w:tcMar>
          </w:tcPr>
          <w:p>
            <w:pPr>
              <w:jc w:val="center"/>
            </w:pPr>
            <w:r>
              <w:rPr>
                <w:b/>
              </w:rPr>
              <w:t>Project</w:t>
            </w:r>
          </w:p>
        </w:tc>
        <w:tc>
          <w:tcPr>
            <w:tcW w:type="dxa" w:w="1728"/>
            <w:shd w:fill="D9EAF7"/>
            <w:tcMar>
              <w:top w:w="80" w:type="dxa"/>
              <w:start w:w="110" w:type="dxa"/>
              <w:bottom w:w="80" w:type="dxa"/>
              <w:end w:w="110" w:type="dxa"/>
            </w:tcMar>
          </w:tcPr>
          <w:p>
            <w:pPr>
              <w:jc w:val="center"/>
            </w:pPr>
            <w:r>
              <w:rPr>
                <w:b/>
              </w:rPr>
              <w:t>Location</w:t>
            </w:r>
          </w:p>
        </w:tc>
        <w:tc>
          <w:tcPr>
            <w:tcW w:type="dxa" w:w="1440"/>
            <w:shd w:fill="D9EAF7"/>
            <w:tcMar>
              <w:top w:w="80" w:type="dxa"/>
              <w:start w:w="110" w:type="dxa"/>
              <w:bottom w:w="80" w:type="dxa"/>
              <w:end w:w="110" w:type="dxa"/>
            </w:tcMar>
          </w:tcPr>
          <w:p>
            <w:pPr>
              <w:jc w:val="center"/>
            </w:pPr>
            <w:r>
              <w:rPr>
                <w:b/>
              </w:rPr>
              <w:t>Budget</w:t>
            </w:r>
          </w:p>
        </w:tc>
        <w:tc>
          <w:tcPr>
            <w:tcW w:type="dxa" w:w="1296"/>
            <w:shd w:fill="D9EAF7"/>
            <w:tcMar>
              <w:top w:w="80" w:type="dxa"/>
              <w:start w:w="110" w:type="dxa"/>
              <w:bottom w:w="80" w:type="dxa"/>
              <w:end w:w="110" w:type="dxa"/>
            </w:tcMar>
          </w:tcPr>
          <w:p>
            <w:pPr>
              <w:jc w:val="center"/>
            </w:pPr>
            <w:r>
              <w:rPr>
                <w:b/>
              </w:rPr>
              <w:t>Start</w:t>
            </w:r>
          </w:p>
        </w:tc>
        <w:tc>
          <w:tcPr>
            <w:tcW w:type="dxa" w:w="1296"/>
            <w:shd w:fill="D9EAF7"/>
            <w:tcMar>
              <w:top w:w="80" w:type="dxa"/>
              <w:start w:w="110" w:type="dxa"/>
              <w:bottom w:w="80" w:type="dxa"/>
              <w:end w:w="110" w:type="dxa"/>
            </w:tcMar>
          </w:tcPr>
          <w:p>
            <w:pPr>
              <w:jc w:val="center"/>
            </w:pPr>
            <w:r>
              <w:rPr>
                <w:b/>
              </w:rPr>
              <w:t>Completion</w:t>
            </w:r>
          </w:p>
        </w:tc>
        <w:tc>
          <w:tcPr>
            <w:tcW w:type="dxa" w:w="2880"/>
            <w:shd w:fill="D9EAF7"/>
            <w:tcMar>
              <w:top w:w="80" w:type="dxa"/>
              <w:start w:w="110" w:type="dxa"/>
              <w:bottom w:w="80" w:type="dxa"/>
              <w:end w:w="110" w:type="dxa"/>
            </w:tcMar>
          </w:tcPr>
          <w:p>
            <w:pPr>
              <w:jc w:val="center"/>
            </w:pPr>
            <w:r>
              <w:rPr>
                <w:b/>
              </w:rPr>
              <w:t>Deployment driver</w:t>
            </w:r>
          </w:p>
        </w:tc>
      </w:tr>
      <w:tr>
        <w:tc>
          <w:tcPr>
            <w:tcW w:type="dxa" w:w="1632"/>
            <w:tcMar>
              <w:top w:w="80" w:type="dxa"/>
              <w:start w:w="110" w:type="dxa"/>
              <w:bottom w:w="80" w:type="dxa"/>
              <w:end w:w="110" w:type="dxa"/>
            </w:tcMar>
            <w:vAlign w:val="center"/>
          </w:tcPr>
          <w:p>
            <w:r>
              <w:t>Marina Residences Tower</w:t>
            </w:r>
          </w:p>
        </w:tc>
        <w:tc>
          <w:tcPr>
            <w:tcW w:type="dxa" w:w="1632"/>
            <w:tcMar>
              <w:top w:w="80" w:type="dxa"/>
              <w:start w:w="110" w:type="dxa"/>
              <w:bottom w:w="80" w:type="dxa"/>
              <w:end w:w="110" w:type="dxa"/>
            </w:tcMar>
            <w:vAlign w:val="center"/>
          </w:tcPr>
          <w:p>
            <w:r>
              <w:t>Dubai Marina</w:t>
            </w:r>
          </w:p>
        </w:tc>
        <w:tc>
          <w:tcPr>
            <w:tcW w:type="dxa" w:w="1632"/>
            <w:tcMar>
              <w:top w:w="80" w:type="dxa"/>
              <w:start w:w="110" w:type="dxa"/>
              <w:bottom w:w="80" w:type="dxa"/>
              <w:end w:w="110" w:type="dxa"/>
            </w:tcMar>
            <w:vAlign w:val="center"/>
          </w:tcPr>
          <w:p>
            <w:pPr>
              <w:jc w:val="center"/>
            </w:pPr>
            <w:r>
              <w:t>$310.0m</w:t>
            </w:r>
          </w:p>
        </w:tc>
        <w:tc>
          <w:tcPr>
            <w:tcW w:type="dxa" w:w="1632"/>
            <w:tcMar>
              <w:top w:w="80" w:type="dxa"/>
              <w:start w:w="110" w:type="dxa"/>
              <w:bottom w:w="80" w:type="dxa"/>
              <w:end w:w="110" w:type="dxa"/>
            </w:tcMar>
            <w:vAlign w:val="center"/>
          </w:tcPr>
          <w:p>
            <w:pPr>
              <w:jc w:val="center"/>
            </w:pPr>
            <w:r>
              <w:t>Q3 2024</w:t>
            </w:r>
          </w:p>
        </w:tc>
        <w:tc>
          <w:tcPr>
            <w:tcW w:type="dxa" w:w="1632"/>
            <w:tcMar>
              <w:top w:w="80" w:type="dxa"/>
              <w:start w:w="110" w:type="dxa"/>
              <w:bottom w:w="80" w:type="dxa"/>
              <w:end w:w="110" w:type="dxa"/>
            </w:tcMar>
            <w:vAlign w:val="center"/>
          </w:tcPr>
          <w:p>
            <w:pPr>
              <w:jc w:val="center"/>
            </w:pPr>
            <w:r>
              <w:t>Q4 2027</w:t>
            </w:r>
          </w:p>
        </w:tc>
        <w:tc>
          <w:tcPr>
            <w:tcW w:type="dxa" w:w="1632"/>
            <w:tcMar>
              <w:top w:w="80" w:type="dxa"/>
              <w:start w:w="110" w:type="dxa"/>
              <w:bottom w:w="80" w:type="dxa"/>
              <w:end w:w="110" w:type="dxa"/>
            </w:tcMar>
            <w:vAlign w:val="center"/>
          </w:tcPr>
          <w:p>
            <w:r>
              <w:t>Anchor tower; front-loaded structure and façade spend</w:t>
            </w:r>
          </w:p>
        </w:tc>
      </w:tr>
      <w:tr>
        <w:tc>
          <w:tcPr>
            <w:tcW w:type="dxa" w:w="1632"/>
            <w:tcMar>
              <w:top w:w="80" w:type="dxa"/>
              <w:start w:w="110" w:type="dxa"/>
              <w:bottom w:w="80" w:type="dxa"/>
              <w:end w:w="110" w:type="dxa"/>
            </w:tcMar>
            <w:vAlign w:val="center"/>
          </w:tcPr>
          <w:p>
            <w:r>
              <w:t>Palm Waterfront Villas</w:t>
            </w:r>
          </w:p>
        </w:tc>
        <w:tc>
          <w:tcPr>
            <w:tcW w:type="dxa" w:w="1632"/>
            <w:tcMar>
              <w:top w:w="80" w:type="dxa"/>
              <w:start w:w="110" w:type="dxa"/>
              <w:bottom w:w="80" w:type="dxa"/>
              <w:end w:w="110" w:type="dxa"/>
            </w:tcMar>
            <w:vAlign w:val="center"/>
          </w:tcPr>
          <w:p>
            <w:r>
              <w:t>Palm Jumeirah Crescent</w:t>
            </w:r>
          </w:p>
        </w:tc>
        <w:tc>
          <w:tcPr>
            <w:tcW w:type="dxa" w:w="1632"/>
            <w:tcMar>
              <w:top w:w="80" w:type="dxa"/>
              <w:start w:w="110" w:type="dxa"/>
              <w:bottom w:w="80" w:type="dxa"/>
              <w:end w:w="110" w:type="dxa"/>
            </w:tcMar>
            <w:vAlign w:val="center"/>
          </w:tcPr>
          <w:p>
            <w:pPr>
              <w:jc w:val="center"/>
            </w:pPr>
            <w:r>
              <w:t>$185.0m</w:t>
            </w:r>
          </w:p>
        </w:tc>
        <w:tc>
          <w:tcPr>
            <w:tcW w:type="dxa" w:w="1632"/>
            <w:tcMar>
              <w:top w:w="80" w:type="dxa"/>
              <w:start w:w="110" w:type="dxa"/>
              <w:bottom w:w="80" w:type="dxa"/>
              <w:end w:w="110" w:type="dxa"/>
            </w:tcMar>
            <w:vAlign w:val="center"/>
          </w:tcPr>
          <w:p>
            <w:pPr>
              <w:jc w:val="center"/>
            </w:pPr>
            <w:r>
              <w:t>Q4 2024</w:t>
            </w:r>
          </w:p>
        </w:tc>
        <w:tc>
          <w:tcPr>
            <w:tcW w:type="dxa" w:w="1632"/>
            <w:tcMar>
              <w:top w:w="80" w:type="dxa"/>
              <w:start w:w="110" w:type="dxa"/>
              <w:bottom w:w="80" w:type="dxa"/>
              <w:end w:w="110" w:type="dxa"/>
            </w:tcMar>
            <w:vAlign w:val="center"/>
          </w:tcPr>
          <w:p>
            <w:pPr>
              <w:jc w:val="center"/>
            </w:pPr>
            <w:r>
              <w:t>Q2 2027</w:t>
            </w:r>
          </w:p>
        </w:tc>
        <w:tc>
          <w:tcPr>
            <w:tcW w:type="dxa" w:w="1632"/>
            <w:tcMar>
              <w:top w:w="80" w:type="dxa"/>
              <w:start w:w="110" w:type="dxa"/>
              <w:bottom w:w="80" w:type="dxa"/>
              <w:end w:w="110" w:type="dxa"/>
            </w:tcMar>
            <w:vAlign w:val="center"/>
          </w:tcPr>
          <w:p>
            <w:r>
              <w:t>High land basis; strong early launch marketing</w:t>
            </w:r>
          </w:p>
        </w:tc>
      </w:tr>
      <w:tr>
        <w:tc>
          <w:tcPr>
            <w:tcW w:type="dxa" w:w="1632"/>
            <w:tcMar>
              <w:top w:w="80" w:type="dxa"/>
              <w:start w:w="110" w:type="dxa"/>
              <w:bottom w:w="80" w:type="dxa"/>
              <w:end w:w="110" w:type="dxa"/>
            </w:tcMar>
            <w:vAlign w:val="center"/>
          </w:tcPr>
          <w:p>
            <w:r>
              <w:t>Downtown Branded Residences</w:t>
            </w:r>
          </w:p>
        </w:tc>
        <w:tc>
          <w:tcPr>
            <w:tcW w:type="dxa" w:w="1632"/>
            <w:tcMar>
              <w:top w:w="80" w:type="dxa"/>
              <w:start w:w="110" w:type="dxa"/>
              <w:bottom w:w="80" w:type="dxa"/>
              <w:end w:w="110" w:type="dxa"/>
            </w:tcMar>
            <w:vAlign w:val="center"/>
          </w:tcPr>
          <w:p>
            <w:r>
              <w:t>Downtown Dubai</w:t>
            </w:r>
          </w:p>
        </w:tc>
        <w:tc>
          <w:tcPr>
            <w:tcW w:type="dxa" w:w="1632"/>
            <w:tcMar>
              <w:top w:w="80" w:type="dxa"/>
              <w:start w:w="110" w:type="dxa"/>
              <w:bottom w:w="80" w:type="dxa"/>
              <w:end w:w="110" w:type="dxa"/>
            </w:tcMar>
            <w:vAlign w:val="center"/>
          </w:tcPr>
          <w:p>
            <w:pPr>
              <w:jc w:val="center"/>
            </w:pPr>
            <w:r>
              <w:t>$240.0m</w:t>
            </w:r>
          </w:p>
        </w:tc>
        <w:tc>
          <w:tcPr>
            <w:tcW w:type="dxa" w:w="1632"/>
            <w:tcMar>
              <w:top w:w="80" w:type="dxa"/>
              <w:start w:w="110" w:type="dxa"/>
              <w:bottom w:w="80" w:type="dxa"/>
              <w:end w:w="110" w:type="dxa"/>
            </w:tcMar>
            <w:vAlign w:val="center"/>
          </w:tcPr>
          <w:p>
            <w:pPr>
              <w:jc w:val="center"/>
            </w:pPr>
            <w:r>
              <w:t>Q1 2025</w:t>
            </w:r>
          </w:p>
        </w:tc>
        <w:tc>
          <w:tcPr>
            <w:tcW w:type="dxa" w:w="1632"/>
            <w:tcMar>
              <w:top w:w="80" w:type="dxa"/>
              <w:start w:w="110" w:type="dxa"/>
              <w:bottom w:w="80" w:type="dxa"/>
              <w:end w:w="110" w:type="dxa"/>
            </w:tcMar>
            <w:vAlign w:val="center"/>
          </w:tcPr>
          <w:p>
            <w:pPr>
              <w:jc w:val="center"/>
            </w:pPr>
            <w:r>
              <w:t>Q4 2028</w:t>
            </w:r>
          </w:p>
        </w:tc>
        <w:tc>
          <w:tcPr>
            <w:tcW w:type="dxa" w:w="1632"/>
            <w:tcMar>
              <w:top w:w="80" w:type="dxa"/>
              <w:start w:w="110" w:type="dxa"/>
              <w:bottom w:w="80" w:type="dxa"/>
              <w:end w:w="110" w:type="dxa"/>
            </w:tcMar>
            <w:vAlign w:val="center"/>
          </w:tcPr>
          <w:p>
            <w:r>
              <w:t>Hospitality-linked premium product</w:t>
            </w:r>
          </w:p>
        </w:tc>
      </w:tr>
      <w:tr>
        <w:tc>
          <w:tcPr>
            <w:tcW w:type="dxa" w:w="1632"/>
            <w:tcMar>
              <w:top w:w="80" w:type="dxa"/>
              <w:start w:w="110" w:type="dxa"/>
              <w:bottom w:w="80" w:type="dxa"/>
              <w:end w:w="110" w:type="dxa"/>
            </w:tcMar>
            <w:vAlign w:val="center"/>
          </w:tcPr>
          <w:p>
            <w:r>
              <w:t>Jumeirah Mixed-Use Development</w:t>
            </w:r>
          </w:p>
        </w:tc>
        <w:tc>
          <w:tcPr>
            <w:tcW w:type="dxa" w:w="1632"/>
            <w:tcMar>
              <w:top w:w="80" w:type="dxa"/>
              <w:start w:w="110" w:type="dxa"/>
              <w:bottom w:w="80" w:type="dxa"/>
              <w:end w:w="110" w:type="dxa"/>
            </w:tcMar>
            <w:vAlign w:val="center"/>
          </w:tcPr>
          <w:p>
            <w:r>
              <w:t>Jumeirah</w:t>
            </w:r>
          </w:p>
        </w:tc>
        <w:tc>
          <w:tcPr>
            <w:tcW w:type="dxa" w:w="1632"/>
            <w:tcMar>
              <w:top w:w="80" w:type="dxa"/>
              <w:start w:w="110" w:type="dxa"/>
              <w:bottom w:w="80" w:type="dxa"/>
              <w:end w:w="110" w:type="dxa"/>
            </w:tcMar>
            <w:vAlign w:val="center"/>
          </w:tcPr>
          <w:p>
            <w:pPr>
              <w:jc w:val="center"/>
            </w:pPr>
            <w:r>
              <w:t>$205.0m</w:t>
            </w:r>
          </w:p>
        </w:tc>
        <w:tc>
          <w:tcPr>
            <w:tcW w:type="dxa" w:w="1632"/>
            <w:tcMar>
              <w:top w:w="80" w:type="dxa"/>
              <w:start w:w="110" w:type="dxa"/>
              <w:bottom w:w="80" w:type="dxa"/>
              <w:end w:w="110" w:type="dxa"/>
            </w:tcMar>
            <w:vAlign w:val="center"/>
          </w:tcPr>
          <w:p>
            <w:pPr>
              <w:jc w:val="center"/>
            </w:pPr>
            <w:r>
              <w:t>Q1 2025</w:t>
            </w:r>
          </w:p>
        </w:tc>
        <w:tc>
          <w:tcPr>
            <w:tcW w:type="dxa" w:w="1632"/>
            <w:tcMar>
              <w:top w:w="80" w:type="dxa"/>
              <w:start w:w="110" w:type="dxa"/>
              <w:bottom w:w="80" w:type="dxa"/>
              <w:end w:w="110" w:type="dxa"/>
            </w:tcMar>
            <w:vAlign w:val="center"/>
          </w:tcPr>
          <w:p>
            <w:pPr>
              <w:jc w:val="center"/>
            </w:pPr>
            <w:r>
              <w:t>Q3 2028</w:t>
            </w:r>
          </w:p>
        </w:tc>
        <w:tc>
          <w:tcPr>
            <w:tcW w:type="dxa" w:w="1632"/>
            <w:tcMar>
              <w:top w:w="80" w:type="dxa"/>
              <w:start w:w="110" w:type="dxa"/>
              <w:bottom w:w="80" w:type="dxa"/>
              <w:end w:w="110" w:type="dxa"/>
            </w:tcMar>
            <w:vAlign w:val="center"/>
          </w:tcPr>
          <w:p>
            <w:r>
              <w:t>Retail podium and serviced residence components</w:t>
            </w:r>
          </w:p>
        </w:tc>
      </w:tr>
      <w:tr>
        <w:tc>
          <w:tcPr>
            <w:tcW w:type="dxa" w:w="1632"/>
            <w:tcMar>
              <w:top w:w="80" w:type="dxa"/>
              <w:start w:w="110" w:type="dxa"/>
              <w:bottom w:w="80" w:type="dxa"/>
              <w:end w:w="110" w:type="dxa"/>
            </w:tcMar>
            <w:vAlign w:val="center"/>
          </w:tcPr>
          <w:p>
            <w:r>
              <w:t>Creekside Signature Residences</w:t>
            </w:r>
          </w:p>
        </w:tc>
        <w:tc>
          <w:tcPr>
            <w:tcW w:type="dxa" w:w="1632"/>
            <w:tcMar>
              <w:top w:w="80" w:type="dxa"/>
              <w:start w:w="110" w:type="dxa"/>
              <w:bottom w:w="80" w:type="dxa"/>
              <w:end w:w="110" w:type="dxa"/>
            </w:tcMar>
            <w:vAlign w:val="center"/>
          </w:tcPr>
          <w:p>
            <w:r>
              <w:t>Dubai Creek</w:t>
            </w:r>
          </w:p>
        </w:tc>
        <w:tc>
          <w:tcPr>
            <w:tcW w:type="dxa" w:w="1632"/>
            <w:tcMar>
              <w:top w:w="80" w:type="dxa"/>
              <w:start w:w="110" w:type="dxa"/>
              <w:bottom w:w="80" w:type="dxa"/>
              <w:end w:w="110" w:type="dxa"/>
            </w:tcMar>
            <w:vAlign w:val="center"/>
          </w:tcPr>
          <w:p>
            <w:pPr>
              <w:jc w:val="center"/>
            </w:pPr>
            <w:r>
              <w:t>$132.0m</w:t>
            </w:r>
          </w:p>
        </w:tc>
        <w:tc>
          <w:tcPr>
            <w:tcW w:type="dxa" w:w="1632"/>
            <w:tcMar>
              <w:top w:w="80" w:type="dxa"/>
              <w:start w:w="110" w:type="dxa"/>
              <w:bottom w:w="80" w:type="dxa"/>
              <w:end w:w="110" w:type="dxa"/>
            </w:tcMar>
            <w:vAlign w:val="center"/>
          </w:tcPr>
          <w:p>
            <w:pPr>
              <w:jc w:val="center"/>
            </w:pPr>
            <w:r>
              <w:t>Q3 2025</w:t>
            </w:r>
          </w:p>
        </w:tc>
        <w:tc>
          <w:tcPr>
            <w:tcW w:type="dxa" w:w="1632"/>
            <w:tcMar>
              <w:top w:w="80" w:type="dxa"/>
              <w:start w:w="110" w:type="dxa"/>
              <w:bottom w:w="80" w:type="dxa"/>
              <w:end w:w="110" w:type="dxa"/>
            </w:tcMar>
            <w:vAlign w:val="center"/>
          </w:tcPr>
          <w:p>
            <w:pPr>
              <w:jc w:val="center"/>
            </w:pPr>
            <w:r>
              <w:t>Q4 2028</w:t>
            </w:r>
          </w:p>
        </w:tc>
        <w:tc>
          <w:tcPr>
            <w:tcW w:type="dxa" w:w="1632"/>
            <w:tcMar>
              <w:top w:w="80" w:type="dxa"/>
              <w:start w:w="110" w:type="dxa"/>
              <w:bottom w:w="80" w:type="dxa"/>
              <w:end w:w="110" w:type="dxa"/>
            </w:tcMar>
            <w:vAlign w:val="center"/>
          </w:tcPr>
          <w:p>
            <w:r>
              <w:t>Mid-size premium residential phase</w:t>
            </w:r>
          </w:p>
        </w:tc>
      </w:tr>
      <w:tr>
        <w:tc>
          <w:tcPr>
            <w:tcW w:type="dxa" w:w="1632"/>
            <w:tcMar>
              <w:top w:w="80" w:type="dxa"/>
              <w:start w:w="110" w:type="dxa"/>
              <w:bottom w:w="80" w:type="dxa"/>
              <w:end w:w="110" w:type="dxa"/>
            </w:tcMar>
            <w:vAlign w:val="center"/>
          </w:tcPr>
          <w:p>
            <w:r>
              <w:t>Desert Hills Villa Community</w:t>
            </w:r>
          </w:p>
        </w:tc>
        <w:tc>
          <w:tcPr>
            <w:tcW w:type="dxa" w:w="1632"/>
            <w:tcMar>
              <w:top w:w="80" w:type="dxa"/>
              <w:start w:w="110" w:type="dxa"/>
              <w:bottom w:w="80" w:type="dxa"/>
              <w:end w:w="110" w:type="dxa"/>
            </w:tcMar>
            <w:vAlign w:val="center"/>
          </w:tcPr>
          <w:p>
            <w:r>
              <w:t>Dubailand</w:t>
            </w:r>
          </w:p>
        </w:tc>
        <w:tc>
          <w:tcPr>
            <w:tcW w:type="dxa" w:w="1632"/>
            <w:tcMar>
              <w:top w:w="80" w:type="dxa"/>
              <w:start w:w="110" w:type="dxa"/>
              <w:bottom w:w="80" w:type="dxa"/>
              <w:end w:w="110" w:type="dxa"/>
            </w:tcMar>
            <w:vAlign w:val="center"/>
          </w:tcPr>
          <w:p>
            <w:pPr>
              <w:jc w:val="center"/>
            </w:pPr>
            <w:r>
              <w:t>$118.0m</w:t>
            </w:r>
          </w:p>
        </w:tc>
        <w:tc>
          <w:tcPr>
            <w:tcW w:type="dxa" w:w="1632"/>
            <w:tcMar>
              <w:top w:w="80" w:type="dxa"/>
              <w:start w:w="110" w:type="dxa"/>
              <w:bottom w:w="80" w:type="dxa"/>
              <w:end w:w="110" w:type="dxa"/>
            </w:tcMar>
            <w:vAlign w:val="center"/>
          </w:tcPr>
          <w:p>
            <w:pPr>
              <w:jc w:val="center"/>
            </w:pPr>
            <w:r>
              <w:t>Q2 2025</w:t>
            </w:r>
          </w:p>
        </w:tc>
        <w:tc>
          <w:tcPr>
            <w:tcW w:type="dxa" w:w="1632"/>
            <w:tcMar>
              <w:top w:w="80" w:type="dxa"/>
              <w:start w:w="110" w:type="dxa"/>
              <w:bottom w:w="80" w:type="dxa"/>
              <w:end w:w="110" w:type="dxa"/>
            </w:tcMar>
            <w:vAlign w:val="center"/>
          </w:tcPr>
          <w:p>
            <w:pPr>
              <w:jc w:val="center"/>
            </w:pPr>
            <w:r>
              <w:t>Q1 2028</w:t>
            </w:r>
          </w:p>
        </w:tc>
        <w:tc>
          <w:tcPr>
            <w:tcW w:type="dxa" w:w="1632"/>
            <w:tcMar>
              <w:top w:w="80" w:type="dxa"/>
              <w:start w:w="110" w:type="dxa"/>
              <w:bottom w:w="80" w:type="dxa"/>
              <w:end w:w="110" w:type="dxa"/>
            </w:tcMar>
            <w:vAlign w:val="center"/>
          </w:tcPr>
          <w:p>
            <w:r>
              <w:t>Horizontal development with infrastructure-heavy start</w:t>
            </w:r>
          </w:p>
        </w:tc>
      </w:tr>
    </w:tbl>
    <w:p>
      <w:pPr>
        <w:pStyle w:val="SectionHeader"/>
      </w:pPr>
      <w:r>
        <w:t>3. Capital Deployment Strategy</w:t>
      </w:r>
    </w:p>
    <w:p>
      <w:pPr>
        <w:pStyle w:val="BodyTight"/>
      </w:pPr>
      <w:r>
        <w:t>The company’s deployment philosophy is milestone-based rather than balance-sheet maximising. Capital is deployed only when a project has crossed a defined gating event such as land documentation finalisation, concept and schematic approval, lender-backed budget approval, construction contract award, or launch-readiness confirmation. This reduces idle cash drag and improves the linkage between investor funding and de-risked value creation.</w:t>
      </w:r>
    </w:p>
    <w:p>
      <w:pPr>
        <w:pStyle w:val="BodyTight"/>
      </w:pPr>
      <w:r>
        <w:t>The first call on investor capital is strategic and irreversible spend: land settlements, master planning, concept design, consultant retainer packages, statutory approvals, and enabling works that establish the project’s ability to commence. The second layer is scalable deployment into direct build cost packages where execution progress can be monitored monthly. The final layer is opportunistic deployment into launch acceleration, amenity fit-out, hospitality branding contributions, platform hiring, and selective technology investments once core project economics are secured.</w:t>
      </w:r>
    </w:p>
    <w:p>
      <w:pPr>
        <w:pStyle w:val="BodyTight"/>
      </w:pPr>
      <w:r>
        <w:t>Capital prioritisation within the portfolio follows three criteria: expected project IRR, speed to cash generation through presales or leasing, and the degree to which early capital spend unlocks external project financing or customer collections. Where market conditions weaken, the model contemplates slowing lower-yielding mixed-use components, stretching non-critical capex, and protecting flagship tower and villa projects that drive brand equity and pre-sale momentum.</w:t>
      </w:r>
    </w:p>
    <w:p>
      <w:pPr>
        <w:pStyle w:val="SectionHeader"/>
      </w:pPr>
      <w:r>
        <w:t>4. Development Phases and Capital Needs</w:t>
      </w:r>
    </w:p>
    <w:p>
      <w:pPr>
        <w:pStyle w:val="SubHeader"/>
      </w:pPr>
      <w:r>
        <w:t>Land Acquisition</w:t>
      </w:r>
    </w:p>
    <w:p>
      <w:pPr>
        <w:pStyle w:val="BodyTight"/>
      </w:pPr>
      <w:r>
        <w:t>Site deposits, balance-of-purchase payments, transfer fees, legal closing costs, and land servicing obligations. This phase is capital intensive and largely front-loaded, consuming roughly $220.0 million or 21.0% of total investor proceeds across the full plan.</w:t>
      </w:r>
    </w:p>
    <w:p>
      <w:pPr>
        <w:pStyle w:val="SubHeader"/>
      </w:pPr>
      <w:r>
        <w:t>Project Planning and Design</w:t>
      </w:r>
    </w:p>
    <w:p>
      <w:pPr>
        <w:pStyle w:val="BodyTight"/>
      </w:pPr>
      <w:r>
        <w:t>Concept design, schematic design, technical consultants, value engineering, geotechnical review, branding concept work, and pre-tender documentation. Approximately $43.0 million is budgeted over the first 24 months.</w:t>
      </w:r>
    </w:p>
    <w:p>
      <w:pPr>
        <w:pStyle w:val="SubHeader"/>
      </w:pPr>
      <w:r>
        <w:t>Regulatory Approvals</w:t>
      </w:r>
    </w:p>
    <w:p>
      <w:pPr>
        <w:pStyle w:val="BodyTight"/>
      </w:pPr>
      <w:r>
        <w:t>Municipality submissions, civil defence interfaces, utility applications, environmental and traffic studies, escrow setup, and authority fees. Roughly $28.0 million is allocated including permit fees and approval-related deposits.</w:t>
      </w:r>
    </w:p>
    <w:p>
      <w:pPr>
        <w:pStyle w:val="SubHeader"/>
      </w:pPr>
      <w:r>
        <w:t>Construction and Development</w:t>
      </w:r>
    </w:p>
    <w:p>
      <w:pPr>
        <w:pStyle w:val="BodyTight"/>
      </w:pPr>
      <w:r>
        <w:t>Main contractor mobilisation, substructure, superstructure, MEP, façade, fit-out, infrastructure, testing and commissioning. This is the single largest category at approximately $515.0 million, concentrated in months 10–32.</w:t>
      </w:r>
    </w:p>
    <w:p>
      <w:pPr>
        <w:pStyle w:val="SubHeader"/>
      </w:pPr>
      <w:r>
        <w:t>Marketing and Sales Launch</w:t>
      </w:r>
    </w:p>
    <w:p>
      <w:pPr>
        <w:pStyle w:val="BodyTight"/>
      </w:pPr>
      <w:r>
        <w:t>Brand film, show units, digital campaigns, international broker roadshows, sales centre fit-out, launch events, and channel commissions. Approximately $54.0 million is expected over the life of the plan.</w:t>
      </w:r>
    </w:p>
    <w:p>
      <w:pPr>
        <w:pStyle w:val="SubHeader"/>
      </w:pPr>
      <w:r>
        <w:t>Project Completion and Delivery</w:t>
      </w:r>
    </w:p>
    <w:p>
      <w:pPr>
        <w:pStyle w:val="BodyTight"/>
      </w:pPr>
      <w:r>
        <w:t>Defect reserves, handover teams, close-out documentation, snags and retention release, hospitality opening contributions, and final utilities completion. Approximately $21.0 million is reserved in late-stage deployment windows.</w:t>
      </w:r>
    </w:p>
    <w:p>
      <w:pPr>
        <w:pStyle w:val="SectionHeader"/>
      </w:pPr>
      <w:r>
        <w:t>5. Multi-Year Deployment Timeline</w:t>
      </w:r>
    </w:p>
    <w:p>
      <w:pPr>
        <w:pStyle w:val="BodyTight"/>
      </w:pPr>
      <w:r>
        <w:t>Year 1 focuses on land settlement, pre-development work, consultant mobilisation, and early infrastructure and enabling packages. Spending is intentionally staggered to preserve flexibility while projects complete design development and approval processes. Capital deployment in Year 1 is expected to total approximately $230.0 million.</w:t>
      </w:r>
    </w:p>
    <w:p>
      <w:pPr>
        <w:pStyle w:val="BodyTight"/>
      </w:pPr>
      <w:r>
        <w:t>Year 2 represents the peak execution period. Marina Residences Tower and Palm Waterfront Villas absorb significant vertical construction spend, while Downtown Branded Residences and Jumeirah Mixed-Use transition from design and approvals into early main-works deployment. Year 2 capital deployment is projected at approximately $410.0 million.</w:t>
      </w:r>
    </w:p>
    <w:p>
      <w:pPr>
        <w:pStyle w:val="BodyTight"/>
      </w:pPr>
      <w:r>
        <w:t>Year 3 remains construction-heavy but begins to shift from pure build cost to launch acceleration, fit-out, commissioning, and late-stage infrastructure. Additional capital is allocated to Creekside and Desert Hills as those projects enter their heavier construction phases. Year 3 deployment is projected at approximately $285.0 million.</w:t>
      </w:r>
    </w:p>
    <w:p>
      <w:pPr>
        <w:pStyle w:val="BodyTight"/>
      </w:pPr>
      <w:r>
        <w:t>Year 4 is completion-oriented, with reduced land exposure and lower enabling spend but continued fit-out, handover, retention, and selective GCC option deployment. Year 4 capital deployment is projected at approximately $125.0 million, including reserve releases and final delivery support.</w:t>
      </w:r>
    </w:p>
    <w:p>
      <w:pPr>
        <w:pStyle w:val="SubHeader"/>
      </w:pPr>
      <w:r>
        <w:t>Illustrative multi-year deployment schedule</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rPr>
        <w:tc>
          <w:tcPr>
            <w:tcW w:type="dxa" w:w="1152"/>
            <w:shd w:fill="D9EAF7"/>
            <w:tcMar>
              <w:top w:w="80" w:type="dxa"/>
              <w:start w:w="110" w:type="dxa"/>
              <w:bottom w:w="80" w:type="dxa"/>
              <w:end w:w="110" w:type="dxa"/>
            </w:tcMar>
          </w:tcPr>
          <w:p>
            <w:r>
              <w:rPr>
                <w:b/>
              </w:rPr>
              <w:t>Year</w:t>
            </w:r>
          </w:p>
        </w:tc>
        <w:tc>
          <w:tcPr>
            <w:tcW w:type="dxa" w:w="2160"/>
            <w:shd w:fill="D9EAF7"/>
            <w:tcMar>
              <w:top w:w="80" w:type="dxa"/>
              <w:start w:w="110" w:type="dxa"/>
              <w:bottom w:w="80" w:type="dxa"/>
              <w:end w:w="110" w:type="dxa"/>
            </w:tcMar>
          </w:tcPr>
          <w:p>
            <w:r>
              <w:rPr>
                <w:b/>
              </w:rPr>
              <w:t>Capital deployed</w:t>
            </w:r>
          </w:p>
        </w:tc>
        <w:tc>
          <w:tcPr>
            <w:tcW w:type="dxa" w:w="1872"/>
            <w:shd w:fill="D9EAF7"/>
            <w:tcMar>
              <w:top w:w="80" w:type="dxa"/>
              <w:start w:w="110" w:type="dxa"/>
              <w:bottom w:w="80" w:type="dxa"/>
              <w:end w:w="110" w:type="dxa"/>
            </w:tcMar>
          </w:tcPr>
          <w:p>
            <w:r>
              <w:rPr>
                <w:b/>
              </w:rPr>
              <w:t>Key projects</w:t>
            </w:r>
          </w:p>
        </w:tc>
        <w:tc>
          <w:tcPr>
            <w:tcW w:type="dxa" w:w="2304"/>
            <w:shd w:fill="D9EAF7"/>
            <w:tcMar>
              <w:top w:w="80" w:type="dxa"/>
              <w:start w:w="110" w:type="dxa"/>
              <w:bottom w:w="80" w:type="dxa"/>
              <w:end w:w="110" w:type="dxa"/>
            </w:tcMar>
          </w:tcPr>
          <w:p>
            <w:r>
              <w:rPr>
                <w:b/>
              </w:rPr>
              <w:t>Primary uses</w:t>
            </w:r>
          </w:p>
        </w:tc>
        <w:tc>
          <w:tcPr>
            <w:tcW w:type="dxa" w:w="2880"/>
            <w:shd w:fill="D9EAF7"/>
            <w:tcMar>
              <w:top w:w="80" w:type="dxa"/>
              <w:start w:w="110" w:type="dxa"/>
              <w:bottom w:w="80" w:type="dxa"/>
              <w:end w:w="110" w:type="dxa"/>
            </w:tcMar>
          </w:tcPr>
          <w:p>
            <w:r>
              <w:rPr>
                <w:b/>
              </w:rPr>
              <w:t>Milestone focus</w:t>
            </w:r>
          </w:p>
        </w:tc>
      </w:tr>
      <w:tr>
        <w:tc>
          <w:tcPr>
            <w:tcW w:type="dxa" w:w="1958"/>
            <w:tcMar>
              <w:top w:w="80" w:type="dxa"/>
              <w:start w:w="110" w:type="dxa"/>
              <w:bottom w:w="80" w:type="dxa"/>
              <w:end w:w="110" w:type="dxa"/>
            </w:tcMar>
          </w:tcPr>
          <w:p>
            <w:pPr>
              <w:jc w:val="center"/>
            </w:pPr>
            <w:r>
              <w:t>Y1</w:t>
            </w:r>
          </w:p>
        </w:tc>
        <w:tc>
          <w:tcPr>
            <w:tcW w:type="dxa" w:w="1958"/>
            <w:tcMar>
              <w:top w:w="80" w:type="dxa"/>
              <w:start w:w="110" w:type="dxa"/>
              <w:bottom w:w="80" w:type="dxa"/>
              <w:end w:w="110" w:type="dxa"/>
            </w:tcMar>
          </w:tcPr>
          <w:p>
            <w:pPr>
              <w:jc w:val="center"/>
            </w:pPr>
            <w:r>
              <w:t>$230.0m</w:t>
            </w:r>
          </w:p>
        </w:tc>
        <w:tc>
          <w:tcPr>
            <w:tcW w:type="dxa" w:w="1958"/>
            <w:tcMar>
              <w:top w:w="80" w:type="dxa"/>
              <w:start w:w="110" w:type="dxa"/>
              <w:bottom w:w="80" w:type="dxa"/>
              <w:end w:w="110" w:type="dxa"/>
            </w:tcMar>
          </w:tcPr>
          <w:p>
            <w:r>
              <w:t>Marina, Palm</w:t>
            </w:r>
          </w:p>
        </w:tc>
        <w:tc>
          <w:tcPr>
            <w:tcW w:type="dxa" w:w="1958"/>
            <w:tcMar>
              <w:top w:w="80" w:type="dxa"/>
              <w:start w:w="110" w:type="dxa"/>
              <w:bottom w:w="80" w:type="dxa"/>
              <w:end w:w="110" w:type="dxa"/>
            </w:tcMar>
          </w:tcPr>
          <w:p>
            <w:r>
              <w:t>Land, design, approvals, enabling works</w:t>
            </w:r>
          </w:p>
        </w:tc>
        <w:tc>
          <w:tcPr>
            <w:tcW w:type="dxa" w:w="1958"/>
            <w:tcMar>
              <w:top w:w="80" w:type="dxa"/>
              <w:start w:w="110" w:type="dxa"/>
              <w:bottom w:w="80" w:type="dxa"/>
              <w:end w:w="110" w:type="dxa"/>
            </w:tcMar>
          </w:tcPr>
          <w:p>
            <w:r>
              <w:t>Sites controlled; tenders launched</w:t>
            </w:r>
          </w:p>
        </w:tc>
      </w:tr>
      <w:tr>
        <w:tc>
          <w:tcPr>
            <w:tcW w:type="dxa" w:w="1958"/>
            <w:tcMar>
              <w:top w:w="80" w:type="dxa"/>
              <w:start w:w="110" w:type="dxa"/>
              <w:bottom w:w="80" w:type="dxa"/>
              <w:end w:w="110" w:type="dxa"/>
            </w:tcMar>
          </w:tcPr>
          <w:p>
            <w:pPr>
              <w:jc w:val="center"/>
            </w:pPr>
            <w:r>
              <w:t>Y2</w:t>
            </w:r>
          </w:p>
        </w:tc>
        <w:tc>
          <w:tcPr>
            <w:tcW w:type="dxa" w:w="1958"/>
            <w:tcMar>
              <w:top w:w="80" w:type="dxa"/>
              <w:start w:w="110" w:type="dxa"/>
              <w:bottom w:w="80" w:type="dxa"/>
              <w:end w:w="110" w:type="dxa"/>
            </w:tcMar>
          </w:tcPr>
          <w:p>
            <w:pPr>
              <w:jc w:val="center"/>
            </w:pPr>
            <w:r>
              <w:t>$410.0m</w:t>
            </w:r>
          </w:p>
        </w:tc>
        <w:tc>
          <w:tcPr>
            <w:tcW w:type="dxa" w:w="1958"/>
            <w:tcMar>
              <w:top w:w="80" w:type="dxa"/>
              <w:start w:w="110" w:type="dxa"/>
              <w:bottom w:w="80" w:type="dxa"/>
              <w:end w:w="110" w:type="dxa"/>
            </w:tcMar>
          </w:tcPr>
          <w:p>
            <w:r>
              <w:t>Marina, Palm, Downtown, Jumeirah</w:t>
            </w:r>
          </w:p>
        </w:tc>
        <w:tc>
          <w:tcPr>
            <w:tcW w:type="dxa" w:w="1958"/>
            <w:tcMar>
              <w:top w:w="80" w:type="dxa"/>
              <w:start w:w="110" w:type="dxa"/>
              <w:bottom w:w="80" w:type="dxa"/>
              <w:end w:w="110" w:type="dxa"/>
            </w:tcMar>
          </w:tcPr>
          <w:p>
            <w:r>
              <w:t>Main works, infrastructure, launch spend</w:t>
            </w:r>
          </w:p>
        </w:tc>
        <w:tc>
          <w:tcPr>
            <w:tcW w:type="dxa" w:w="1958"/>
            <w:tcMar>
              <w:top w:w="80" w:type="dxa"/>
              <w:start w:w="110" w:type="dxa"/>
              <w:bottom w:w="80" w:type="dxa"/>
              <w:end w:w="110" w:type="dxa"/>
            </w:tcMar>
          </w:tcPr>
          <w:p>
            <w:r>
              <w:t>Peak contractor mobilisation and presales</w:t>
            </w:r>
          </w:p>
        </w:tc>
      </w:tr>
      <w:tr>
        <w:tc>
          <w:tcPr>
            <w:tcW w:type="dxa" w:w="1958"/>
            <w:tcMar>
              <w:top w:w="80" w:type="dxa"/>
              <w:start w:w="110" w:type="dxa"/>
              <w:bottom w:w="80" w:type="dxa"/>
              <w:end w:w="110" w:type="dxa"/>
            </w:tcMar>
          </w:tcPr>
          <w:p>
            <w:pPr>
              <w:jc w:val="center"/>
            </w:pPr>
            <w:r>
              <w:t>Y3</w:t>
            </w:r>
          </w:p>
        </w:tc>
        <w:tc>
          <w:tcPr>
            <w:tcW w:type="dxa" w:w="1958"/>
            <w:tcMar>
              <w:top w:w="80" w:type="dxa"/>
              <w:start w:w="110" w:type="dxa"/>
              <w:bottom w:w="80" w:type="dxa"/>
              <w:end w:w="110" w:type="dxa"/>
            </w:tcMar>
          </w:tcPr>
          <w:p>
            <w:pPr>
              <w:jc w:val="center"/>
            </w:pPr>
            <w:r>
              <w:t>$285.0m</w:t>
            </w:r>
          </w:p>
        </w:tc>
        <w:tc>
          <w:tcPr>
            <w:tcW w:type="dxa" w:w="1958"/>
            <w:tcMar>
              <w:top w:w="80" w:type="dxa"/>
              <w:start w:w="110" w:type="dxa"/>
              <w:bottom w:w="80" w:type="dxa"/>
              <w:end w:w="110" w:type="dxa"/>
            </w:tcMar>
          </w:tcPr>
          <w:p>
            <w:r>
              <w:t>Downtown, Jumeirah, Creekside, Desert Hills</w:t>
            </w:r>
          </w:p>
        </w:tc>
        <w:tc>
          <w:tcPr>
            <w:tcW w:type="dxa" w:w="1958"/>
            <w:tcMar>
              <w:top w:w="80" w:type="dxa"/>
              <w:start w:w="110" w:type="dxa"/>
              <w:bottom w:w="80" w:type="dxa"/>
              <w:end w:w="110" w:type="dxa"/>
            </w:tcMar>
          </w:tcPr>
          <w:p>
            <w:r>
              <w:t>Vertical construction, fit-out, infrastructure</w:t>
            </w:r>
          </w:p>
        </w:tc>
        <w:tc>
          <w:tcPr>
            <w:tcW w:type="dxa" w:w="1958"/>
            <w:tcMar>
              <w:top w:w="80" w:type="dxa"/>
              <w:start w:w="110" w:type="dxa"/>
              <w:bottom w:w="80" w:type="dxa"/>
              <w:end w:w="110" w:type="dxa"/>
            </w:tcMar>
          </w:tcPr>
          <w:p>
            <w:r>
              <w:t>Portfolio-wide execution and staged launches</w:t>
            </w:r>
          </w:p>
        </w:tc>
      </w:tr>
      <w:tr>
        <w:tc>
          <w:tcPr>
            <w:tcW w:type="dxa" w:w="1958"/>
            <w:tcMar>
              <w:top w:w="80" w:type="dxa"/>
              <w:start w:w="110" w:type="dxa"/>
              <w:bottom w:w="80" w:type="dxa"/>
              <w:end w:w="110" w:type="dxa"/>
            </w:tcMar>
          </w:tcPr>
          <w:p>
            <w:pPr>
              <w:jc w:val="center"/>
            </w:pPr>
            <w:r>
              <w:t>Y4</w:t>
            </w:r>
          </w:p>
        </w:tc>
        <w:tc>
          <w:tcPr>
            <w:tcW w:type="dxa" w:w="1958"/>
            <w:tcMar>
              <w:top w:w="80" w:type="dxa"/>
              <w:start w:w="110" w:type="dxa"/>
              <w:bottom w:w="80" w:type="dxa"/>
              <w:end w:w="110" w:type="dxa"/>
            </w:tcMar>
          </w:tcPr>
          <w:p>
            <w:pPr>
              <w:jc w:val="center"/>
            </w:pPr>
            <w:r>
              <w:t>$125.0m</w:t>
            </w:r>
          </w:p>
        </w:tc>
        <w:tc>
          <w:tcPr>
            <w:tcW w:type="dxa" w:w="1958"/>
            <w:tcMar>
              <w:top w:w="80" w:type="dxa"/>
              <w:start w:w="110" w:type="dxa"/>
              <w:bottom w:w="80" w:type="dxa"/>
              <w:end w:w="110" w:type="dxa"/>
            </w:tcMar>
          </w:tcPr>
          <w:p>
            <w:r>
              <w:t>All active projects + GCC options</w:t>
            </w:r>
          </w:p>
        </w:tc>
        <w:tc>
          <w:tcPr>
            <w:tcW w:type="dxa" w:w="1958"/>
            <w:tcMar>
              <w:top w:w="80" w:type="dxa"/>
              <w:start w:w="110" w:type="dxa"/>
              <w:bottom w:w="80" w:type="dxa"/>
              <w:end w:w="110" w:type="dxa"/>
            </w:tcMar>
          </w:tcPr>
          <w:p>
            <w:r>
              <w:t>Completion, handover, reserves, optional growth</w:t>
            </w:r>
          </w:p>
        </w:tc>
        <w:tc>
          <w:tcPr>
            <w:tcW w:type="dxa" w:w="1958"/>
            <w:tcMar>
              <w:top w:w="80" w:type="dxa"/>
              <w:start w:w="110" w:type="dxa"/>
              <w:bottom w:w="80" w:type="dxa"/>
              <w:end w:w="110" w:type="dxa"/>
            </w:tcMar>
          </w:tcPr>
          <w:p>
            <w:r>
              <w:t>Delivery, close-out, selective expansion</w:t>
            </w:r>
          </w:p>
        </w:tc>
      </w:tr>
    </w:tbl>
    <w:p>
      <w:pPr>
        <w:pStyle w:val="SectionHeader"/>
      </w:pPr>
      <w:r>
        <w:t>6. Capital Call Planning</w:t>
      </w:r>
    </w:p>
    <w:p>
      <w:pPr>
        <w:pStyle w:val="BodyTight"/>
      </w:pPr>
      <w:r>
        <w:t>Investor funding is assumed to be drawn in tranches rather than fully prefunded. The base plan contemplates an initial draw of approximately $180.0 million at closing to satisfy near-term land payments, advisor and consultant mobilisation, escrow and reserve setup, and first-wave design and permitting obligations. Thereafter, capital calls are expected quarterly during the heavy deployment window, with flexibility to convert to milestone-based special calls if approvals or contractor awards move materially ahead of or behind plan.</w:t>
      </w:r>
    </w:p>
    <w:p>
      <w:pPr>
        <w:pStyle w:val="BodyTight"/>
      </w:pPr>
      <w:r>
        <w:t>Indicative calls are scheduled as follows: Call 1 at closing ($180.0 million), Call 2 at month 6 ($125.0 million), Call 3 at month 12 ($160.0 million), Call 4 at month 18 ($170.0 million), Call 5 at month 24 ($150.0 million), Call 6 at month 30 ($110.0 million), Call 7 at month 36 ($85.0 million), and a reserve or optionality call of up to $70.0 million in months 42–48 if GCC expansion options are approved. The objective is to minimise negative carry while ensuring funding certainty for hard commitments.</w:t>
      </w:r>
    </w:p>
    <w:p>
      <w:pPr>
        <w:pStyle w:val="BodyTight"/>
      </w:pPr>
      <w:r>
        <w:t>The capital call construct also creates a governance rhythm. Each call is expected to be accompanied by an updated deployment report, revised project budget status, variance to prior plan, confirmation of milestone achievement, liquidity look-ahead, and a recommendation from management and the board’s investment or finance committee.</w:t>
      </w:r>
    </w:p>
    <w:p>
      <w:pPr>
        <w:pStyle w:val="SectionHeader"/>
      </w:pPr>
      <w:r>
        <w:t>7. Allocation of Funds Across Business Areas</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5184"/>
            <w:shd w:fill="D9EAF7"/>
            <w:tcMar>
              <w:top w:w="80" w:type="dxa"/>
              <w:start w:w="110" w:type="dxa"/>
              <w:bottom w:w="80" w:type="dxa"/>
              <w:end w:w="110" w:type="dxa"/>
            </w:tcMar>
          </w:tcPr>
          <w:p>
            <w:r>
              <w:rPr>
                <w:b/>
              </w:rPr>
              <w:t>Business area</w:t>
            </w:r>
          </w:p>
        </w:tc>
        <w:tc>
          <w:tcPr>
            <w:tcW w:type="dxa" w:w="1872"/>
            <w:shd w:fill="D9EAF7"/>
            <w:tcMar>
              <w:top w:w="80" w:type="dxa"/>
              <w:start w:w="110" w:type="dxa"/>
              <w:bottom w:w="80" w:type="dxa"/>
              <w:end w:w="110" w:type="dxa"/>
            </w:tcMar>
          </w:tcPr>
          <w:p>
            <w:r>
              <w:rPr>
                <w:b/>
              </w:rPr>
              <w:t>Amount (USD)</w:t>
            </w:r>
          </w:p>
        </w:tc>
        <w:tc>
          <w:tcPr>
            <w:tcW w:type="dxa" w:w="1728"/>
            <w:shd w:fill="D9EAF7"/>
            <w:tcMar>
              <w:top w:w="80" w:type="dxa"/>
              <w:start w:w="110" w:type="dxa"/>
              <w:bottom w:w="80" w:type="dxa"/>
              <w:end w:w="110" w:type="dxa"/>
            </w:tcMar>
          </w:tcPr>
          <w:p>
            <w:r>
              <w:rPr>
                <w:b/>
              </w:rPr>
              <w:t>% of total</w:t>
            </w:r>
          </w:p>
        </w:tc>
      </w:tr>
      <w:tr>
        <w:tc>
          <w:tcPr>
            <w:tcW w:type="dxa" w:w="3264"/>
            <w:tcMar>
              <w:top w:w="80" w:type="dxa"/>
              <w:start w:w="110" w:type="dxa"/>
              <w:bottom w:w="80" w:type="dxa"/>
              <w:end w:w="110" w:type="dxa"/>
            </w:tcMar>
          </w:tcPr>
          <w:p>
            <w:r>
              <w:t>Land acquisition and transfer costs</w:t>
            </w:r>
          </w:p>
        </w:tc>
        <w:tc>
          <w:tcPr>
            <w:tcW w:type="dxa" w:w="3264"/>
            <w:tcMar>
              <w:top w:w="80" w:type="dxa"/>
              <w:start w:w="110" w:type="dxa"/>
              <w:bottom w:w="80" w:type="dxa"/>
              <w:end w:w="110" w:type="dxa"/>
            </w:tcMar>
          </w:tcPr>
          <w:p>
            <w:pPr>
              <w:jc w:val="center"/>
            </w:pPr>
            <w:r>
              <w:t>$220.0m</w:t>
            </w:r>
          </w:p>
        </w:tc>
        <w:tc>
          <w:tcPr>
            <w:tcW w:type="dxa" w:w="3264"/>
            <w:tcMar>
              <w:top w:w="80" w:type="dxa"/>
              <w:start w:w="110" w:type="dxa"/>
              <w:bottom w:w="80" w:type="dxa"/>
              <w:end w:w="110" w:type="dxa"/>
            </w:tcMar>
          </w:tcPr>
          <w:p>
            <w:pPr>
              <w:jc w:val="center"/>
            </w:pPr>
            <w:r>
              <w:t>21.0%</w:t>
            </w:r>
          </w:p>
        </w:tc>
      </w:tr>
      <w:tr>
        <w:tc>
          <w:tcPr>
            <w:tcW w:type="dxa" w:w="3264"/>
            <w:tcMar>
              <w:top w:w="80" w:type="dxa"/>
              <w:start w:w="110" w:type="dxa"/>
              <w:bottom w:w="80" w:type="dxa"/>
              <w:end w:w="110" w:type="dxa"/>
            </w:tcMar>
          </w:tcPr>
          <w:p>
            <w:r>
              <w:t>Construction and direct development costs</w:t>
            </w:r>
          </w:p>
        </w:tc>
        <w:tc>
          <w:tcPr>
            <w:tcW w:type="dxa" w:w="3264"/>
            <w:tcMar>
              <w:top w:w="80" w:type="dxa"/>
              <w:start w:w="110" w:type="dxa"/>
              <w:bottom w:w="80" w:type="dxa"/>
              <w:end w:w="110" w:type="dxa"/>
            </w:tcMar>
          </w:tcPr>
          <w:p>
            <w:pPr>
              <w:jc w:val="center"/>
            </w:pPr>
            <w:r>
              <w:t>$515.0m</w:t>
            </w:r>
          </w:p>
        </w:tc>
        <w:tc>
          <w:tcPr>
            <w:tcW w:type="dxa" w:w="3264"/>
            <w:tcMar>
              <w:top w:w="80" w:type="dxa"/>
              <w:start w:w="110" w:type="dxa"/>
              <w:bottom w:w="80" w:type="dxa"/>
              <w:end w:w="110" w:type="dxa"/>
            </w:tcMar>
          </w:tcPr>
          <w:p>
            <w:pPr>
              <w:jc w:val="center"/>
            </w:pPr>
            <w:r>
              <w:t>49.0%</w:t>
            </w:r>
          </w:p>
        </w:tc>
      </w:tr>
      <w:tr>
        <w:tc>
          <w:tcPr>
            <w:tcW w:type="dxa" w:w="3264"/>
            <w:tcMar>
              <w:top w:w="80" w:type="dxa"/>
              <w:start w:w="110" w:type="dxa"/>
              <w:bottom w:w="80" w:type="dxa"/>
              <w:end w:w="110" w:type="dxa"/>
            </w:tcMar>
          </w:tcPr>
          <w:p>
            <w:r>
              <w:t>Project infrastructure and utilities</w:t>
            </w:r>
          </w:p>
        </w:tc>
        <w:tc>
          <w:tcPr>
            <w:tcW w:type="dxa" w:w="3264"/>
            <w:tcMar>
              <w:top w:w="80" w:type="dxa"/>
              <w:start w:w="110" w:type="dxa"/>
              <w:bottom w:w="80" w:type="dxa"/>
              <w:end w:w="110" w:type="dxa"/>
            </w:tcMar>
          </w:tcPr>
          <w:p>
            <w:pPr>
              <w:jc w:val="center"/>
            </w:pPr>
            <w:r>
              <w:t>$92.0m</w:t>
            </w:r>
          </w:p>
        </w:tc>
        <w:tc>
          <w:tcPr>
            <w:tcW w:type="dxa" w:w="3264"/>
            <w:tcMar>
              <w:top w:w="80" w:type="dxa"/>
              <w:start w:w="110" w:type="dxa"/>
              <w:bottom w:w="80" w:type="dxa"/>
              <w:end w:w="110" w:type="dxa"/>
            </w:tcMar>
          </w:tcPr>
          <w:p>
            <w:pPr>
              <w:jc w:val="center"/>
            </w:pPr>
            <w:r>
              <w:t>8.8%</w:t>
            </w:r>
          </w:p>
        </w:tc>
      </w:tr>
      <w:tr>
        <w:tc>
          <w:tcPr>
            <w:tcW w:type="dxa" w:w="3264"/>
            <w:tcMar>
              <w:top w:w="80" w:type="dxa"/>
              <w:start w:w="110" w:type="dxa"/>
              <w:bottom w:w="80" w:type="dxa"/>
              <w:end w:w="110" w:type="dxa"/>
            </w:tcMar>
          </w:tcPr>
          <w:p>
            <w:r>
              <w:t>Marketing, sales launch, and broker channels</w:t>
            </w:r>
          </w:p>
        </w:tc>
        <w:tc>
          <w:tcPr>
            <w:tcW w:type="dxa" w:w="3264"/>
            <w:tcMar>
              <w:top w:w="80" w:type="dxa"/>
              <w:start w:w="110" w:type="dxa"/>
              <w:bottom w:w="80" w:type="dxa"/>
              <w:end w:w="110" w:type="dxa"/>
            </w:tcMar>
          </w:tcPr>
          <w:p>
            <w:pPr>
              <w:jc w:val="center"/>
            </w:pPr>
            <w:r>
              <w:t>$54.0m</w:t>
            </w:r>
          </w:p>
        </w:tc>
        <w:tc>
          <w:tcPr>
            <w:tcW w:type="dxa" w:w="3264"/>
            <w:tcMar>
              <w:top w:w="80" w:type="dxa"/>
              <w:start w:w="110" w:type="dxa"/>
              <w:bottom w:w="80" w:type="dxa"/>
              <w:end w:w="110" w:type="dxa"/>
            </w:tcMar>
          </w:tcPr>
          <w:p>
            <w:pPr>
              <w:jc w:val="center"/>
            </w:pPr>
            <w:r>
              <w:t>5.1%</w:t>
            </w:r>
          </w:p>
        </w:tc>
      </w:tr>
      <w:tr>
        <w:tc>
          <w:tcPr>
            <w:tcW w:type="dxa" w:w="3264"/>
            <w:tcMar>
              <w:top w:w="80" w:type="dxa"/>
              <w:start w:w="110" w:type="dxa"/>
              <w:bottom w:w="80" w:type="dxa"/>
              <w:end w:w="110" w:type="dxa"/>
            </w:tcMar>
          </w:tcPr>
          <w:p>
            <w:r>
              <w:t>Hiring and operating expansion</w:t>
            </w:r>
          </w:p>
        </w:tc>
        <w:tc>
          <w:tcPr>
            <w:tcW w:type="dxa" w:w="3264"/>
            <w:tcMar>
              <w:top w:w="80" w:type="dxa"/>
              <w:start w:w="110" w:type="dxa"/>
              <w:bottom w:w="80" w:type="dxa"/>
              <w:end w:w="110" w:type="dxa"/>
            </w:tcMar>
          </w:tcPr>
          <w:p>
            <w:pPr>
              <w:jc w:val="center"/>
            </w:pPr>
            <w:r>
              <w:t>$46.0m</w:t>
            </w:r>
          </w:p>
        </w:tc>
        <w:tc>
          <w:tcPr>
            <w:tcW w:type="dxa" w:w="3264"/>
            <w:tcMar>
              <w:top w:w="80" w:type="dxa"/>
              <w:start w:w="110" w:type="dxa"/>
              <w:bottom w:w="80" w:type="dxa"/>
              <w:end w:w="110" w:type="dxa"/>
            </w:tcMar>
          </w:tcPr>
          <w:p>
            <w:pPr>
              <w:jc w:val="center"/>
            </w:pPr>
            <w:r>
              <w:t>4.4%</w:t>
            </w:r>
          </w:p>
        </w:tc>
      </w:tr>
      <w:tr>
        <w:tc>
          <w:tcPr>
            <w:tcW w:type="dxa" w:w="3264"/>
            <w:tcMar>
              <w:top w:w="80" w:type="dxa"/>
              <w:start w:w="110" w:type="dxa"/>
              <w:bottom w:w="80" w:type="dxa"/>
              <w:end w:w="110" w:type="dxa"/>
            </w:tcMar>
          </w:tcPr>
          <w:p>
            <w:r>
              <w:t>Technology, controls, and reporting infrastructure</w:t>
            </w:r>
          </w:p>
        </w:tc>
        <w:tc>
          <w:tcPr>
            <w:tcW w:type="dxa" w:w="3264"/>
            <w:tcMar>
              <w:top w:w="80" w:type="dxa"/>
              <w:start w:w="110" w:type="dxa"/>
              <w:bottom w:w="80" w:type="dxa"/>
              <w:end w:w="110" w:type="dxa"/>
            </w:tcMar>
          </w:tcPr>
          <w:p>
            <w:pPr>
              <w:jc w:val="center"/>
            </w:pPr>
            <w:r>
              <w:t>$17.0m</w:t>
            </w:r>
          </w:p>
        </w:tc>
        <w:tc>
          <w:tcPr>
            <w:tcW w:type="dxa" w:w="3264"/>
            <w:tcMar>
              <w:top w:w="80" w:type="dxa"/>
              <w:start w:w="110" w:type="dxa"/>
              <w:bottom w:w="80" w:type="dxa"/>
              <w:end w:w="110" w:type="dxa"/>
            </w:tcMar>
          </w:tcPr>
          <w:p>
            <w:pPr>
              <w:jc w:val="center"/>
            </w:pPr>
            <w:r>
              <w:t>1.6%</w:t>
            </w:r>
          </w:p>
        </w:tc>
      </w:tr>
      <w:tr>
        <w:tc>
          <w:tcPr>
            <w:tcW w:type="dxa" w:w="3264"/>
            <w:tcMar>
              <w:top w:w="80" w:type="dxa"/>
              <w:start w:w="110" w:type="dxa"/>
              <w:bottom w:w="80" w:type="dxa"/>
              <w:end w:w="110" w:type="dxa"/>
            </w:tcMar>
          </w:tcPr>
          <w:p>
            <w:r>
              <w:t>Working capital and contingency reserve</w:t>
            </w:r>
          </w:p>
        </w:tc>
        <w:tc>
          <w:tcPr>
            <w:tcW w:type="dxa" w:w="3264"/>
            <w:tcMar>
              <w:top w:w="80" w:type="dxa"/>
              <w:start w:w="110" w:type="dxa"/>
              <w:bottom w:w="80" w:type="dxa"/>
              <w:end w:w="110" w:type="dxa"/>
            </w:tcMar>
          </w:tcPr>
          <w:p>
            <w:pPr>
              <w:jc w:val="center"/>
            </w:pPr>
            <w:r>
              <w:t>$106.0m</w:t>
            </w:r>
          </w:p>
        </w:tc>
        <w:tc>
          <w:tcPr>
            <w:tcW w:type="dxa" w:w="3264"/>
            <w:tcMar>
              <w:top w:w="80" w:type="dxa"/>
              <w:start w:w="110" w:type="dxa"/>
              <w:bottom w:w="80" w:type="dxa"/>
              <w:end w:w="110" w:type="dxa"/>
            </w:tcMar>
          </w:tcPr>
          <w:p>
            <w:pPr>
              <w:jc w:val="center"/>
            </w:pPr>
            <w:r>
              <w:t>10.1%</w:t>
            </w:r>
          </w:p>
        </w:tc>
      </w:tr>
    </w:tbl>
    <w:p>
      <w:pPr>
        <w:pStyle w:val="SectionHeader"/>
      </w:pPr>
      <w:r>
        <w:t>8. Project-Specific Capital Deployment</w:t>
      </w:r>
    </w:p>
    <w:p>
      <w:pPr>
        <w:pStyle w:val="BodyTight"/>
      </w:pPr>
      <w:r>
        <w:t>Marina Residences Tower is expected to absorb approximately $250.0 million of investor-linked deployment over 48 months. The first six months are dominated by land settlement, design finalisation, authority interfaces, and early enabling works; months 7–24 are construction-heavy, with the largest monthly outflows during superstructure and façade execution; months 25–42 transition toward fit-out, hospitality package integration, and handover preparation.</w:t>
      </w:r>
    </w:p>
    <w:p>
      <w:pPr>
        <w:pStyle w:val="BodyTight"/>
      </w:pPr>
      <w:r>
        <w:t>Palm Waterfront Villas requires approximately $160.0 million of deployment, with a relatively high proportion of early capital consumed by land and external works. Sales launch activity occurs earlier in the life cycle, reflecting the premium villa buyer profile and the importance of rendering, branded collateral, show units, and broker engagement. The project is also expected to benefit from quicker customer collection cycles than tower assets once launches commence.</w:t>
      </w:r>
    </w:p>
    <w:p>
      <w:pPr>
        <w:pStyle w:val="BodyTight"/>
      </w:pPr>
      <w:r>
        <w:t>Downtown Branded Residences and Jumeirah Mixed-Use are capital intensive but more back-ended because of branding, design, and entitlement coordination. Together they are expected to absorb approximately $320.0 million over the 48-month plan. Creekside Signature Residences and Desert Hills Villa Community account for the balance and provide mid-cycle deployment flexibility, allowing management to accelerate or moderate spend depending on market absorption and financing conditions.</w:t>
      </w:r>
    </w:p>
    <w:p>
      <w:pPr>
        <w:pStyle w:val="SectionHeader"/>
      </w:pPr>
      <w:r>
        <w:t>9. Financial Monitoring and Reporting</w:t>
      </w:r>
    </w:p>
    <w:p>
      <w:pPr>
        <w:pStyle w:val="BodyTight"/>
      </w:pPr>
      <w:r>
        <w:t>Capital deployment will be monitored through a monthly reporting pack combining project budget-to-actual analysis, committed-but-undrawn contract exposure, contingency consumption, presales progress, debt draw status, liquidity headroom, and revised completion forecasts. Management intends to produce a formal deployment dashboard within ten business days of each month-end, supported by project-level commentaries from development, finance, procurement, and sales leadership.</w:t>
      </w:r>
    </w:p>
    <w:p>
      <w:pPr>
        <w:pStyle w:val="BodyTight"/>
      </w:pPr>
      <w:r>
        <w:t>Quarterly investor reporting will include a capital call bridge, source-and-use update, variance commentary by project and business area, covenant and liquidity observations, forecast completion cost updates, and milestone confirmations for each live project. Material deviations from plan—defined as a project budget variance above 5%, a milestone slip above 60 days, or a cash call brought forward by more than one quarter—will trigger a board-level review and a revised capital deployment paper.</w:t>
      </w:r>
    </w:p>
    <w:p>
      <w:pPr>
        <w:pStyle w:val="BodyTight"/>
      </w:pPr>
      <w:r>
        <w:t>The internal control environment is expected to include dual approval for major capex, contract approval thresholds, monthly reconciliation of committed versus spent funds, escrow and reserve tracking, and an approval matrix governing transfers between project budgets and the corporate contingency pool.</w:t>
      </w:r>
    </w:p>
    <w:p>
      <w:pPr>
        <w:pStyle w:val="SectionHeader"/>
      </w:pPr>
      <w:r>
        <w:t>10. Risk Management</w:t>
      </w:r>
    </w:p>
    <w:p>
      <w:pPr>
        <w:pStyle w:val="BodyTight"/>
      </w:pPr>
      <w:r>
        <w:t>The principal risks to the deployment timeline are construction delay, approvals slippage, inflation in labour and materials, softening in luxury demand, and lender risk associated with project finance drawdowns. The deployment strategy addresses these by retaining a dedicated contingency reserve, sequencing lower-priority projects behind flagship developments, using phased contractor awards where feasible, and pacing capital calls to confirmed milestones rather than static calendar assumptions.</w:t>
      </w:r>
    </w:p>
    <w:p>
      <w:pPr>
        <w:pStyle w:val="BodyTight"/>
      </w:pPr>
      <w:r>
        <w:t>Regulatory and authority risk is mitigated through early engagement with consultants and authorities, buffering of approval timelines, and conservative assumptions regarding permitting turnarounds. Market risk is addressed by staggering launches, avoiding excessive simultaneous inventory release, and preserving optionality to slow mixed-use or non-core phases if demand or pricing deteriorates. Funding risk is managed through a combination of investor capital, project debt, and customer collections, with unrestricted liquidity headroom maintained at all times.</w:t>
      </w:r>
    </w:p>
    <w:p>
      <w:pPr>
        <w:pStyle w:val="BodyTight"/>
      </w:pPr>
      <w:r>
        <w:t>From an investor perspective, the most important mitigation is reporting discipline. The deployment plan is intended to be a live governance tool rather than a static schedule. Capital call decisions, project pacing, and reserve usage are all designed to be revisited as the development cycle progresses, thereby reducing the probability of overfunding early or underfunding late-stage obligations.</w:t>
      </w:r>
    </w:p>
    <w:p>
      <w:pPr>
        <w:pStyle w:val="SubHeader"/>
      </w:pPr>
      <w:r>
        <w:t>Appendix: Illustrative quarterly deployment cadence by category</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rPr>
        <w:tc>
          <w:tcPr>
            <w:tcW w:type="dxa" w:w="1296"/>
            <w:shd w:fill="D9EAF7"/>
            <w:tcMar>
              <w:top w:w="80" w:type="dxa"/>
              <w:start w:w="110" w:type="dxa"/>
              <w:bottom w:w="80" w:type="dxa"/>
              <w:end w:w="110" w:type="dxa"/>
            </w:tcMar>
          </w:tcPr>
          <w:p>
            <w:r>
              <w:rPr>
                <w:b/>
              </w:rPr>
              <w:t>Period</w:t>
            </w:r>
          </w:p>
        </w:tc>
        <w:tc>
          <w:tcPr>
            <w:tcW w:type="dxa" w:w="1656"/>
            <w:shd w:fill="D9EAF7"/>
            <w:tcMar>
              <w:top w:w="80" w:type="dxa"/>
              <w:start w:w="110" w:type="dxa"/>
              <w:bottom w:w="80" w:type="dxa"/>
              <w:end w:w="110" w:type="dxa"/>
            </w:tcMar>
          </w:tcPr>
          <w:p>
            <w:r>
              <w:rPr>
                <w:b/>
              </w:rPr>
              <w:t>Land</w:t>
            </w:r>
          </w:p>
        </w:tc>
        <w:tc>
          <w:tcPr>
            <w:tcW w:type="dxa" w:w="1656"/>
            <w:shd w:fill="D9EAF7"/>
            <w:tcMar>
              <w:top w:w="80" w:type="dxa"/>
              <w:start w:w="110" w:type="dxa"/>
              <w:bottom w:w="80" w:type="dxa"/>
              <w:end w:w="110" w:type="dxa"/>
            </w:tcMar>
          </w:tcPr>
          <w:p>
            <w:r>
              <w:rPr>
                <w:b/>
              </w:rPr>
              <w:t>Construction</w:t>
            </w:r>
          </w:p>
        </w:tc>
        <w:tc>
          <w:tcPr>
            <w:tcW w:type="dxa" w:w="1656"/>
            <w:shd w:fill="D9EAF7"/>
            <w:tcMar>
              <w:top w:w="80" w:type="dxa"/>
              <w:start w:w="110" w:type="dxa"/>
              <w:bottom w:w="80" w:type="dxa"/>
              <w:end w:w="110" w:type="dxa"/>
            </w:tcMar>
          </w:tcPr>
          <w:p>
            <w:r>
              <w:rPr>
                <w:b/>
              </w:rPr>
              <w:t>Infrastructure</w:t>
            </w:r>
          </w:p>
        </w:tc>
        <w:tc>
          <w:tcPr>
            <w:tcW w:type="dxa" w:w="1656"/>
            <w:shd w:fill="D9EAF7"/>
            <w:tcMar>
              <w:top w:w="80" w:type="dxa"/>
              <w:start w:w="110" w:type="dxa"/>
              <w:bottom w:w="80" w:type="dxa"/>
              <w:end w:w="110" w:type="dxa"/>
            </w:tcMar>
          </w:tcPr>
          <w:p>
            <w:r>
              <w:rPr>
                <w:b/>
              </w:rPr>
              <w:t>Sales &amp; G&amp;A</w:t>
            </w:r>
          </w:p>
        </w:tc>
        <w:tc>
          <w:tcPr>
            <w:tcW w:type="dxa" w:w="2016"/>
            <w:shd w:fill="D9EAF7"/>
            <w:tcMar>
              <w:top w:w="80" w:type="dxa"/>
              <w:start w:w="110" w:type="dxa"/>
              <w:bottom w:w="80" w:type="dxa"/>
              <w:end w:w="110" w:type="dxa"/>
            </w:tcMar>
          </w:tcPr>
          <w:p>
            <w:r>
              <w:rPr>
                <w:b/>
              </w:rPr>
              <w:t>Total deployed</w:t>
            </w:r>
          </w:p>
        </w:tc>
      </w:tr>
      <w:tr>
        <w:tc>
          <w:tcPr>
            <w:tcW w:type="dxa" w:w="1632"/>
            <w:tcMar>
              <w:top w:w="80" w:type="dxa"/>
              <w:start w:w="110" w:type="dxa"/>
              <w:bottom w:w="80" w:type="dxa"/>
              <w:end w:w="110" w:type="dxa"/>
            </w:tcMar>
          </w:tcPr>
          <w:p>
            <w:pPr>
              <w:jc w:val="center"/>
            </w:pPr>
            <w:r>
              <w:t>Y1 Q1</w:t>
            </w:r>
          </w:p>
        </w:tc>
        <w:tc>
          <w:tcPr>
            <w:tcW w:type="dxa" w:w="1632"/>
            <w:tcMar>
              <w:top w:w="80" w:type="dxa"/>
              <w:start w:w="110" w:type="dxa"/>
              <w:bottom w:w="80" w:type="dxa"/>
              <w:end w:w="110" w:type="dxa"/>
            </w:tcMar>
          </w:tcPr>
          <w:p>
            <w:pPr>
              <w:jc w:val="center"/>
            </w:pPr>
            <w:r>
              <w:t>$55m</w:t>
            </w:r>
          </w:p>
        </w:tc>
        <w:tc>
          <w:tcPr>
            <w:tcW w:type="dxa" w:w="1632"/>
            <w:tcMar>
              <w:top w:w="80" w:type="dxa"/>
              <w:start w:w="110" w:type="dxa"/>
              <w:bottom w:w="80" w:type="dxa"/>
              <w:end w:w="110" w:type="dxa"/>
            </w:tcMar>
          </w:tcPr>
          <w:p>
            <w:pPr>
              <w:jc w:val="center"/>
            </w:pPr>
            <w:r>
              <w:t>$8m</w:t>
            </w:r>
          </w:p>
        </w:tc>
        <w:tc>
          <w:tcPr>
            <w:tcW w:type="dxa" w:w="1632"/>
            <w:tcMar>
              <w:top w:w="80" w:type="dxa"/>
              <w:start w:w="110" w:type="dxa"/>
              <w:bottom w:w="80" w:type="dxa"/>
              <w:end w:w="110" w:type="dxa"/>
            </w:tcMar>
          </w:tcPr>
          <w:p>
            <w:pPr>
              <w:jc w:val="center"/>
            </w:pPr>
            <w:r>
              <w:t>$5m</w:t>
            </w:r>
          </w:p>
        </w:tc>
        <w:tc>
          <w:tcPr>
            <w:tcW w:type="dxa" w:w="1632"/>
            <w:tcMar>
              <w:top w:w="80" w:type="dxa"/>
              <w:start w:w="110" w:type="dxa"/>
              <w:bottom w:w="80" w:type="dxa"/>
              <w:end w:w="110" w:type="dxa"/>
            </w:tcMar>
          </w:tcPr>
          <w:p>
            <w:pPr>
              <w:jc w:val="center"/>
            </w:pPr>
            <w:r>
              <w:t>$7m</w:t>
            </w:r>
          </w:p>
        </w:tc>
        <w:tc>
          <w:tcPr>
            <w:tcW w:type="dxa" w:w="1632"/>
            <w:tcMar>
              <w:top w:w="80" w:type="dxa"/>
              <w:start w:w="110" w:type="dxa"/>
              <w:bottom w:w="80" w:type="dxa"/>
              <w:end w:w="110" w:type="dxa"/>
            </w:tcMar>
          </w:tcPr>
          <w:p>
            <w:pPr>
              <w:jc w:val="center"/>
            </w:pPr>
            <w:r>
              <w:t>$75m</w:t>
            </w:r>
          </w:p>
        </w:tc>
      </w:tr>
      <w:tr>
        <w:tc>
          <w:tcPr>
            <w:tcW w:type="dxa" w:w="1632"/>
            <w:tcMar>
              <w:top w:w="80" w:type="dxa"/>
              <w:start w:w="110" w:type="dxa"/>
              <w:bottom w:w="80" w:type="dxa"/>
              <w:end w:w="110" w:type="dxa"/>
            </w:tcMar>
          </w:tcPr>
          <w:p>
            <w:pPr>
              <w:jc w:val="center"/>
            </w:pPr>
            <w:r>
              <w:t>Y1 Q2</w:t>
            </w:r>
          </w:p>
        </w:tc>
        <w:tc>
          <w:tcPr>
            <w:tcW w:type="dxa" w:w="1632"/>
            <w:tcMar>
              <w:top w:w="80" w:type="dxa"/>
              <w:start w:w="110" w:type="dxa"/>
              <w:bottom w:w="80" w:type="dxa"/>
              <w:end w:w="110" w:type="dxa"/>
            </w:tcMar>
          </w:tcPr>
          <w:p>
            <w:pPr>
              <w:jc w:val="center"/>
            </w:pPr>
            <w:r>
              <w:t>$42m</w:t>
            </w:r>
          </w:p>
        </w:tc>
        <w:tc>
          <w:tcPr>
            <w:tcW w:type="dxa" w:w="1632"/>
            <w:tcMar>
              <w:top w:w="80" w:type="dxa"/>
              <w:start w:w="110" w:type="dxa"/>
              <w:bottom w:w="80" w:type="dxa"/>
              <w:end w:w="110" w:type="dxa"/>
            </w:tcMar>
          </w:tcPr>
          <w:p>
            <w:pPr>
              <w:jc w:val="center"/>
            </w:pPr>
            <w:r>
              <w:t>$14m</w:t>
            </w:r>
          </w:p>
        </w:tc>
        <w:tc>
          <w:tcPr>
            <w:tcW w:type="dxa" w:w="1632"/>
            <w:tcMar>
              <w:top w:w="80" w:type="dxa"/>
              <w:start w:w="110" w:type="dxa"/>
              <w:bottom w:w="80" w:type="dxa"/>
              <w:end w:w="110" w:type="dxa"/>
            </w:tcMar>
          </w:tcPr>
          <w:p>
            <w:pPr>
              <w:jc w:val="center"/>
            </w:pPr>
            <w:r>
              <w:t>$7m</w:t>
            </w:r>
          </w:p>
        </w:tc>
        <w:tc>
          <w:tcPr>
            <w:tcW w:type="dxa" w:w="1632"/>
            <w:tcMar>
              <w:top w:w="80" w:type="dxa"/>
              <w:start w:w="110" w:type="dxa"/>
              <w:bottom w:w="80" w:type="dxa"/>
              <w:end w:w="110" w:type="dxa"/>
            </w:tcMar>
          </w:tcPr>
          <w:p>
            <w:pPr>
              <w:jc w:val="center"/>
            </w:pPr>
            <w:r>
              <w:t>$8m</w:t>
            </w:r>
          </w:p>
        </w:tc>
        <w:tc>
          <w:tcPr>
            <w:tcW w:type="dxa" w:w="1632"/>
            <w:tcMar>
              <w:top w:w="80" w:type="dxa"/>
              <w:start w:w="110" w:type="dxa"/>
              <w:bottom w:w="80" w:type="dxa"/>
              <w:end w:w="110" w:type="dxa"/>
            </w:tcMar>
          </w:tcPr>
          <w:p>
            <w:pPr>
              <w:jc w:val="center"/>
            </w:pPr>
            <w:r>
              <w:t>$71m</w:t>
            </w:r>
          </w:p>
        </w:tc>
      </w:tr>
      <w:tr>
        <w:tc>
          <w:tcPr>
            <w:tcW w:type="dxa" w:w="1632"/>
            <w:tcMar>
              <w:top w:w="80" w:type="dxa"/>
              <w:start w:w="110" w:type="dxa"/>
              <w:bottom w:w="80" w:type="dxa"/>
              <w:end w:w="110" w:type="dxa"/>
            </w:tcMar>
          </w:tcPr>
          <w:p>
            <w:pPr>
              <w:jc w:val="center"/>
            </w:pPr>
            <w:r>
              <w:t>Y1 Q3</w:t>
            </w:r>
          </w:p>
        </w:tc>
        <w:tc>
          <w:tcPr>
            <w:tcW w:type="dxa" w:w="1632"/>
            <w:tcMar>
              <w:top w:w="80" w:type="dxa"/>
              <w:start w:w="110" w:type="dxa"/>
              <w:bottom w:w="80" w:type="dxa"/>
              <w:end w:w="110" w:type="dxa"/>
            </w:tcMar>
          </w:tcPr>
          <w:p>
            <w:pPr>
              <w:jc w:val="center"/>
            </w:pPr>
            <w:r>
              <w:t>$28m</w:t>
            </w:r>
          </w:p>
        </w:tc>
        <w:tc>
          <w:tcPr>
            <w:tcW w:type="dxa" w:w="1632"/>
            <w:tcMar>
              <w:top w:w="80" w:type="dxa"/>
              <w:start w:w="110" w:type="dxa"/>
              <w:bottom w:w="80" w:type="dxa"/>
              <w:end w:w="110" w:type="dxa"/>
            </w:tcMar>
          </w:tcPr>
          <w:p>
            <w:pPr>
              <w:jc w:val="center"/>
            </w:pPr>
            <w:r>
              <w:t>$19m</w:t>
            </w:r>
          </w:p>
        </w:tc>
        <w:tc>
          <w:tcPr>
            <w:tcW w:type="dxa" w:w="1632"/>
            <w:tcMar>
              <w:top w:w="80" w:type="dxa"/>
              <w:start w:w="110" w:type="dxa"/>
              <w:bottom w:w="80" w:type="dxa"/>
              <w:end w:w="110" w:type="dxa"/>
            </w:tcMar>
          </w:tcPr>
          <w:p>
            <w:pPr>
              <w:jc w:val="center"/>
            </w:pPr>
            <w:r>
              <w:t>$9m</w:t>
            </w:r>
          </w:p>
        </w:tc>
        <w:tc>
          <w:tcPr>
            <w:tcW w:type="dxa" w:w="1632"/>
            <w:tcMar>
              <w:top w:w="80" w:type="dxa"/>
              <w:start w:w="110" w:type="dxa"/>
              <w:bottom w:w="80" w:type="dxa"/>
              <w:end w:w="110" w:type="dxa"/>
            </w:tcMar>
          </w:tcPr>
          <w:p>
            <w:pPr>
              <w:jc w:val="center"/>
            </w:pPr>
            <w:r>
              <w:t>$10m</w:t>
            </w:r>
          </w:p>
        </w:tc>
        <w:tc>
          <w:tcPr>
            <w:tcW w:type="dxa" w:w="1632"/>
            <w:tcMar>
              <w:top w:w="80" w:type="dxa"/>
              <w:start w:w="110" w:type="dxa"/>
              <w:bottom w:w="80" w:type="dxa"/>
              <w:end w:w="110" w:type="dxa"/>
            </w:tcMar>
          </w:tcPr>
          <w:p>
            <w:pPr>
              <w:jc w:val="center"/>
            </w:pPr>
            <w:r>
              <w:t>$66m</w:t>
            </w:r>
          </w:p>
        </w:tc>
      </w:tr>
      <w:tr>
        <w:tc>
          <w:tcPr>
            <w:tcW w:type="dxa" w:w="1632"/>
            <w:tcMar>
              <w:top w:w="80" w:type="dxa"/>
              <w:start w:w="110" w:type="dxa"/>
              <w:bottom w:w="80" w:type="dxa"/>
              <w:end w:w="110" w:type="dxa"/>
            </w:tcMar>
          </w:tcPr>
          <w:p>
            <w:pPr>
              <w:jc w:val="center"/>
            </w:pPr>
            <w:r>
              <w:t>Y1 Q4</w:t>
            </w:r>
          </w:p>
        </w:tc>
        <w:tc>
          <w:tcPr>
            <w:tcW w:type="dxa" w:w="1632"/>
            <w:tcMar>
              <w:top w:w="80" w:type="dxa"/>
              <w:start w:w="110" w:type="dxa"/>
              <w:bottom w:w="80" w:type="dxa"/>
              <w:end w:w="110" w:type="dxa"/>
            </w:tcMar>
          </w:tcPr>
          <w:p>
            <w:pPr>
              <w:jc w:val="center"/>
            </w:pPr>
            <w:r>
              <w:t>$20m</w:t>
            </w:r>
          </w:p>
        </w:tc>
        <w:tc>
          <w:tcPr>
            <w:tcW w:type="dxa" w:w="1632"/>
            <w:tcMar>
              <w:top w:w="80" w:type="dxa"/>
              <w:start w:w="110" w:type="dxa"/>
              <w:bottom w:w="80" w:type="dxa"/>
              <w:end w:w="110" w:type="dxa"/>
            </w:tcMar>
          </w:tcPr>
          <w:p>
            <w:pPr>
              <w:jc w:val="center"/>
            </w:pPr>
            <w:r>
              <w:t>$27m</w:t>
            </w:r>
          </w:p>
        </w:tc>
        <w:tc>
          <w:tcPr>
            <w:tcW w:type="dxa" w:w="1632"/>
            <w:tcMar>
              <w:top w:w="80" w:type="dxa"/>
              <w:start w:w="110" w:type="dxa"/>
              <w:bottom w:w="80" w:type="dxa"/>
              <w:end w:w="110" w:type="dxa"/>
            </w:tcMar>
          </w:tcPr>
          <w:p>
            <w:pPr>
              <w:jc w:val="center"/>
            </w:pPr>
            <w:r>
              <w:t>$10m</w:t>
            </w:r>
          </w:p>
        </w:tc>
        <w:tc>
          <w:tcPr>
            <w:tcW w:type="dxa" w:w="1632"/>
            <w:tcMar>
              <w:top w:w="80" w:type="dxa"/>
              <w:start w:w="110" w:type="dxa"/>
              <w:bottom w:w="80" w:type="dxa"/>
              <w:end w:w="110" w:type="dxa"/>
            </w:tcMar>
          </w:tcPr>
          <w:p>
            <w:pPr>
              <w:jc w:val="center"/>
            </w:pPr>
            <w:r>
              <w:t>$11m</w:t>
            </w:r>
          </w:p>
        </w:tc>
        <w:tc>
          <w:tcPr>
            <w:tcW w:type="dxa" w:w="1632"/>
            <w:tcMar>
              <w:top w:w="80" w:type="dxa"/>
              <w:start w:w="110" w:type="dxa"/>
              <w:bottom w:w="80" w:type="dxa"/>
              <w:end w:w="110" w:type="dxa"/>
            </w:tcMar>
          </w:tcPr>
          <w:p>
            <w:pPr>
              <w:jc w:val="center"/>
            </w:pPr>
            <w:r>
              <w:t>$68m</w:t>
            </w:r>
          </w:p>
        </w:tc>
      </w:tr>
      <w:tr>
        <w:tc>
          <w:tcPr>
            <w:tcW w:type="dxa" w:w="1632"/>
            <w:tcMar>
              <w:top w:w="80" w:type="dxa"/>
              <w:start w:w="110" w:type="dxa"/>
              <w:bottom w:w="80" w:type="dxa"/>
              <w:end w:w="110" w:type="dxa"/>
            </w:tcMar>
          </w:tcPr>
          <w:p>
            <w:pPr>
              <w:jc w:val="center"/>
            </w:pPr>
            <w:r>
              <w:t>Y2 Q1</w:t>
            </w:r>
          </w:p>
        </w:tc>
        <w:tc>
          <w:tcPr>
            <w:tcW w:type="dxa" w:w="1632"/>
            <w:tcMar>
              <w:top w:w="80" w:type="dxa"/>
              <w:start w:w="110" w:type="dxa"/>
              <w:bottom w:w="80" w:type="dxa"/>
              <w:end w:w="110" w:type="dxa"/>
            </w:tcMar>
          </w:tcPr>
          <w:p>
            <w:pPr>
              <w:jc w:val="center"/>
            </w:pPr>
            <w:r>
              <w:t>$18m</w:t>
            </w:r>
          </w:p>
        </w:tc>
        <w:tc>
          <w:tcPr>
            <w:tcW w:type="dxa" w:w="1632"/>
            <w:tcMar>
              <w:top w:w="80" w:type="dxa"/>
              <w:start w:w="110" w:type="dxa"/>
              <w:bottom w:w="80" w:type="dxa"/>
              <w:end w:w="110" w:type="dxa"/>
            </w:tcMar>
          </w:tcPr>
          <w:p>
            <w:pPr>
              <w:jc w:val="center"/>
            </w:pPr>
            <w:r>
              <w:t>$46m</w:t>
            </w:r>
          </w:p>
        </w:tc>
        <w:tc>
          <w:tcPr>
            <w:tcW w:type="dxa" w:w="1632"/>
            <w:tcMar>
              <w:top w:w="80" w:type="dxa"/>
              <w:start w:w="110" w:type="dxa"/>
              <w:bottom w:w="80" w:type="dxa"/>
              <w:end w:w="110" w:type="dxa"/>
            </w:tcMar>
          </w:tcPr>
          <w:p>
            <w:pPr>
              <w:jc w:val="center"/>
            </w:pPr>
            <w:r>
              <w:t>$11m</w:t>
            </w:r>
          </w:p>
        </w:tc>
        <w:tc>
          <w:tcPr>
            <w:tcW w:type="dxa" w:w="1632"/>
            <w:tcMar>
              <w:top w:w="80" w:type="dxa"/>
              <w:start w:w="110" w:type="dxa"/>
              <w:bottom w:w="80" w:type="dxa"/>
              <w:end w:w="110" w:type="dxa"/>
            </w:tcMar>
          </w:tcPr>
          <w:p>
            <w:pPr>
              <w:jc w:val="center"/>
            </w:pPr>
            <w:r>
              <w:t>$12m</w:t>
            </w:r>
          </w:p>
        </w:tc>
        <w:tc>
          <w:tcPr>
            <w:tcW w:type="dxa" w:w="1632"/>
            <w:tcMar>
              <w:top w:w="80" w:type="dxa"/>
              <w:start w:w="110" w:type="dxa"/>
              <w:bottom w:w="80" w:type="dxa"/>
              <w:end w:w="110" w:type="dxa"/>
            </w:tcMar>
          </w:tcPr>
          <w:p>
            <w:pPr>
              <w:jc w:val="center"/>
            </w:pPr>
            <w:r>
              <w:t>$87m</w:t>
            </w:r>
          </w:p>
        </w:tc>
      </w:tr>
      <w:tr>
        <w:tc>
          <w:tcPr>
            <w:tcW w:type="dxa" w:w="1632"/>
            <w:tcMar>
              <w:top w:w="80" w:type="dxa"/>
              <w:start w:w="110" w:type="dxa"/>
              <w:bottom w:w="80" w:type="dxa"/>
              <w:end w:w="110" w:type="dxa"/>
            </w:tcMar>
          </w:tcPr>
          <w:p>
            <w:pPr>
              <w:jc w:val="center"/>
            </w:pPr>
            <w:r>
              <w:t>Y2 Q2</w:t>
            </w:r>
          </w:p>
        </w:tc>
        <w:tc>
          <w:tcPr>
            <w:tcW w:type="dxa" w:w="1632"/>
            <w:tcMar>
              <w:top w:w="80" w:type="dxa"/>
              <w:start w:w="110" w:type="dxa"/>
              <w:bottom w:w="80" w:type="dxa"/>
              <w:end w:w="110" w:type="dxa"/>
            </w:tcMar>
          </w:tcPr>
          <w:p>
            <w:pPr>
              <w:jc w:val="center"/>
            </w:pPr>
            <w:r>
              <w:t>$14m</w:t>
            </w:r>
          </w:p>
        </w:tc>
        <w:tc>
          <w:tcPr>
            <w:tcW w:type="dxa" w:w="1632"/>
            <w:tcMar>
              <w:top w:w="80" w:type="dxa"/>
              <w:start w:w="110" w:type="dxa"/>
              <w:bottom w:w="80" w:type="dxa"/>
              <w:end w:w="110" w:type="dxa"/>
            </w:tcMar>
          </w:tcPr>
          <w:p>
            <w:pPr>
              <w:jc w:val="center"/>
            </w:pPr>
            <w:r>
              <w:t>$54m</w:t>
            </w:r>
          </w:p>
        </w:tc>
        <w:tc>
          <w:tcPr>
            <w:tcW w:type="dxa" w:w="1632"/>
            <w:tcMar>
              <w:top w:w="80" w:type="dxa"/>
              <w:start w:w="110" w:type="dxa"/>
              <w:bottom w:w="80" w:type="dxa"/>
              <w:end w:w="110" w:type="dxa"/>
            </w:tcMar>
          </w:tcPr>
          <w:p>
            <w:pPr>
              <w:jc w:val="center"/>
            </w:pPr>
            <w:r>
              <w:t>$12m</w:t>
            </w:r>
          </w:p>
        </w:tc>
        <w:tc>
          <w:tcPr>
            <w:tcW w:type="dxa" w:w="1632"/>
            <w:tcMar>
              <w:top w:w="80" w:type="dxa"/>
              <w:start w:w="110" w:type="dxa"/>
              <w:bottom w:w="80" w:type="dxa"/>
              <w:end w:w="110" w:type="dxa"/>
            </w:tcMar>
          </w:tcPr>
          <w:p>
            <w:pPr>
              <w:jc w:val="center"/>
            </w:pPr>
            <w:r>
              <w:t>$13m</w:t>
            </w:r>
          </w:p>
        </w:tc>
        <w:tc>
          <w:tcPr>
            <w:tcW w:type="dxa" w:w="1632"/>
            <w:tcMar>
              <w:top w:w="80" w:type="dxa"/>
              <w:start w:w="110" w:type="dxa"/>
              <w:bottom w:w="80" w:type="dxa"/>
              <w:end w:w="110" w:type="dxa"/>
            </w:tcMar>
          </w:tcPr>
          <w:p>
            <w:pPr>
              <w:jc w:val="center"/>
            </w:pPr>
            <w:r>
              <w:t>$93m</w:t>
            </w:r>
          </w:p>
        </w:tc>
      </w:tr>
      <w:tr>
        <w:tc>
          <w:tcPr>
            <w:tcW w:type="dxa" w:w="1632"/>
            <w:tcMar>
              <w:top w:w="80" w:type="dxa"/>
              <w:start w:w="110" w:type="dxa"/>
              <w:bottom w:w="80" w:type="dxa"/>
              <w:end w:w="110" w:type="dxa"/>
            </w:tcMar>
          </w:tcPr>
          <w:p>
            <w:pPr>
              <w:jc w:val="center"/>
            </w:pPr>
            <w:r>
              <w:t>Y2 Q3</w:t>
            </w:r>
          </w:p>
        </w:tc>
        <w:tc>
          <w:tcPr>
            <w:tcW w:type="dxa" w:w="1632"/>
            <w:tcMar>
              <w:top w:w="80" w:type="dxa"/>
              <w:start w:w="110" w:type="dxa"/>
              <w:bottom w:w="80" w:type="dxa"/>
              <w:end w:w="110" w:type="dxa"/>
            </w:tcMar>
          </w:tcPr>
          <w:p>
            <w:pPr>
              <w:jc w:val="center"/>
            </w:pPr>
            <w:r>
              <w:t>$12m</w:t>
            </w:r>
          </w:p>
        </w:tc>
        <w:tc>
          <w:tcPr>
            <w:tcW w:type="dxa" w:w="1632"/>
            <w:tcMar>
              <w:top w:w="80" w:type="dxa"/>
              <w:start w:w="110" w:type="dxa"/>
              <w:bottom w:w="80" w:type="dxa"/>
              <w:end w:w="110" w:type="dxa"/>
            </w:tcMar>
          </w:tcPr>
          <w:p>
            <w:pPr>
              <w:jc w:val="center"/>
            </w:pPr>
            <w:r>
              <w:t>$59m</w:t>
            </w:r>
          </w:p>
        </w:tc>
        <w:tc>
          <w:tcPr>
            <w:tcW w:type="dxa" w:w="1632"/>
            <w:tcMar>
              <w:top w:w="80" w:type="dxa"/>
              <w:start w:w="110" w:type="dxa"/>
              <w:bottom w:w="80" w:type="dxa"/>
              <w:end w:w="110" w:type="dxa"/>
            </w:tcMar>
          </w:tcPr>
          <w:p>
            <w:pPr>
              <w:jc w:val="center"/>
            </w:pPr>
            <w:r>
              <w:t>$10m</w:t>
            </w:r>
          </w:p>
        </w:tc>
        <w:tc>
          <w:tcPr>
            <w:tcW w:type="dxa" w:w="1632"/>
            <w:tcMar>
              <w:top w:w="80" w:type="dxa"/>
              <w:start w:w="110" w:type="dxa"/>
              <w:bottom w:w="80" w:type="dxa"/>
              <w:end w:w="110" w:type="dxa"/>
            </w:tcMar>
          </w:tcPr>
          <w:p>
            <w:pPr>
              <w:jc w:val="center"/>
            </w:pPr>
            <w:r>
              <w:t>$14m</w:t>
            </w:r>
          </w:p>
        </w:tc>
        <w:tc>
          <w:tcPr>
            <w:tcW w:type="dxa" w:w="1632"/>
            <w:tcMar>
              <w:top w:w="80" w:type="dxa"/>
              <w:start w:w="110" w:type="dxa"/>
              <w:bottom w:w="80" w:type="dxa"/>
              <w:end w:w="110" w:type="dxa"/>
            </w:tcMar>
          </w:tcPr>
          <w:p>
            <w:pPr>
              <w:jc w:val="center"/>
            </w:pPr>
            <w:r>
              <w:t>$95m</w:t>
            </w:r>
          </w:p>
        </w:tc>
      </w:tr>
      <w:tr>
        <w:tc>
          <w:tcPr>
            <w:tcW w:type="dxa" w:w="1632"/>
            <w:tcMar>
              <w:top w:w="80" w:type="dxa"/>
              <w:start w:w="110" w:type="dxa"/>
              <w:bottom w:w="80" w:type="dxa"/>
              <w:end w:w="110" w:type="dxa"/>
            </w:tcMar>
          </w:tcPr>
          <w:p>
            <w:pPr>
              <w:jc w:val="center"/>
            </w:pPr>
            <w:r>
              <w:t>Y2 Q4</w:t>
            </w:r>
          </w:p>
        </w:tc>
        <w:tc>
          <w:tcPr>
            <w:tcW w:type="dxa" w:w="1632"/>
            <w:tcMar>
              <w:top w:w="80" w:type="dxa"/>
              <w:start w:w="110" w:type="dxa"/>
              <w:bottom w:w="80" w:type="dxa"/>
              <w:end w:w="110" w:type="dxa"/>
            </w:tcMar>
          </w:tcPr>
          <w:p>
            <w:pPr>
              <w:jc w:val="center"/>
            </w:pPr>
            <w:r>
              <w:t>$9m</w:t>
            </w:r>
          </w:p>
        </w:tc>
        <w:tc>
          <w:tcPr>
            <w:tcW w:type="dxa" w:w="1632"/>
            <w:tcMar>
              <w:top w:w="80" w:type="dxa"/>
              <w:start w:w="110" w:type="dxa"/>
              <w:bottom w:w="80" w:type="dxa"/>
              <w:end w:w="110" w:type="dxa"/>
            </w:tcMar>
          </w:tcPr>
          <w:p>
            <w:pPr>
              <w:jc w:val="center"/>
            </w:pPr>
            <w:r>
              <w:t>$66m</w:t>
            </w:r>
          </w:p>
        </w:tc>
        <w:tc>
          <w:tcPr>
            <w:tcW w:type="dxa" w:w="1632"/>
            <w:tcMar>
              <w:top w:w="80" w:type="dxa"/>
              <w:start w:w="110" w:type="dxa"/>
              <w:bottom w:w="80" w:type="dxa"/>
              <w:end w:w="110" w:type="dxa"/>
            </w:tcMar>
          </w:tcPr>
          <w:p>
            <w:pPr>
              <w:jc w:val="center"/>
            </w:pPr>
            <w:r>
              <w:t>$8m</w:t>
            </w:r>
          </w:p>
        </w:tc>
        <w:tc>
          <w:tcPr>
            <w:tcW w:type="dxa" w:w="1632"/>
            <w:tcMar>
              <w:top w:w="80" w:type="dxa"/>
              <w:start w:w="110" w:type="dxa"/>
              <w:bottom w:w="80" w:type="dxa"/>
              <w:end w:w="110" w:type="dxa"/>
            </w:tcMar>
          </w:tcPr>
          <w:p>
            <w:pPr>
              <w:jc w:val="center"/>
            </w:pPr>
            <w:r>
              <w:t>$16m</w:t>
            </w:r>
          </w:p>
        </w:tc>
        <w:tc>
          <w:tcPr>
            <w:tcW w:type="dxa" w:w="1632"/>
            <w:tcMar>
              <w:top w:w="80" w:type="dxa"/>
              <w:start w:w="110" w:type="dxa"/>
              <w:bottom w:w="80" w:type="dxa"/>
              <w:end w:w="110" w:type="dxa"/>
            </w:tcMar>
          </w:tcPr>
          <w:p>
            <w:pPr>
              <w:jc w:val="center"/>
            </w:pPr>
            <w:r>
              <w:t>$99m</w:t>
            </w:r>
          </w:p>
        </w:tc>
      </w:tr>
      <w:tr>
        <w:tc>
          <w:tcPr>
            <w:tcW w:type="dxa" w:w="1632"/>
            <w:tcMar>
              <w:top w:w="80" w:type="dxa"/>
              <w:start w:w="110" w:type="dxa"/>
              <w:bottom w:w="80" w:type="dxa"/>
              <w:end w:w="110" w:type="dxa"/>
            </w:tcMar>
          </w:tcPr>
          <w:p>
            <w:pPr>
              <w:jc w:val="center"/>
            </w:pPr>
            <w:r>
              <w:t>Y3 Q1</w:t>
            </w:r>
          </w:p>
        </w:tc>
        <w:tc>
          <w:tcPr>
            <w:tcW w:type="dxa" w:w="1632"/>
            <w:tcMar>
              <w:top w:w="80" w:type="dxa"/>
              <w:start w:w="110" w:type="dxa"/>
              <w:bottom w:w="80" w:type="dxa"/>
              <w:end w:w="110" w:type="dxa"/>
            </w:tcMar>
          </w:tcPr>
          <w:p>
            <w:pPr>
              <w:jc w:val="center"/>
            </w:pPr>
            <w:r>
              <w:t>$8m</w:t>
            </w:r>
          </w:p>
        </w:tc>
        <w:tc>
          <w:tcPr>
            <w:tcW w:type="dxa" w:w="1632"/>
            <w:tcMar>
              <w:top w:w="80" w:type="dxa"/>
              <w:start w:w="110" w:type="dxa"/>
              <w:bottom w:w="80" w:type="dxa"/>
              <w:end w:w="110" w:type="dxa"/>
            </w:tcMar>
          </w:tcPr>
          <w:p>
            <w:pPr>
              <w:jc w:val="center"/>
            </w:pPr>
            <w:r>
              <w:t>$48m</w:t>
            </w:r>
          </w:p>
        </w:tc>
        <w:tc>
          <w:tcPr>
            <w:tcW w:type="dxa" w:w="1632"/>
            <w:tcMar>
              <w:top w:w="80" w:type="dxa"/>
              <w:start w:w="110" w:type="dxa"/>
              <w:bottom w:w="80" w:type="dxa"/>
              <w:end w:w="110" w:type="dxa"/>
            </w:tcMar>
          </w:tcPr>
          <w:p>
            <w:pPr>
              <w:jc w:val="center"/>
            </w:pPr>
            <w:r>
              <w:t>$8m</w:t>
            </w:r>
          </w:p>
        </w:tc>
        <w:tc>
          <w:tcPr>
            <w:tcW w:type="dxa" w:w="1632"/>
            <w:tcMar>
              <w:top w:w="80" w:type="dxa"/>
              <w:start w:w="110" w:type="dxa"/>
              <w:bottom w:w="80" w:type="dxa"/>
              <w:end w:w="110" w:type="dxa"/>
            </w:tcMar>
          </w:tcPr>
          <w:p>
            <w:pPr>
              <w:jc w:val="center"/>
            </w:pPr>
            <w:r>
              <w:t>$12m</w:t>
            </w:r>
          </w:p>
        </w:tc>
        <w:tc>
          <w:tcPr>
            <w:tcW w:type="dxa" w:w="1632"/>
            <w:tcMar>
              <w:top w:w="80" w:type="dxa"/>
              <w:start w:w="110" w:type="dxa"/>
              <w:bottom w:w="80" w:type="dxa"/>
              <w:end w:w="110" w:type="dxa"/>
            </w:tcMar>
          </w:tcPr>
          <w:p>
            <w:pPr>
              <w:jc w:val="center"/>
            </w:pPr>
            <w:r>
              <w:t>$76m</w:t>
            </w:r>
          </w:p>
        </w:tc>
      </w:tr>
      <w:tr>
        <w:tc>
          <w:tcPr>
            <w:tcW w:type="dxa" w:w="1632"/>
            <w:tcMar>
              <w:top w:w="80" w:type="dxa"/>
              <w:start w:w="110" w:type="dxa"/>
              <w:bottom w:w="80" w:type="dxa"/>
              <w:end w:w="110" w:type="dxa"/>
            </w:tcMar>
          </w:tcPr>
          <w:p>
            <w:pPr>
              <w:jc w:val="center"/>
            </w:pPr>
            <w:r>
              <w:t>Y3 Q2</w:t>
            </w:r>
          </w:p>
        </w:tc>
        <w:tc>
          <w:tcPr>
            <w:tcW w:type="dxa" w:w="1632"/>
            <w:tcMar>
              <w:top w:w="80" w:type="dxa"/>
              <w:start w:w="110" w:type="dxa"/>
              <w:bottom w:w="80" w:type="dxa"/>
              <w:end w:w="110" w:type="dxa"/>
            </w:tcMar>
          </w:tcPr>
          <w:p>
            <w:pPr>
              <w:jc w:val="center"/>
            </w:pPr>
            <w:r>
              <w:t>$6m</w:t>
            </w:r>
          </w:p>
        </w:tc>
        <w:tc>
          <w:tcPr>
            <w:tcW w:type="dxa" w:w="1632"/>
            <w:tcMar>
              <w:top w:w="80" w:type="dxa"/>
              <w:start w:w="110" w:type="dxa"/>
              <w:bottom w:w="80" w:type="dxa"/>
              <w:end w:w="110" w:type="dxa"/>
            </w:tcMar>
          </w:tcPr>
          <w:p>
            <w:pPr>
              <w:jc w:val="center"/>
            </w:pPr>
            <w:r>
              <w:t>$44m</w:t>
            </w:r>
          </w:p>
        </w:tc>
        <w:tc>
          <w:tcPr>
            <w:tcW w:type="dxa" w:w="1632"/>
            <w:tcMar>
              <w:top w:w="80" w:type="dxa"/>
              <w:start w:w="110" w:type="dxa"/>
              <w:bottom w:w="80" w:type="dxa"/>
              <w:end w:w="110" w:type="dxa"/>
            </w:tcMar>
          </w:tcPr>
          <w:p>
            <w:pPr>
              <w:jc w:val="center"/>
            </w:pPr>
            <w:r>
              <w:t>$7m</w:t>
            </w:r>
          </w:p>
        </w:tc>
        <w:tc>
          <w:tcPr>
            <w:tcW w:type="dxa" w:w="1632"/>
            <w:tcMar>
              <w:top w:w="80" w:type="dxa"/>
              <w:start w:w="110" w:type="dxa"/>
              <w:bottom w:w="80" w:type="dxa"/>
              <w:end w:w="110" w:type="dxa"/>
            </w:tcMar>
          </w:tcPr>
          <w:p>
            <w:pPr>
              <w:jc w:val="center"/>
            </w:pPr>
            <w:r>
              <w:t>$12m</w:t>
            </w:r>
          </w:p>
        </w:tc>
        <w:tc>
          <w:tcPr>
            <w:tcW w:type="dxa" w:w="1632"/>
            <w:tcMar>
              <w:top w:w="80" w:type="dxa"/>
              <w:start w:w="110" w:type="dxa"/>
              <w:bottom w:w="80" w:type="dxa"/>
              <w:end w:w="110" w:type="dxa"/>
            </w:tcMar>
          </w:tcPr>
          <w:p>
            <w:pPr>
              <w:jc w:val="center"/>
            </w:pPr>
            <w:r>
              <w:t>$69m</w:t>
            </w:r>
          </w:p>
        </w:tc>
      </w:tr>
      <w:tr>
        <w:tc>
          <w:tcPr>
            <w:tcW w:type="dxa" w:w="1632"/>
            <w:tcMar>
              <w:top w:w="80" w:type="dxa"/>
              <w:start w:w="110" w:type="dxa"/>
              <w:bottom w:w="80" w:type="dxa"/>
              <w:end w:w="110" w:type="dxa"/>
            </w:tcMar>
          </w:tcPr>
          <w:p>
            <w:pPr>
              <w:jc w:val="center"/>
            </w:pPr>
            <w:r>
              <w:t>Y3 Q3</w:t>
            </w:r>
          </w:p>
        </w:tc>
        <w:tc>
          <w:tcPr>
            <w:tcW w:type="dxa" w:w="1632"/>
            <w:tcMar>
              <w:top w:w="80" w:type="dxa"/>
              <w:start w:w="110" w:type="dxa"/>
              <w:bottom w:w="80" w:type="dxa"/>
              <w:end w:w="110" w:type="dxa"/>
            </w:tcMar>
          </w:tcPr>
          <w:p>
            <w:pPr>
              <w:jc w:val="center"/>
            </w:pPr>
            <w:r>
              <w:t>$4m</w:t>
            </w:r>
          </w:p>
        </w:tc>
        <w:tc>
          <w:tcPr>
            <w:tcW w:type="dxa" w:w="1632"/>
            <w:tcMar>
              <w:top w:w="80" w:type="dxa"/>
              <w:start w:w="110" w:type="dxa"/>
              <w:bottom w:w="80" w:type="dxa"/>
              <w:end w:w="110" w:type="dxa"/>
            </w:tcMar>
          </w:tcPr>
          <w:p>
            <w:pPr>
              <w:jc w:val="center"/>
            </w:pPr>
            <w:r>
              <w:t>$42m</w:t>
            </w:r>
          </w:p>
        </w:tc>
        <w:tc>
          <w:tcPr>
            <w:tcW w:type="dxa" w:w="1632"/>
            <w:tcMar>
              <w:top w:w="80" w:type="dxa"/>
              <w:start w:w="110" w:type="dxa"/>
              <w:bottom w:w="80" w:type="dxa"/>
              <w:end w:w="110" w:type="dxa"/>
            </w:tcMar>
          </w:tcPr>
          <w:p>
            <w:pPr>
              <w:jc w:val="center"/>
            </w:pPr>
            <w:r>
              <w:t>$6m</w:t>
            </w:r>
          </w:p>
        </w:tc>
        <w:tc>
          <w:tcPr>
            <w:tcW w:type="dxa" w:w="1632"/>
            <w:tcMar>
              <w:top w:w="80" w:type="dxa"/>
              <w:start w:w="110" w:type="dxa"/>
              <w:bottom w:w="80" w:type="dxa"/>
              <w:end w:w="110" w:type="dxa"/>
            </w:tcMar>
          </w:tcPr>
          <w:p>
            <w:pPr>
              <w:jc w:val="center"/>
            </w:pPr>
            <w:r>
              <w:t>$11m</w:t>
            </w:r>
          </w:p>
        </w:tc>
        <w:tc>
          <w:tcPr>
            <w:tcW w:type="dxa" w:w="1632"/>
            <w:tcMar>
              <w:top w:w="80" w:type="dxa"/>
              <w:start w:w="110" w:type="dxa"/>
              <w:bottom w:w="80" w:type="dxa"/>
              <w:end w:w="110" w:type="dxa"/>
            </w:tcMar>
          </w:tcPr>
          <w:p>
            <w:pPr>
              <w:jc w:val="center"/>
            </w:pPr>
            <w:r>
              <w:t>$63m</w:t>
            </w:r>
          </w:p>
        </w:tc>
      </w:tr>
      <w:tr>
        <w:tc>
          <w:tcPr>
            <w:tcW w:type="dxa" w:w="1632"/>
            <w:tcMar>
              <w:top w:w="80" w:type="dxa"/>
              <w:start w:w="110" w:type="dxa"/>
              <w:bottom w:w="80" w:type="dxa"/>
              <w:end w:w="110" w:type="dxa"/>
            </w:tcMar>
          </w:tcPr>
          <w:p>
            <w:pPr>
              <w:jc w:val="center"/>
            </w:pPr>
            <w:r>
              <w:t>Y3 Q4</w:t>
            </w:r>
          </w:p>
        </w:tc>
        <w:tc>
          <w:tcPr>
            <w:tcW w:type="dxa" w:w="1632"/>
            <w:tcMar>
              <w:top w:w="80" w:type="dxa"/>
              <w:start w:w="110" w:type="dxa"/>
              <w:bottom w:w="80" w:type="dxa"/>
              <w:end w:w="110" w:type="dxa"/>
            </w:tcMar>
          </w:tcPr>
          <w:p>
            <w:pPr>
              <w:jc w:val="center"/>
            </w:pPr>
            <w:r>
              <w:t>$2m</w:t>
            </w:r>
          </w:p>
        </w:tc>
        <w:tc>
          <w:tcPr>
            <w:tcW w:type="dxa" w:w="1632"/>
            <w:tcMar>
              <w:top w:w="80" w:type="dxa"/>
              <w:start w:w="110" w:type="dxa"/>
              <w:bottom w:w="80" w:type="dxa"/>
              <w:end w:w="110" w:type="dxa"/>
            </w:tcMar>
          </w:tcPr>
          <w:p>
            <w:pPr>
              <w:jc w:val="center"/>
            </w:pPr>
            <w:r>
              <w:t>$39m</w:t>
            </w:r>
          </w:p>
        </w:tc>
        <w:tc>
          <w:tcPr>
            <w:tcW w:type="dxa" w:w="1632"/>
            <w:tcMar>
              <w:top w:w="80" w:type="dxa"/>
              <w:start w:w="110" w:type="dxa"/>
              <w:bottom w:w="80" w:type="dxa"/>
              <w:end w:w="110" w:type="dxa"/>
            </w:tcMar>
          </w:tcPr>
          <w:p>
            <w:pPr>
              <w:jc w:val="center"/>
            </w:pPr>
            <w:r>
              <w:t>$5m</w:t>
            </w:r>
          </w:p>
        </w:tc>
        <w:tc>
          <w:tcPr>
            <w:tcW w:type="dxa" w:w="1632"/>
            <w:tcMar>
              <w:top w:w="80" w:type="dxa"/>
              <w:start w:w="110" w:type="dxa"/>
              <w:bottom w:w="80" w:type="dxa"/>
              <w:end w:w="110" w:type="dxa"/>
            </w:tcMar>
          </w:tcPr>
          <w:p>
            <w:pPr>
              <w:jc w:val="center"/>
            </w:pPr>
            <w:r>
              <w:t>$9m</w:t>
            </w:r>
          </w:p>
        </w:tc>
        <w:tc>
          <w:tcPr>
            <w:tcW w:type="dxa" w:w="1632"/>
            <w:tcMar>
              <w:top w:w="80" w:type="dxa"/>
              <w:start w:w="110" w:type="dxa"/>
              <w:bottom w:w="80" w:type="dxa"/>
              <w:end w:w="110" w:type="dxa"/>
            </w:tcMar>
          </w:tcPr>
          <w:p>
            <w:pPr>
              <w:jc w:val="center"/>
            </w:pPr>
            <w:r>
              <w:t>$55m</w:t>
            </w:r>
          </w:p>
        </w:tc>
      </w:tr>
      <w:tr>
        <w:tc>
          <w:tcPr>
            <w:tcW w:type="dxa" w:w="1632"/>
            <w:tcMar>
              <w:top w:w="80" w:type="dxa"/>
              <w:start w:w="110" w:type="dxa"/>
              <w:bottom w:w="80" w:type="dxa"/>
              <w:end w:w="110" w:type="dxa"/>
            </w:tcMar>
          </w:tcPr>
          <w:p>
            <w:pPr>
              <w:jc w:val="center"/>
            </w:pPr>
            <w:r>
              <w:t>Y4 Q1</w:t>
            </w:r>
          </w:p>
        </w:tc>
        <w:tc>
          <w:tcPr>
            <w:tcW w:type="dxa" w:w="1632"/>
            <w:tcMar>
              <w:top w:w="80" w:type="dxa"/>
              <w:start w:w="110" w:type="dxa"/>
              <w:bottom w:w="80" w:type="dxa"/>
              <w:end w:w="110" w:type="dxa"/>
            </w:tcMar>
          </w:tcPr>
          <w:p>
            <w:pPr>
              <w:jc w:val="center"/>
            </w:pPr>
            <w:r>
              <w:t>$0m</w:t>
            </w:r>
          </w:p>
        </w:tc>
        <w:tc>
          <w:tcPr>
            <w:tcW w:type="dxa" w:w="1632"/>
            <w:tcMar>
              <w:top w:w="80" w:type="dxa"/>
              <w:start w:w="110" w:type="dxa"/>
              <w:bottom w:w="80" w:type="dxa"/>
              <w:end w:w="110" w:type="dxa"/>
            </w:tcMar>
          </w:tcPr>
          <w:p>
            <w:pPr>
              <w:jc w:val="center"/>
            </w:pPr>
            <w:r>
              <w:t>$24m</w:t>
            </w:r>
          </w:p>
        </w:tc>
        <w:tc>
          <w:tcPr>
            <w:tcW w:type="dxa" w:w="1632"/>
            <w:tcMar>
              <w:top w:w="80" w:type="dxa"/>
              <w:start w:w="110" w:type="dxa"/>
              <w:bottom w:w="80" w:type="dxa"/>
              <w:end w:w="110" w:type="dxa"/>
            </w:tcMar>
          </w:tcPr>
          <w:p>
            <w:pPr>
              <w:jc w:val="center"/>
            </w:pPr>
            <w:r>
              <w:t>$2m</w:t>
            </w:r>
          </w:p>
        </w:tc>
        <w:tc>
          <w:tcPr>
            <w:tcW w:type="dxa" w:w="1632"/>
            <w:tcMar>
              <w:top w:w="80" w:type="dxa"/>
              <w:start w:w="110" w:type="dxa"/>
              <w:bottom w:w="80" w:type="dxa"/>
              <w:end w:w="110" w:type="dxa"/>
            </w:tcMar>
          </w:tcPr>
          <w:p>
            <w:pPr>
              <w:jc w:val="center"/>
            </w:pPr>
            <w:r>
              <w:t>$7m</w:t>
            </w:r>
          </w:p>
        </w:tc>
        <w:tc>
          <w:tcPr>
            <w:tcW w:type="dxa" w:w="1632"/>
            <w:tcMar>
              <w:top w:w="80" w:type="dxa"/>
              <w:start w:w="110" w:type="dxa"/>
              <w:bottom w:w="80" w:type="dxa"/>
              <w:end w:w="110" w:type="dxa"/>
            </w:tcMar>
          </w:tcPr>
          <w:p>
            <w:pPr>
              <w:jc w:val="center"/>
            </w:pPr>
            <w:r>
              <w:t>$33m</w:t>
            </w:r>
          </w:p>
        </w:tc>
      </w:tr>
      <w:tr>
        <w:tc>
          <w:tcPr>
            <w:tcW w:type="dxa" w:w="1632"/>
            <w:tcMar>
              <w:top w:w="80" w:type="dxa"/>
              <w:start w:w="110" w:type="dxa"/>
              <w:bottom w:w="80" w:type="dxa"/>
              <w:end w:w="110" w:type="dxa"/>
            </w:tcMar>
          </w:tcPr>
          <w:p>
            <w:pPr>
              <w:jc w:val="center"/>
            </w:pPr>
            <w:r>
              <w:t>Y4 Q2</w:t>
            </w:r>
          </w:p>
        </w:tc>
        <w:tc>
          <w:tcPr>
            <w:tcW w:type="dxa" w:w="1632"/>
            <w:tcMar>
              <w:top w:w="80" w:type="dxa"/>
              <w:start w:w="110" w:type="dxa"/>
              <w:bottom w:w="80" w:type="dxa"/>
              <w:end w:w="110" w:type="dxa"/>
            </w:tcMar>
          </w:tcPr>
          <w:p>
            <w:pPr>
              <w:jc w:val="center"/>
            </w:pPr>
            <w:r>
              <w:t>$0m</w:t>
            </w:r>
          </w:p>
        </w:tc>
        <w:tc>
          <w:tcPr>
            <w:tcW w:type="dxa" w:w="1632"/>
            <w:tcMar>
              <w:top w:w="80" w:type="dxa"/>
              <w:start w:w="110" w:type="dxa"/>
              <w:bottom w:w="80" w:type="dxa"/>
              <w:end w:w="110" w:type="dxa"/>
            </w:tcMar>
          </w:tcPr>
          <w:p>
            <w:pPr>
              <w:jc w:val="center"/>
            </w:pPr>
            <w:r>
              <w:t>$22m</w:t>
            </w:r>
          </w:p>
        </w:tc>
        <w:tc>
          <w:tcPr>
            <w:tcW w:type="dxa" w:w="1632"/>
            <w:tcMar>
              <w:top w:w="80" w:type="dxa"/>
              <w:start w:w="110" w:type="dxa"/>
              <w:bottom w:w="80" w:type="dxa"/>
              <w:end w:w="110" w:type="dxa"/>
            </w:tcMar>
          </w:tcPr>
          <w:p>
            <w:pPr>
              <w:jc w:val="center"/>
            </w:pPr>
            <w:r>
              <w:t>$1m</w:t>
            </w:r>
          </w:p>
        </w:tc>
        <w:tc>
          <w:tcPr>
            <w:tcW w:type="dxa" w:w="1632"/>
            <w:tcMar>
              <w:top w:w="80" w:type="dxa"/>
              <w:start w:w="110" w:type="dxa"/>
              <w:bottom w:w="80" w:type="dxa"/>
              <w:end w:w="110" w:type="dxa"/>
            </w:tcMar>
          </w:tcPr>
          <w:p>
            <w:pPr>
              <w:jc w:val="center"/>
            </w:pPr>
            <w:r>
              <w:t>$6m</w:t>
            </w:r>
          </w:p>
        </w:tc>
        <w:tc>
          <w:tcPr>
            <w:tcW w:type="dxa" w:w="1632"/>
            <w:tcMar>
              <w:top w:w="80" w:type="dxa"/>
              <w:start w:w="110" w:type="dxa"/>
              <w:bottom w:w="80" w:type="dxa"/>
              <w:end w:w="110" w:type="dxa"/>
            </w:tcMar>
          </w:tcPr>
          <w:p>
            <w:pPr>
              <w:jc w:val="center"/>
            </w:pPr>
            <w:r>
              <w:t>$29m</w:t>
            </w:r>
          </w:p>
        </w:tc>
      </w:tr>
      <w:tr>
        <w:tc>
          <w:tcPr>
            <w:tcW w:type="dxa" w:w="1632"/>
            <w:tcMar>
              <w:top w:w="80" w:type="dxa"/>
              <w:start w:w="110" w:type="dxa"/>
              <w:bottom w:w="80" w:type="dxa"/>
              <w:end w:w="110" w:type="dxa"/>
            </w:tcMar>
          </w:tcPr>
          <w:p>
            <w:pPr>
              <w:jc w:val="center"/>
            </w:pPr>
            <w:r>
              <w:t>Y4 Q3</w:t>
            </w:r>
          </w:p>
        </w:tc>
        <w:tc>
          <w:tcPr>
            <w:tcW w:type="dxa" w:w="1632"/>
            <w:tcMar>
              <w:top w:w="80" w:type="dxa"/>
              <w:start w:w="110" w:type="dxa"/>
              <w:bottom w:w="80" w:type="dxa"/>
              <w:end w:w="110" w:type="dxa"/>
            </w:tcMar>
          </w:tcPr>
          <w:p>
            <w:pPr>
              <w:jc w:val="center"/>
            </w:pPr>
            <w:r>
              <w:t>$0m</w:t>
            </w:r>
          </w:p>
        </w:tc>
        <w:tc>
          <w:tcPr>
            <w:tcW w:type="dxa" w:w="1632"/>
            <w:tcMar>
              <w:top w:w="80" w:type="dxa"/>
              <w:start w:w="110" w:type="dxa"/>
              <w:bottom w:w="80" w:type="dxa"/>
              <w:end w:w="110" w:type="dxa"/>
            </w:tcMar>
          </w:tcPr>
          <w:p>
            <w:pPr>
              <w:jc w:val="center"/>
            </w:pPr>
            <w:r>
              <w:t>$16m</w:t>
            </w:r>
          </w:p>
        </w:tc>
        <w:tc>
          <w:tcPr>
            <w:tcW w:type="dxa" w:w="1632"/>
            <w:tcMar>
              <w:top w:w="80" w:type="dxa"/>
              <w:start w:w="110" w:type="dxa"/>
              <w:bottom w:w="80" w:type="dxa"/>
              <w:end w:w="110" w:type="dxa"/>
            </w:tcMar>
          </w:tcPr>
          <w:p>
            <w:pPr>
              <w:jc w:val="center"/>
            </w:pPr>
            <w:r>
              <w:t>$1m</w:t>
            </w:r>
          </w:p>
        </w:tc>
        <w:tc>
          <w:tcPr>
            <w:tcW w:type="dxa" w:w="1632"/>
            <w:tcMar>
              <w:top w:w="80" w:type="dxa"/>
              <w:start w:w="110" w:type="dxa"/>
              <w:bottom w:w="80" w:type="dxa"/>
              <w:end w:w="110" w:type="dxa"/>
            </w:tcMar>
          </w:tcPr>
          <w:p>
            <w:pPr>
              <w:jc w:val="center"/>
            </w:pPr>
            <w:r>
              <w:t>$5m</w:t>
            </w:r>
          </w:p>
        </w:tc>
        <w:tc>
          <w:tcPr>
            <w:tcW w:type="dxa" w:w="1632"/>
            <w:tcMar>
              <w:top w:w="80" w:type="dxa"/>
              <w:start w:w="110" w:type="dxa"/>
              <w:bottom w:w="80" w:type="dxa"/>
              <w:end w:w="110" w:type="dxa"/>
            </w:tcMar>
          </w:tcPr>
          <w:p>
            <w:pPr>
              <w:jc w:val="center"/>
            </w:pPr>
            <w:r>
              <w:t>$22m</w:t>
            </w:r>
          </w:p>
        </w:tc>
      </w:tr>
      <w:tr>
        <w:tc>
          <w:tcPr>
            <w:tcW w:type="dxa" w:w="1632"/>
            <w:tcMar>
              <w:top w:w="80" w:type="dxa"/>
              <w:start w:w="110" w:type="dxa"/>
              <w:bottom w:w="80" w:type="dxa"/>
              <w:end w:w="110" w:type="dxa"/>
            </w:tcMar>
          </w:tcPr>
          <w:p>
            <w:pPr>
              <w:jc w:val="center"/>
            </w:pPr>
            <w:r>
              <w:t>Y4 Q4</w:t>
            </w:r>
          </w:p>
        </w:tc>
        <w:tc>
          <w:tcPr>
            <w:tcW w:type="dxa" w:w="1632"/>
            <w:tcMar>
              <w:top w:w="80" w:type="dxa"/>
              <w:start w:w="110" w:type="dxa"/>
              <w:bottom w:w="80" w:type="dxa"/>
              <w:end w:w="110" w:type="dxa"/>
            </w:tcMar>
          </w:tcPr>
          <w:p>
            <w:pPr>
              <w:jc w:val="center"/>
            </w:pPr>
            <w:r>
              <w:t>$0m</w:t>
            </w:r>
          </w:p>
        </w:tc>
        <w:tc>
          <w:tcPr>
            <w:tcW w:type="dxa" w:w="1632"/>
            <w:tcMar>
              <w:top w:w="80" w:type="dxa"/>
              <w:start w:w="110" w:type="dxa"/>
              <w:bottom w:w="80" w:type="dxa"/>
              <w:end w:w="110" w:type="dxa"/>
            </w:tcMar>
          </w:tcPr>
          <w:p>
            <w:pPr>
              <w:jc w:val="center"/>
            </w:pPr>
            <w:r>
              <w:t>$9m</w:t>
            </w:r>
          </w:p>
        </w:tc>
        <w:tc>
          <w:tcPr>
            <w:tcW w:type="dxa" w:w="1632"/>
            <w:tcMar>
              <w:top w:w="80" w:type="dxa"/>
              <w:start w:w="110" w:type="dxa"/>
              <w:bottom w:w="80" w:type="dxa"/>
              <w:end w:w="110" w:type="dxa"/>
            </w:tcMar>
          </w:tcPr>
          <w:p>
            <w:pPr>
              <w:jc w:val="center"/>
            </w:pPr>
            <w:r>
              <w:t>$1m</w:t>
            </w:r>
          </w:p>
        </w:tc>
        <w:tc>
          <w:tcPr>
            <w:tcW w:type="dxa" w:w="1632"/>
            <w:tcMar>
              <w:top w:w="80" w:type="dxa"/>
              <w:start w:w="110" w:type="dxa"/>
              <w:bottom w:w="80" w:type="dxa"/>
              <w:end w:w="110" w:type="dxa"/>
            </w:tcMar>
          </w:tcPr>
          <w:p>
            <w:pPr>
              <w:jc w:val="center"/>
            </w:pPr>
            <w:r>
              <w:t>$5m</w:t>
            </w:r>
          </w:p>
        </w:tc>
        <w:tc>
          <w:tcPr>
            <w:tcW w:type="dxa" w:w="1632"/>
            <w:tcMar>
              <w:top w:w="80" w:type="dxa"/>
              <w:start w:w="110" w:type="dxa"/>
              <w:bottom w:w="80" w:type="dxa"/>
              <w:end w:w="110" w:type="dxa"/>
            </w:tcMar>
          </w:tcPr>
          <w:p>
            <w:pPr>
              <w:jc w:val="center"/>
            </w:pPr>
            <w:r>
              <w:t>$15m</w:t>
            </w:r>
          </w:p>
        </w:tc>
      </w:tr>
    </w:tbl>
    <w:sectPr w:rsidR="00FC693F" w:rsidRPr="0006063C" w:rsidSect="00034616">
      <w:headerReference w:type="default" r:id="rId9"/>
      <w:footerReference w:type="default" r:id="rId10"/>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 xml:space="preserve">Confidential investor planning document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7"/>
      </w:rPr>
      <w:t>Aurelia Developments LLC | Timeline for Fund Deployment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Blue">
    <w:name w:val="Title Blue"/>
    <w:pPr>
      <w:spacing w:after="80"/>
    </w:pPr>
    <w:rPr>
      <w:rFonts w:ascii="Aptos Display" w:hAnsi="Aptos Display"/>
      <w:b/>
      <w:color w:val="1F4E79"/>
      <w:sz w:val="44"/>
    </w:rPr>
  </w:style>
  <w:style w:type="paragraph" w:customStyle="1" w:styleId="SectionHeader">
    <w:name w:val="SectionHeader"/>
    <w:pPr>
      <w:spacing w:before="200" w:after="120"/>
    </w:pPr>
    <w:rPr>
      <w:rFonts w:ascii="Aptos Display" w:hAnsi="Aptos Display"/>
      <w:b/>
      <w:color w:val="1F4E79"/>
      <w:sz w:val="28"/>
    </w:rPr>
  </w:style>
  <w:style w:type="paragraph" w:customStyle="1" w:styleId="SubHeader">
    <w:name w:val="SubHeader"/>
    <w:pPr>
      <w:spacing w:before="160" w:after="80"/>
    </w:pPr>
    <w:rPr>
      <w:rFonts w:ascii="Aptos" w:hAnsi="Aptos"/>
      <w:b/>
      <w:color w:val="3F3F3F"/>
      <w:sz w:val="23"/>
    </w:rPr>
  </w:style>
  <w:style w:type="paragraph" w:customStyle="1" w:styleId="BodyTight">
    <w:name w:val="BodyTight"/>
    <w:pPr>
      <w:spacing w:after="80" w:line="259" w:lineRule="auto"/>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