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D"/>
          <w:sz w:val="40"/>
        </w:rPr>
        <w:t>Total Capital Amount Sought</w:t>
      </w:r>
    </w:p>
    <w:p>
      <w:pPr>
        <w:jc w:val="center"/>
      </w:pPr>
      <w:r>
        <w:rPr>
          <w:b/>
          <w:sz w:val="30"/>
        </w:rPr>
        <w:t>Aurelia Developments LLC</w:t>
      </w:r>
    </w:p>
    <w:p>
      <w:pPr>
        <w:jc w:val="center"/>
      </w:pPr>
      <w:r>
        <w:rPr>
          <w:i/>
          <w:sz w:val="22"/>
        </w:rPr>
        <w:t>Institutional Capital Raise Memorandum</w:t>
        <w:br/>
        <w:t>For Private Equity, Strategic and Lender Review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Headquarters</w:t>
            </w:r>
          </w:p>
        </w:tc>
        <w:tc>
          <w:tcPr>
            <w:tcW w:type="dxa" w:w="4968"/>
            <w:vAlign w:val="center"/>
          </w:tcPr>
          <w:p>
            <w:r>
              <w:t>Dubai, United Arab Emirates</w:t>
            </w:r>
          </w:p>
        </w:tc>
      </w:tr>
      <w:tr>
        <w:tc>
          <w:tcPr>
            <w:tcW w:type="dxa" w:w="4968"/>
            <w:vAlign w:val="center"/>
            <w:shd w:fill="D9E2F3"/>
          </w:tcPr>
          <w:p>
            <w:r>
              <w:rPr>
                <w:b/>
              </w:rPr>
              <w:t>Sector</w:t>
            </w:r>
          </w:p>
        </w:tc>
        <w:tc>
          <w:tcPr>
            <w:tcW w:type="dxa" w:w="4968"/>
            <w:vAlign w:val="center"/>
          </w:tcPr>
          <w:p>
            <w:r>
              <w:t>Luxury real estate development</w:t>
            </w:r>
          </w:p>
        </w:tc>
      </w:tr>
      <w:tr>
        <w:tc>
          <w:tcPr>
            <w:tcW w:type="dxa" w:w="4968"/>
            <w:vAlign w:val="center"/>
            <w:shd w:fill="D9E2F3"/>
          </w:tcPr>
          <w:p>
            <w:r>
              <w:rPr>
                <w:b/>
              </w:rPr>
              <w:t>Total capital sought (USD)</w:t>
            </w:r>
          </w:p>
        </w:tc>
        <w:tc>
          <w:tcPr>
            <w:tcW w:type="dxa" w:w="4968"/>
            <w:vAlign w:val="center"/>
          </w:tcPr>
          <w:p>
            <w:r>
              <w:t>$1,105,000,000</w:t>
            </w:r>
          </w:p>
        </w:tc>
      </w:tr>
      <w:tr>
        <w:tc>
          <w:tcPr>
            <w:tcW w:type="dxa" w:w="4968"/>
            <w:vAlign w:val="center"/>
            <w:shd w:fill="D9E2F3"/>
          </w:tcPr>
          <w:p>
            <w:r>
              <w:rPr>
                <w:b/>
              </w:rPr>
              <w:t>Target close structure</w:t>
            </w:r>
          </w:p>
        </w:tc>
        <w:tc>
          <w:tcPr>
            <w:tcW w:type="dxa" w:w="4968"/>
            <w:vAlign w:val="center"/>
          </w:tcPr>
          <w:p>
            <w:r>
              <w:t>Primary equity, preferred equity and co-investment</w:t>
            </w:r>
          </w:p>
        </w:tc>
      </w:tr>
      <w:tr>
        <w:tc>
          <w:tcPr>
            <w:tcW w:type="dxa" w:w="4968"/>
            <w:vAlign w:val="center"/>
            <w:shd w:fill="D9E2F3"/>
          </w:tcPr>
          <w:p>
            <w:r>
              <w:rPr>
                <w:b/>
              </w:rPr>
              <w:t>Deployment horizon</w:t>
            </w:r>
          </w:p>
        </w:tc>
        <w:tc>
          <w:tcPr>
            <w:tcW w:type="dxa" w:w="4968"/>
            <w:vAlign w:val="center"/>
          </w:tcPr>
          <w:p>
            <w:r>
              <w:t>2026–2030, with near-term deployment plan for 2026–2028</w:t>
            </w:r>
          </w:p>
        </w:tc>
      </w:tr>
    </w:tbl>
    <w:p/>
    <w:p>
      <w:r>
        <w:rPr>
          <w:b/>
          <w:color w:val="1F4E79"/>
          <w:sz w:val="26"/>
        </w:rPr>
        <w:t>1. Executive Summary</w:t>
      </w:r>
    </w:p>
    <w:p>
      <w:pPr>
        <w:spacing w:after="120"/>
      </w:pPr>
      <w:r>
        <w:t>Aurelia Developments LLC is seeking a total of $1.105 billion of new capital to fund six upcoming development and platform initiatives across Dubai and the wider GCC region. The proposed raise is intended to bridge land acquisition obligations, sponsor equity requirements for construction financing, branded residence and hospitality fit-out commitments, district-level infrastructure spend, working capital reserves, and a strategic expansion platform for adjacent GCC opportunities.</w:t>
      </w:r>
    </w:p>
    <w:p>
      <w:pPr>
        <w:spacing w:after="120"/>
      </w:pPr>
      <w:r>
        <w:t>The contemplated fundraising has been structured to support projects with differentiated demand drivers in the Dubai luxury segment, including waterfront residential inventory, branded residences, villa communities, and mixed-use developments with hospitality and retail components. Management expects the capital raise to be deployed in stages, alongside project-specific debt facilities, customer pre-sales collections, and strategic joint-venture capital where appropriate.</w:t>
      </w:r>
    </w:p>
    <w:p>
      <w:pPr>
        <w:spacing w:after="120"/>
      </w:pPr>
      <w:r>
        <w:t>From an investor perspective, the capital raise is being positioned as a flexible institutional round that can accommodate control or minority capital, preferred equity, project-specific co-investment, or a blended structure. The company’s objective is to secure long-duration capital that aligns with construction and realization timelines while preserving sufficient balance-sheet flexibility to pursue opportunistic land acquisitions and adjacent GCC expansion.</w:t>
      </w:r>
    </w:p>
    <w:p>
      <w:r>
        <w:rPr>
          <w:b/>
          <w:color w:val="1F4E79"/>
          <w:sz w:val="26"/>
        </w:rPr>
        <w:t>2. Overview of Capital Requirements</w:t>
      </w:r>
    </w:p>
    <w:p>
      <w:pPr>
        <w:spacing w:after="120"/>
      </w:pPr>
      <w:r>
        <w:t>The requirement for incremental capital is driven primarily by the next development cycle. Management has identified a pipeline of projects in Dubai Marina, Palm Jumeirah, Downtown Dubai, Jumeirah, and Dubai Creek Harbour that collectively require significant sponsor equity before third-party construction finance and escrow-linked customer collections can fully fund the delivery cycle.</w:t>
      </w:r>
    </w:p>
    <w:p>
      <w:pPr>
        <w:spacing w:after="120"/>
      </w:pPr>
      <w:r>
        <w:t>In addition to project equity requirements, the company is budgeting for district infrastructure, enabling works, branded residence fit-out obligations, digital and sales-platform upgrades, and a prudent liquidity buffer to absorb cost inflation, sequencing delays, and timing mismatches between contractor disbursements and customer collections.</w:t>
      </w:r>
    </w:p>
    <w:p>
      <w:pPr>
        <w:spacing w:after="120"/>
      </w:pPr>
      <w:r>
        <w:t>Aurelia is also seeking capital to build a GCC strategic expansion platform. This component is expected to fund origination teams, seed equity for new market entries, and underwriting expenses for select opportunities in Saudi Arabia and Qatar, enabling the company to leverage its Dubai operating model into adjacent high-growth markets.</w:t>
      </w:r>
    </w:p>
    <w:p>
      <w:r>
        <w:rPr>
          <w:b/>
          <w:color w:val="1F4E79"/>
          <w:sz w:val="26"/>
        </w:rPr>
        <w:t>3. Total Capital Amount Sought</w:t>
      </w:r>
    </w:p>
    <w:p>
      <w:pPr>
        <w:spacing w:after="120"/>
      </w:pPr>
      <w:r>
        <w:t>The company is seeking aggregate capital of $1,105,000,000. Management has indicated that this figure reflects the base-case amount required to fully fund planned equity contributions and strategic initiatives, inclusive of contingency. The structure is intended to be flexible and may be raised through one or more closings.</w:t>
      </w:r>
    </w:p>
    <w:p>
      <w:pPr>
        <w:spacing w:after="120"/>
      </w:pPr>
      <w:r>
        <w:t>Indicative investment parameters contemplated by management include a minimum institutional ticket of $50 million for anchor private equity or sovereign investors, a minimum co-investment threshold of $15 million for strategic or family office participants, and optional project-level sleeves for investors preferring ring-fenced exposure to specific developments.</w:t>
      </w:r>
    </w:p>
    <w:p>
      <w:pPr>
        <w:spacing w:after="120"/>
      </w:pPr>
      <w:r>
        <w:t>Expected investor participation is currently modeled as approximately 63.3% from lead private equity / institutional equity capital, 22.6% from strategic partners and family offices, and 14.1% from project-level co-investment vehicles.</w:t>
      </w:r>
    </w:p>
    <w:p>
      <w:r>
        <w:rPr>
          <w:b/>
        </w:rPr>
        <w:t>4. Allocation of Capital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Funding Category</w:t>
            </w:r>
          </w:p>
        </w:tc>
        <w:tc>
          <w:tcPr>
            <w:tcW w:type="dxa" w:w="3312"/>
            <w:shd w:fill="1F4E78"/>
          </w:tcPr>
          <w:p>
            <w:r>
              <w:rPr>
                <w:b/>
                <w:color w:val="FFFFFF"/>
              </w:rPr>
              <w:t>Amount (USD)</w:t>
            </w:r>
          </w:p>
        </w:tc>
        <w:tc>
          <w:tcPr>
            <w:tcW w:type="dxa" w:w="3312"/>
            <w:shd w:fill="1F4E78"/>
          </w:tcPr>
          <w:p>
            <w:r>
              <w:rPr>
                <w:b/>
                <w:color w:val="FFFFFF"/>
              </w:rPr>
              <w:t>% of Total</w:t>
            </w:r>
          </w:p>
        </w:tc>
      </w:tr>
      <w:tr>
        <w:tc>
          <w:tcPr>
            <w:tcW w:type="dxa" w:w="3312"/>
          </w:tcPr>
          <w:p>
            <w:r>
              <w:t>Land Acquisition &amp; Plot Control</w:t>
            </w:r>
          </w:p>
        </w:tc>
        <w:tc>
          <w:tcPr>
            <w:tcW w:type="dxa" w:w="3312"/>
          </w:tcPr>
          <w:p>
            <w:pPr>
              <w:jc w:val="right"/>
            </w:pPr>
            <w:r>
              <w:t>$185,000,000</w:t>
            </w:r>
          </w:p>
        </w:tc>
        <w:tc>
          <w:tcPr>
            <w:tcW w:type="dxa" w:w="3312"/>
          </w:tcPr>
          <w:p>
            <w:pPr>
              <w:jc w:val="right"/>
            </w:pPr>
            <w:r>
              <w:t>16.7%</w:t>
            </w:r>
          </w:p>
        </w:tc>
      </w:tr>
      <w:tr>
        <w:tc>
          <w:tcPr>
            <w:tcW w:type="dxa" w:w="3312"/>
          </w:tcPr>
          <w:p>
            <w:r>
              <w:t>Project Construction Equity</w:t>
            </w:r>
          </w:p>
        </w:tc>
        <w:tc>
          <w:tcPr>
            <w:tcW w:type="dxa" w:w="3312"/>
          </w:tcPr>
          <w:p>
            <w:pPr>
              <w:jc w:val="right"/>
            </w:pPr>
            <w:r>
              <w:t>$425,000,000</w:t>
            </w:r>
          </w:p>
        </w:tc>
        <w:tc>
          <w:tcPr>
            <w:tcW w:type="dxa" w:w="3312"/>
          </w:tcPr>
          <w:p>
            <w:pPr>
              <w:jc w:val="right"/>
            </w:pPr>
            <w:r>
              <w:t>38.5%</w:t>
            </w:r>
          </w:p>
        </w:tc>
      </w:tr>
      <w:tr>
        <w:tc>
          <w:tcPr>
            <w:tcW w:type="dxa" w:w="3312"/>
          </w:tcPr>
          <w:p>
            <w:r>
              <w:t>Branded Residence &amp; Hospitality CapEx</w:t>
            </w:r>
          </w:p>
        </w:tc>
        <w:tc>
          <w:tcPr>
            <w:tcW w:type="dxa" w:w="3312"/>
          </w:tcPr>
          <w:p>
            <w:pPr>
              <w:jc w:val="right"/>
            </w:pPr>
            <w:r>
              <w:t>$140,000,000</w:t>
            </w:r>
          </w:p>
        </w:tc>
        <w:tc>
          <w:tcPr>
            <w:tcW w:type="dxa" w:w="3312"/>
          </w:tcPr>
          <w:p>
            <w:pPr>
              <w:jc w:val="right"/>
            </w:pPr>
            <w:r>
              <w:t>12.7%</w:t>
            </w:r>
          </w:p>
        </w:tc>
      </w:tr>
      <w:tr>
        <w:tc>
          <w:tcPr>
            <w:tcW w:type="dxa" w:w="3312"/>
          </w:tcPr>
          <w:p>
            <w:r>
              <w:t>Infrastructure / Utilities / Public Realm</w:t>
            </w:r>
          </w:p>
        </w:tc>
        <w:tc>
          <w:tcPr>
            <w:tcW w:type="dxa" w:w="3312"/>
          </w:tcPr>
          <w:p>
            <w:pPr>
              <w:jc w:val="right"/>
            </w:pPr>
            <w:r>
              <w:t>$105,000,000</w:t>
            </w:r>
          </w:p>
        </w:tc>
        <w:tc>
          <w:tcPr>
            <w:tcW w:type="dxa" w:w="3312"/>
          </w:tcPr>
          <w:p>
            <w:pPr>
              <w:jc w:val="right"/>
            </w:pPr>
            <w:r>
              <w:t>9.5%</w:t>
            </w:r>
          </w:p>
        </w:tc>
      </w:tr>
      <w:tr>
        <w:tc>
          <w:tcPr>
            <w:tcW w:type="dxa" w:w="3312"/>
          </w:tcPr>
          <w:p>
            <w:r>
              <w:t>Working Capital &amp; Liquidity Reserve</w:t>
            </w:r>
          </w:p>
        </w:tc>
        <w:tc>
          <w:tcPr>
            <w:tcW w:type="dxa" w:w="3312"/>
          </w:tcPr>
          <w:p>
            <w:pPr>
              <w:jc w:val="right"/>
            </w:pPr>
            <w:r>
              <w:t>$110,000,000</w:t>
            </w:r>
          </w:p>
        </w:tc>
        <w:tc>
          <w:tcPr>
            <w:tcW w:type="dxa" w:w="3312"/>
          </w:tcPr>
          <w:p>
            <w:pPr>
              <w:jc w:val="right"/>
            </w:pPr>
            <w:r>
              <w:t>10.0%</w:t>
            </w:r>
          </w:p>
        </w:tc>
      </w:tr>
      <w:tr>
        <w:tc>
          <w:tcPr>
            <w:tcW w:type="dxa" w:w="3312"/>
          </w:tcPr>
          <w:p>
            <w:r>
              <w:t>Contingency &amp; Cost Overrun Reserve</w:t>
            </w:r>
          </w:p>
        </w:tc>
        <w:tc>
          <w:tcPr>
            <w:tcW w:type="dxa" w:w="3312"/>
          </w:tcPr>
          <w:p>
            <w:pPr>
              <w:jc w:val="right"/>
            </w:pPr>
            <w:r>
              <w:t>$70,000,000</w:t>
            </w:r>
          </w:p>
        </w:tc>
        <w:tc>
          <w:tcPr>
            <w:tcW w:type="dxa" w:w="3312"/>
          </w:tcPr>
          <w:p>
            <w:pPr>
              <w:jc w:val="right"/>
            </w:pPr>
            <w:r>
              <w:t>6.3%</w:t>
            </w:r>
          </w:p>
        </w:tc>
      </w:tr>
      <w:tr>
        <w:tc>
          <w:tcPr>
            <w:tcW w:type="dxa" w:w="3312"/>
          </w:tcPr>
          <w:p>
            <w:r>
              <w:t>GCC Strategic Expansion / Seed Capital</w:t>
            </w:r>
          </w:p>
        </w:tc>
        <w:tc>
          <w:tcPr>
            <w:tcW w:type="dxa" w:w="3312"/>
          </w:tcPr>
          <w:p>
            <w:pPr>
              <w:jc w:val="right"/>
            </w:pPr>
            <w:r>
              <w:t>$55,000,000</w:t>
            </w:r>
          </w:p>
        </w:tc>
        <w:tc>
          <w:tcPr>
            <w:tcW w:type="dxa" w:w="3312"/>
          </w:tcPr>
          <w:p>
            <w:pPr>
              <w:jc w:val="right"/>
            </w:pPr>
            <w:r>
              <w:t>5.0%</w:t>
            </w:r>
          </w:p>
        </w:tc>
      </w:tr>
      <w:tr>
        <w:tc>
          <w:tcPr>
            <w:tcW w:type="dxa" w:w="3312"/>
          </w:tcPr>
          <w:p>
            <w:r>
              <w:t>Fundraising / Transaction Costs</w:t>
            </w:r>
          </w:p>
        </w:tc>
        <w:tc>
          <w:tcPr>
            <w:tcW w:type="dxa" w:w="3312"/>
          </w:tcPr>
          <w:p>
            <w:pPr>
              <w:jc w:val="right"/>
            </w:pPr>
            <w:r>
              <w:t>$15,000,000</w:t>
            </w:r>
          </w:p>
        </w:tc>
        <w:tc>
          <w:tcPr>
            <w:tcW w:type="dxa" w:w="3312"/>
          </w:tcPr>
          <w:p>
            <w:pPr>
              <w:jc w:val="right"/>
            </w:pPr>
            <w:r>
              <w:t>1.4%</w:t>
            </w:r>
          </w:p>
        </w:tc>
      </w:tr>
    </w:tbl>
    <w:p>
      <w:r>
        <w:t>The allocation reflects the company’s current underwriting view of where fresh capital creates the greatest enterprise-level value. Sponsor equity for construction and land control represents the largest use of proceeds, followed by hospitality and branded residence commitments and infrastructure / public realm investments necessary to unlock premium pricing and delivery readiness.</w:t>
      </w:r>
    </w:p>
    <w:p>
      <w:r>
        <w:rPr>
          <w:b/>
          <w:color w:val="1F4E79"/>
          <w:sz w:val="26"/>
        </w:rPr>
        <w:t>5. Project-Level Funding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8"/>
          </w:tcPr>
          <w:p>
            <w:r>
              <w:rPr>
                <w:b/>
                <w:color w:val="FFFFFF"/>
              </w:rPr>
              <w:t>Project Name</w:t>
            </w:r>
          </w:p>
        </w:tc>
        <w:tc>
          <w:tcPr>
            <w:tcW w:type="dxa" w:w="1987"/>
            <w:shd w:fill="1F4E78"/>
          </w:tcPr>
          <w:p>
            <w:r>
              <w:rPr>
                <w:b/>
                <w:color w:val="FFFFFF"/>
              </w:rPr>
              <w:t>Location</w:t>
            </w:r>
          </w:p>
        </w:tc>
        <w:tc>
          <w:tcPr>
            <w:tcW w:type="dxa" w:w="1987"/>
            <w:shd w:fill="1F4E78"/>
          </w:tcPr>
          <w:p>
            <w:r>
              <w:rPr>
                <w:b/>
                <w:color w:val="FFFFFF"/>
              </w:rPr>
              <w:t>Total Development Cost (USD)</w:t>
            </w:r>
          </w:p>
        </w:tc>
        <w:tc>
          <w:tcPr>
            <w:tcW w:type="dxa" w:w="1987"/>
            <w:shd w:fill="1F4E78"/>
          </w:tcPr>
          <w:p>
            <w:r>
              <w:rPr>
                <w:b/>
                <w:color w:val="FFFFFF"/>
              </w:rPr>
              <w:t>Capital Required from Investors (USD)</w:t>
            </w:r>
          </w:p>
        </w:tc>
        <w:tc>
          <w:tcPr>
            <w:tcW w:type="dxa" w:w="1987"/>
            <w:shd w:fill="1F4E78"/>
          </w:tcPr>
          <w:p>
            <w:r>
              <w:rPr>
                <w:b/>
                <w:color w:val="FFFFFF"/>
              </w:rPr>
              <w:t>Current Phase</w:t>
            </w:r>
          </w:p>
        </w:tc>
      </w:tr>
      <w:tr>
        <w:tc>
          <w:tcPr>
            <w:tcW w:type="dxa" w:w="1987"/>
          </w:tcPr>
          <w:p>
            <w:r>
              <w:t>Aurelia Marina Residences</w:t>
            </w:r>
          </w:p>
        </w:tc>
        <w:tc>
          <w:tcPr>
            <w:tcW w:type="dxa" w:w="1987"/>
          </w:tcPr>
          <w:p>
            <w:r>
              <w:t>Dubai Marina</w:t>
            </w:r>
          </w:p>
        </w:tc>
        <w:tc>
          <w:tcPr>
            <w:tcW w:type="dxa" w:w="1987"/>
          </w:tcPr>
          <w:p>
            <w:pPr>
              <w:jc w:val="right"/>
            </w:pPr>
            <w:r>
              <w:t>$420,000,000</w:t>
            </w:r>
          </w:p>
        </w:tc>
        <w:tc>
          <w:tcPr>
            <w:tcW w:type="dxa" w:w="1987"/>
          </w:tcPr>
          <w:p>
            <w:pPr>
              <w:jc w:val="right"/>
            </w:pPr>
            <w:r>
              <w:t>$150,000,000</w:t>
            </w:r>
          </w:p>
        </w:tc>
        <w:tc>
          <w:tcPr>
            <w:tcW w:type="dxa" w:w="1987"/>
          </w:tcPr>
          <w:p>
            <w:r>
              <w:t>Land close / enabling works</w:t>
            </w:r>
          </w:p>
        </w:tc>
      </w:tr>
      <w:tr>
        <w:tc>
          <w:tcPr>
            <w:tcW w:type="dxa" w:w="1987"/>
          </w:tcPr>
          <w:p>
            <w:r>
              <w:t>Palm Crescent Villas</w:t>
            </w:r>
          </w:p>
        </w:tc>
        <w:tc>
          <w:tcPr>
            <w:tcW w:type="dxa" w:w="1987"/>
          </w:tcPr>
          <w:p>
            <w:r>
              <w:t>Palm Jumeirah</w:t>
            </w:r>
          </w:p>
        </w:tc>
        <w:tc>
          <w:tcPr>
            <w:tcW w:type="dxa" w:w="1987"/>
          </w:tcPr>
          <w:p>
            <w:pPr>
              <w:jc w:val="right"/>
            </w:pPr>
            <w:r>
              <w:t>$365,000,000</w:t>
            </w:r>
          </w:p>
        </w:tc>
        <w:tc>
          <w:tcPr>
            <w:tcW w:type="dxa" w:w="1987"/>
          </w:tcPr>
          <w:p>
            <w:pPr>
              <w:jc w:val="right"/>
            </w:pPr>
            <w:r>
              <w:t>$120,000,000</w:t>
            </w:r>
          </w:p>
        </w:tc>
        <w:tc>
          <w:tcPr>
            <w:tcW w:type="dxa" w:w="1987"/>
          </w:tcPr>
          <w:p>
            <w:r>
              <w:t>Superstructure / fit-out</w:t>
            </w:r>
          </w:p>
        </w:tc>
      </w:tr>
      <w:tr>
        <w:tc>
          <w:tcPr>
            <w:tcW w:type="dxa" w:w="1987"/>
          </w:tcPr>
          <w:p>
            <w:r>
              <w:t>Downtown Branded Residences</w:t>
            </w:r>
          </w:p>
        </w:tc>
        <w:tc>
          <w:tcPr>
            <w:tcW w:type="dxa" w:w="1987"/>
          </w:tcPr>
          <w:p>
            <w:r>
              <w:t>Downtown Dubai</w:t>
            </w:r>
          </w:p>
        </w:tc>
        <w:tc>
          <w:tcPr>
            <w:tcW w:type="dxa" w:w="1987"/>
          </w:tcPr>
          <w:p>
            <w:pPr>
              <w:jc w:val="right"/>
            </w:pPr>
            <w:r>
              <w:t>$510,000,000</w:t>
            </w:r>
          </w:p>
        </w:tc>
        <w:tc>
          <w:tcPr>
            <w:tcW w:type="dxa" w:w="1987"/>
          </w:tcPr>
          <w:p>
            <w:pPr>
              <w:jc w:val="right"/>
            </w:pPr>
            <w:r>
              <w:t>$175,000,000</w:t>
            </w:r>
          </w:p>
        </w:tc>
        <w:tc>
          <w:tcPr>
            <w:tcW w:type="dxa" w:w="1987"/>
          </w:tcPr>
          <w:p>
            <w:r>
              <w:t>Design finalization / pre-sales</w:t>
            </w:r>
          </w:p>
        </w:tc>
      </w:tr>
      <w:tr>
        <w:tc>
          <w:tcPr>
            <w:tcW w:type="dxa" w:w="1987"/>
          </w:tcPr>
          <w:p>
            <w:r>
              <w:t>Jumeirah Mixed-Use Quarter</w:t>
            </w:r>
          </w:p>
        </w:tc>
        <w:tc>
          <w:tcPr>
            <w:tcW w:type="dxa" w:w="1987"/>
          </w:tcPr>
          <w:p>
            <w:r>
              <w:t>Jumeirah</w:t>
            </w:r>
          </w:p>
        </w:tc>
        <w:tc>
          <w:tcPr>
            <w:tcW w:type="dxa" w:w="1987"/>
          </w:tcPr>
          <w:p>
            <w:pPr>
              <w:jc w:val="right"/>
            </w:pPr>
            <w:r>
              <w:t>$610,000,000</w:t>
            </w:r>
          </w:p>
        </w:tc>
        <w:tc>
          <w:tcPr>
            <w:tcW w:type="dxa" w:w="1987"/>
          </w:tcPr>
          <w:p>
            <w:pPr>
              <w:jc w:val="right"/>
            </w:pPr>
            <w:r>
              <w:t>$210,000,000</w:t>
            </w:r>
          </w:p>
        </w:tc>
        <w:tc>
          <w:tcPr>
            <w:tcW w:type="dxa" w:w="1987"/>
          </w:tcPr>
          <w:p>
            <w:r>
              <w:t>Land assembly / permitting</w:t>
            </w:r>
          </w:p>
        </w:tc>
      </w:tr>
      <w:tr>
        <w:tc>
          <w:tcPr>
            <w:tcW w:type="dxa" w:w="1987"/>
          </w:tcPr>
          <w:p>
            <w:r>
              <w:t>Creekside Hospitality Residences</w:t>
            </w:r>
          </w:p>
        </w:tc>
        <w:tc>
          <w:tcPr>
            <w:tcW w:type="dxa" w:w="1987"/>
          </w:tcPr>
          <w:p>
            <w:r>
              <w:t>Dubai Creek Harbour</w:t>
            </w:r>
          </w:p>
        </w:tc>
        <w:tc>
          <w:tcPr>
            <w:tcW w:type="dxa" w:w="1987"/>
          </w:tcPr>
          <w:p>
            <w:pPr>
              <w:jc w:val="right"/>
            </w:pPr>
            <w:r>
              <w:t>$295,000,000</w:t>
            </w:r>
          </w:p>
        </w:tc>
        <w:tc>
          <w:tcPr>
            <w:tcW w:type="dxa" w:w="1987"/>
          </w:tcPr>
          <w:p>
            <w:pPr>
              <w:jc w:val="right"/>
            </w:pPr>
            <w:r>
              <w:t>$95,000,000</w:t>
            </w:r>
          </w:p>
        </w:tc>
        <w:tc>
          <w:tcPr>
            <w:tcW w:type="dxa" w:w="1987"/>
          </w:tcPr>
          <w:p>
            <w:r>
              <w:t>Foundation / sales launch</w:t>
            </w:r>
          </w:p>
        </w:tc>
      </w:tr>
      <w:tr>
        <w:tc>
          <w:tcPr>
            <w:tcW w:type="dxa" w:w="1987"/>
          </w:tcPr>
          <w:p>
            <w:r>
              <w:t>GCC Strategic Expansion Platform</w:t>
            </w:r>
          </w:p>
        </w:tc>
        <w:tc>
          <w:tcPr>
            <w:tcW w:type="dxa" w:w="1987"/>
          </w:tcPr>
          <w:p>
            <w:r>
              <w:t>Dubai / Riyadh / Doha origination</w:t>
            </w:r>
          </w:p>
        </w:tc>
        <w:tc>
          <w:tcPr>
            <w:tcW w:type="dxa" w:w="1987"/>
          </w:tcPr>
          <w:p>
            <w:pPr>
              <w:jc w:val="right"/>
            </w:pPr>
            <w:r>
              <w:t>$160,000,000</w:t>
            </w:r>
          </w:p>
        </w:tc>
        <w:tc>
          <w:tcPr>
            <w:tcW w:type="dxa" w:w="1987"/>
          </w:tcPr>
          <w:p>
            <w:pPr>
              <w:jc w:val="right"/>
            </w:pPr>
            <w:r>
              <w:t>$55,000,000</w:t>
            </w:r>
          </w:p>
        </w:tc>
        <w:tc>
          <w:tcPr>
            <w:tcW w:type="dxa" w:w="1987"/>
          </w:tcPr>
          <w:p>
            <w:r>
              <w:t>Pipeline seeding / platform build</w:t>
            </w:r>
          </w:p>
        </w:tc>
      </w:tr>
    </w:tbl>
    <w:p>
      <w:r>
        <w:t>Aurelia Marina Residences is positioned as a flagship tower development targeting international investors seeking prime waterfront inventory in Dubai Marina. Equity is required to close final land and enabling obligations, support pre-sales launch costs, and meet sponsor-equity requirements for construction debt.</w:t>
      </w:r>
    </w:p>
    <w:p>
      <w:r>
        <w:t>Palm Crescent Villas is a premium low-density villa community where fresh capital supports late-stage vertical construction, fit-out, public realm works, and a premium marketing push ahead of handovers.</w:t>
      </w:r>
    </w:p>
    <w:p>
      <w:r>
        <w:t>Downtown Branded Residences is expected to command the highest ticket pricing within the pipeline and requires significant equity to fund branded residence obligations, design finalization, and structured pre-opening hospitality costs.</w:t>
      </w:r>
    </w:p>
    <w:p>
      <w:r>
        <w:t>Jumeirah Mixed-Use Quarter is Aurelia’s largest proposed project and includes a meaningful infrastructure component. Capital is intended to fund land assembly, permitting, district utilities, and early construction equity.</w:t>
      </w:r>
    </w:p>
    <w:p>
      <w:r>
        <w:t>Creekside Hospitality Residences combines residential and hospitality economics. Investor capital is expected to fund remaining structural works, design enhancements, and hospitality-related fit-out contributions.</w:t>
      </w:r>
    </w:p>
    <w:p>
      <w:r>
        <w:t>The GCC Strategic Expansion Platform is a discretionary but strategically important pool designed to seed regional growth and broaden future pipeline optionality outside Dubai.</w:t>
      </w:r>
    </w:p>
    <w:p>
      <w:r>
        <w:rPr>
          <w:b/>
          <w:color w:val="1F4E79"/>
          <w:sz w:val="26"/>
        </w:rPr>
        <w:t>6. Capital Structure</w:t>
      </w:r>
    </w:p>
    <w:p>
      <w:r>
        <w:t>Management is proposing a layered capital structure that combines new common equity, optional preferred equity, project-level co-investment, and senior / mezzanine debt. The company’s base-case structure assumes that the $1.105 billion investor raise will be complemented by approximately $1.95 billion of project debt, customer collection inflows, and selective partner contributions over the build and sell-down period.</w:t>
      </w:r>
    </w:p>
    <w:p>
      <w:r>
        <w:t>At the holdco level, Aurelia is evaluating a lead equity cheque from a private equity investor or consortium that would anchor the raise and potentially secure governance rights, board representation, reserve matters, and structured downside protection. Project-level vehicles may also be used to admit strategic hospitality or land partners, particularly where brand affiliation or local market access materially improves risk-adjusted returns.</w:t>
      </w:r>
    </w:p>
    <w:p>
      <w:r>
        <w:t>The proposed financing design is intended to preserve flexibility: institutional common equity for core sponsor capital, preferred equity where return hurdles justify structural subordination, and non-recourse or limited-recourse project debt linked to specific assets and escrow-supported customer cash flows.</w:t>
      </w:r>
    </w:p>
    <w:p>
      <w:r>
        <w:rPr>
          <w:b/>
          <w:color w:val="1F4E79"/>
          <w:sz w:val="26"/>
        </w:rPr>
        <w:t>7. Timeline for Capital Deployment</w:t>
      </w:r>
    </w:p>
    <w:p>
      <w:r>
        <w:t>Capital deployment is expected to occur in phased tranches aligned to land closings, enabling works, construction milestones, branded residence commitments, and regional expansion checkpoints. The immediate twelve-month period is expected to consume approximately $470 million, primarily for Marina Residences, Palm Crescent Villas, Downtown Branded Residences, and Jumeirah Mixed-Use Quarter.</w:t>
      </w:r>
    </w:p>
    <w:p>
      <w:r>
        <w:t>Years two and three are expected to absorb the balance as the pipeline moves deeper into vertical construction, fit-out, infrastructure, and regional platform deployment. Management is therefore targeting investor capital that can be called or drawn flexibly under a structured commitment schedule rather than a purely one-time fixed funding close.</w:t>
      </w:r>
    </w:p>
    <w:p>
      <w:r>
        <w:rPr>
          <w:b/>
          <w:color w:val="1F4E79"/>
          <w:sz w:val="26"/>
        </w:rPr>
        <w:t>8. Investor Participation Structure</w:t>
      </w:r>
    </w:p>
    <w:p>
      <w:r>
        <w:t>The company anticipates three main investor classes: (i) lead private equity / institutional investors, (ii) strategic and family office capital, and (iii) project-level co-investors. The lead investor class is expected to provide the majority of the capital and would likely receive enhanced governance rights, reporting access, consent rights over major capital decisions, and economics reflecting scale and anchor commitment.</w:t>
      </w:r>
    </w:p>
    <w:p>
      <w:r>
        <w:t>Strategic partners and family offices are expected to participate either in the parent vehicle or in branded/hospitality-linked project sleeves. Project-level co-investors may be invited into ring-fenced entities where specific asset exposure is preferred, with returns derived from project cash flows, distributions on unit sell-down, and refinancing proceeds.</w:t>
      </w:r>
    </w:p>
    <w:p>
      <w:r>
        <w:t>Illustrative ownership allocations will depend on final valuation, instrument mix, and debt packaging. The base documentation assumes flexible participation mechanics that can be tailored to the preferences of control investors, minority investors, and project specialists.</w:t>
      </w:r>
    </w:p>
    <w:p>
      <w:r>
        <w:rPr>
          <w:b/>
          <w:color w:val="1F4E79"/>
          <w:sz w:val="26"/>
        </w:rPr>
        <w:t>9. Risk Considerations</w:t>
      </w:r>
    </w:p>
    <w:p>
      <w:r>
        <w:t>Key fundraising and deployment risks include construction cost inflation, slower-than-expected pre-sales conversion, higher interest rates on project debt, permitting or sequencing delays, and market softening in specific luxury micro-markets. These risks are partially mitigated by Aurelia’s focus on premium submarkets, the phased nature of the capital plan, and the ability to pair new equity with project-specific leverage and pre-sale collections.</w:t>
      </w:r>
    </w:p>
    <w:p>
      <w:r>
        <w:t>From an investor perspective, particular diligence attention should be paid to land payment timing, sponsor-equity requirements embedded in lending commitments, the pace and pricing assumptions of off-plan absorption, and the extent to which contingency reserves are sufficient to absorb escalation or design changes. Investors should also evaluate the company’s capacity to execute multiple concurrent projects without overstretching management and working capital.</w:t>
      </w:r>
    </w:p>
    <w:p>
      <w:r>
        <w:rPr>
          <w:b/>
          <w:color w:val="1F4E79"/>
          <w:sz w:val="26"/>
        </w:rPr>
        <w:t>Appendix A. Indicative Capital Raise Snapshot</w:t>
      </w:r>
    </w:p>
    <w:p>
      <w:pPr>
        <w:ind w:left="288"/>
      </w:pPr>
      <w:r>
        <w:t>• Total capital sought: $1.105 billion</w:t>
      </w:r>
    </w:p>
    <w:p>
      <w:pPr>
        <w:ind w:left="288"/>
      </w:pPr>
      <w:r>
        <w:t>• Largest single project equity need: Jumeirah Mixed-Use Quarter ($210 million)</w:t>
      </w:r>
    </w:p>
    <w:p>
      <w:pPr>
        <w:ind w:left="288"/>
      </w:pPr>
      <w:r>
        <w:t>• Near-term 2026 deployment estimate: $470 million</w:t>
      </w:r>
    </w:p>
    <w:p>
      <w:pPr>
        <w:ind w:left="288"/>
      </w:pPr>
      <w:r>
        <w:t>• Indicative investor minimums: $50 million (institutional anchor), $15 million (co-invest / strategic)</w:t>
      </w:r>
    </w:p>
    <w:p>
      <w:pPr>
        <w:ind w:left="288"/>
      </w:pPr>
      <w:r>
        <w:t>• Indicative uses of capital: land control, sponsor construction equity, hospitality fit-out, infrastructure, working capital and contingency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Aurelia Developments LLC | Total Capital Amount Sought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