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Transfer Pricing Agreements and Intercompany Pricing Policies – Aurelia Developments LLC</w:t>
      </w:r>
    </w:p>
    <w:p>
      <w:pPr>
        <w:jc w:val="center"/>
      </w:pPr>
      <w:r>
        <w:rPr>
          <w:i/>
          <w:color w:val="595959"/>
          <w:sz w:val="20"/>
        </w:rPr>
        <w:t>Illustrative private equity tax diligence memorandum | Amounts presented in USD | Review period: FY2021–FY2023</w:t>
      </w:r>
    </w:p>
    <w:p>
      <w:pPr>
        <w:jc w:val="center"/>
      </w:pPr>
      <w:r>
        <w:rPr>
          <w:i/>
          <w:color w:val="636363"/>
          <w:sz w:val="18"/>
        </w:rPr>
        <w:t>Prepared in a Big 4–style transfer pricing format for diligence purposes. This document is illustrative and should be read together with the supporting Excel schedules.</w:t>
      </w:r>
    </w:p>
    <w:p/>
    <w:p>
      <w:pPr>
        <w:pStyle w:val="Heading1"/>
      </w:pPr>
      <w:r>
        <w:t>1. Executive Summary</w:t>
      </w:r>
    </w:p>
    <w:p>
      <w:r>
        <w:t>Aurelia Developments LLC (“Aurelia” or the “Company”) operates a multi-entity real estate development platform headquartered in Dubai, United Arab Emirates, with project-specific special purpose vehicles, affiliated service entities, joint venture development vehicles, and international holding companies participating in the broader group structure. As a consequence, the Company enters into a range of controlled transactions that fall within the scope of transfer pricing rules and require supportable arm’s length pricing policies.</w:t>
      </w:r>
    </w:p>
    <w:p>
      <w:r>
        <w:t>This memorandum summarizes the Company’s transfer pricing framework for FY2021 through FY2023, including intercompany service arrangements, development management fees, shared services charges, licensing and brand support arrangements, treasury and financing transactions, and project support functions performed by affiliated entities. The purpose of the memorandum is to explain the policy architecture used by management to price controlled transactions, document the rationale for the selected transfer pricing methods, and highlight the principal tax diligence considerations for investors, lenders, auditors, and tax advisors.</w:t>
      </w:r>
    </w:p>
    <w:p>
      <w:r>
        <w:t>For private equity diligence purposes, transfer pricing analysis is relevant because the pricing of intercompany transactions can materially affect EBITDA, taxable income, distributable cash, debt capacity, and the geographic allocation of profit across the group. A weak transfer pricing framework may also create risks of tax authority adjustments, double taxation, penalties, withholding tax leakage, and disputes over deductibility or characterization of charges.</w:t>
      </w:r>
    </w:p>
    <w:p>
      <w:pPr>
        <w:pStyle w:val="Heading1"/>
      </w:pPr>
      <w:r>
        <w:t>2. Applicable Transfer Pricing Regulations</w:t>
      </w:r>
    </w:p>
    <w:p>
      <w:r>
        <w:t>The Company’s framework is designed by reference to the OECD Transfer Pricing Guidelines, which articulate the arm’s length principle and establish accepted methods for pricing controlled transactions. In substance, the guidelines require related-party dealings to be priced as if they had been transacted between independent parties under comparable circumstances.</w:t>
      </w:r>
    </w:p>
    <w:p>
      <w:r>
        <w:t>In the UAE context, transfer pricing considerations have become increasingly important due to the broader evolution of corporate taxation, documentation expectations, and related-party disclosure requirements. Even where historical periods pre-date the full practical application of some modern UAE corporate tax compliance processes, a PE diligence exercise typically evaluates whether the Company maintained commercially rational, consistently applied, and defensible pricing arrangements across the review period.</w:t>
      </w:r>
    </w:p>
    <w:p>
      <w:r>
        <w:t>The arm’s length principle is applied through a functional analysis that considers the economically significant functions performed, assets used, and risks assumed by each party. The Company’s policy design therefore distinguishes routine support entities from entrepreneurial development entities, separates pass-through costs from value-adding services, and applies transaction-specific methods depending on the availability of comparables and the commercial substance of the arrangement.</w:t>
      </w:r>
    </w:p>
    <w:p>
      <w:pPr>
        <w:pStyle w:val="Heading1"/>
      </w:pPr>
      <w:r>
        <w:t>3. Corporate Structure and Related Entities</w:t>
      </w:r>
    </w:p>
    <w:p>
      <w:r>
        <w:t>For diligence purposes, management has identified a related-party ecosystem composed of Aurelia as the operating parent, project-specific SPVs that hold or develop individual assets, a UAE-based shared services company that performs centralized operational functions, hospitality and brand support affiliates for selected projects, and holding companies and joint venture platforms that provide strategic funding and governance.</w:t>
      </w:r>
    </w:p>
    <w:p>
      <w:r>
        <w:t>These relationships create transfer pricing exposure because value-adding functions are not always performed by the same entity that bears contractual project risk. The analysis therefore requires careful delineation of which entity performs development strategy, procurement oversight, financing, legal structuring, sales enablement, and branded residence coordination.</w:t>
      </w:r>
    </w:p>
    <w:p>
      <w:pPr>
        <w:pStyle w:val="Heading1"/>
      </w:pPr>
      <w:r>
        <w:t>4. Overview of Intercompany Transactions</w:t>
      </w:r>
    </w:p>
    <w:p>
      <w:r>
        <w:t>Across the review period, the Company’s controlled transactions fell into five principal buckets: (i) headquarters and shared services support, (ii) project and development management services, (iii) intra-group financing and treasury arrangements, (iv) licensing / brand-related support connected with branded residence and hospitality projects, and (v) recharges and cost allocations for group costs that benefitted multiple entities.</w:t>
      </w:r>
    </w:p>
    <w:p>
      <w:r>
        <w:t>The materiality of each category varied by year depending on the pace of project launches, the mix of active developments, the use of branded residence partners, and the extent to which project-specific SPVs relied on central group functions. In general, project SPVs with limited substance were positioned as risk-bearing development vehicles but outsourced significant operational execution to Aurelia and/or the group shared services entity.</w:t>
      </w:r>
    </w:p>
    <w:p>
      <w:pPr>
        <w:pStyle w:val="Heading1"/>
      </w:pPr>
      <w:r>
        <w:t>5. Intercompany Service Agreements</w:t>
      </w:r>
    </w:p>
    <w:p>
      <w:r>
        <w:t>The group operates a centralized service model in which a shared services entity and, in certain cases, Aurelia itself provide executive management, finance, legal, human resources, procurement support, IT administration, design coordination, sales analytics, and procurement governance to project entities and joint ventures.</w:t>
      </w:r>
    </w:p>
    <w:p>
      <w:r>
        <w:t>From a transfer pricing perspective, a chargeable service exists only where the recipient receives economic or commercial value, the activity is not merely a shareholder function, and the charge is not duplicative of work already performed by local project teams or third-party advisors. Management therefore screens cost pools for shareholder activities and non-benefit items before any charge-out occurs.</w:t>
      </w:r>
    </w:p>
    <w:p>
      <w:r>
        <w:t>Routine back-office and managerial support is generally priced using a cost-plus method, with a markup calibrated to the underlying functional profile. Pure pass-through costs, including certain third-party permit payments or professional fees incurred strictly as agent for a project SPV, are generally recharged at cost without markup. Value-adding coordination services—particularly development management and procurement oversight—carry a modest markup reflecting execution expertise and project integration capabilities.</w:t>
      </w:r>
    </w:p>
    <w:p>
      <w:pPr>
        <w:pStyle w:val="Heading1"/>
      </w:pPr>
      <w:r>
        <w:t>6. Financing and Intercompany Loans</w:t>
      </w:r>
    </w:p>
    <w:p>
      <w:r>
        <w:t>Intra-group financing arrangements include shareholder loans, project bridge facilities from holding entities, and occasional intercompany current accounts used to smooth short-term liquidity across project cycles. Given the capital intensity of luxury real estate development, loan pricing is a significant diligence focus because modest changes in interest rates, subordination terms, or guarantee assumptions can materially influence taxable income.</w:t>
      </w:r>
    </w:p>
    <w:p>
      <w:r>
        <w:t>The Company’s policy is to benchmark intercompany financing using the CUP method where reasonably reliable market indicators exist. Relevant parameters include currency denomination, tenor, security, ranking, repayment profile, borrower credit profile, construction-stage risk, and whether the funding is project-specific or a more general working-capital facility.</w:t>
      </w:r>
    </w:p>
    <w:p>
      <w:r>
        <w:t>Where shareholder support or implicit group backing is relevant, management distinguishes between the borrower’s standalone credit characteristics and the practical benefit of group affiliation. The resulting pricing policy generally applies a reference base rate plus a credit spread. For subordinated or mezzanine-like funding, pricing may incorporate a higher spread reflecting structural risk.</w:t>
      </w:r>
    </w:p>
    <w:p>
      <w:pPr>
        <w:pStyle w:val="Heading1"/>
      </w:pPr>
      <w:r>
        <w:t>7. Cost Allocation Methodologies</w:t>
      </w:r>
    </w:p>
    <w:p>
      <w:r>
        <w:t>The group allocates central costs using allocation keys intended to reflect expected benefit. Typical drivers include headcount, project gross development value, direct project spend, hours worked, technology user counts, and revenue mix. A PE review should test whether the chosen allocation bases remain stable over time and whether they reflect actual consumption of services.</w:t>
      </w:r>
    </w:p>
    <w:p>
      <w:r>
        <w:t>Management’s policy differentiates between directly attributable costs, which are charged to the relevant project or entity based on invoice-level tracing, and pooled support costs, which are allocated using predetermined drivers with annual true-ups where necessary. The policy also requires screening for duplicate charges and shareholder costs, which are excluded from chargeable pools.</w:t>
      </w:r>
    </w:p>
    <w:p>
      <w:pPr>
        <w:pStyle w:val="Heading1"/>
      </w:pPr>
      <w:r>
        <w:t>8. Transfer Pricing Methodology</w:t>
      </w:r>
    </w:p>
    <w:p>
      <w:r>
        <w:t>The Company does not apply a single method to all controlled transactions. Rather, management selects the most appropriate method based on the character of the transaction, data availability, and the relative contribution of each party. For routine services, the cost-plus method is generally the most reliable because the tested party performs support functions with limited strategic risk and limited ownership of non-routine intangibles.</w:t>
      </w:r>
    </w:p>
    <w:p>
      <w:r>
        <w:t>For financing transactions, the CUP method is ordinarily preferred because observable market pricing for debt instruments and intercompany loans can often be adapted to the relevant fact pattern. For higher-complexity arrangements, such as branded residence support or integrated development and marketing contributions involving multiple entities, management may supplement primary methods with TNMM or profit split reasoning where both sides contribute unique value.</w:t>
      </w:r>
    </w:p>
    <w:p>
      <w:r>
        <w:t>In all cases, the method selection hierarchy is anchored in the delineation of the actual transaction and the availability of reliable comparables. Where direct external comparables are weak, management uses corroborative analysis and internal consistency checks to support the reasonableness of the chosen pricing outcome.</w:t>
      </w:r>
    </w:p>
    <w:p>
      <w:pPr>
        <w:pStyle w:val="Heading1"/>
      </w:pPr>
      <w:r>
        <w:t>9. Benchmarking Analysis</w:t>
      </w:r>
    </w:p>
    <w:p>
      <w:r>
        <w:t>Benchmarking studies used by the Company are intended to validate the arm’s length nature of service markups, operating margins for limited-risk support entities, and interest spreads on intra-group financing. For service charges, external comparables typically focus on companies providing business support, technical advisory, project management, or property-related service functions with risk profiles broadly similar to the tested party.</w:t>
      </w:r>
    </w:p>
    <w:p>
      <w:r>
        <w:t>Benchmarking outputs are used as ranges rather than mechanical targets. Management generally positions routine service returns around the interquartile range and then refines the selected point using functional intensity, local market considerations, and the existence of pass-through cost elements that should not themselves earn a full markup.</w:t>
      </w:r>
    </w:p>
    <w:p>
      <w:pPr>
        <w:pStyle w:val="Heading1"/>
      </w:pPr>
      <w:r>
        <w:t>10. Transfer Pricing Documentation and Compliance</w:t>
      </w:r>
    </w:p>
    <w:p>
      <w:r>
        <w:t>The Company maintains a layered documentation framework consisting of executed intercompany agreements, annual charge calculations, allocation schedules, invoice support, treasury memoranda for financing transactions, and central transfer pricing files explaining method selection. For the review period, the quality of documentation is strongest where agreements are signed contemporaneously and where charge-out schedules reconcile to the general ledger and management reporting packs.</w:t>
      </w:r>
    </w:p>
    <w:p>
      <w:r>
        <w:t>From a diligence perspective, the most important compliance attributes are consistency, contemporaneity, and audit trail. Management should be able to demonstrate that controlled transactions were priced according to a documented policy, invoiced accordingly, and reflected consistently in statutory ledgers, management accounts, and tax filings.</w:t>
      </w:r>
    </w:p>
    <w:p>
      <w:pPr>
        <w:pStyle w:val="Heading1"/>
      </w:pPr>
      <w:r>
        <w:t>11. Tax Authority Review and Risk Assessment</w:t>
      </w:r>
    </w:p>
    <w:p>
      <w:r>
        <w:t>Potential transfer pricing risk areas include under-documented service charges, inappropriate inclusion of shareholder activities in cost pools, outdated benchmarking, interest rates not aligned to borrower risk, and inconsistent treatment of guarantees or implicit support. Cross-border structures involving holding entities and branded residence support can also draw attention where intangible value and profit allocation are not clearly evidenced.</w:t>
      </w:r>
    </w:p>
    <w:p>
      <w:r>
        <w:t>Private equity investors should focus particularly on whether the Company’s historical pricing architecture is defensible under scrutiny, whether additional local file or master file work may be required as the UAE tax regime matures, and whether any historical positions could trigger primary adjustments or double-tax disputes in counterparty jurisdictions.</w:t>
      </w:r>
    </w:p>
    <w:p>
      <w:r>
        <w:t>Based on management’s current framework, the overall risk profile is moderate: the policy architecture is coherent and commercially plausible, but certain areas would benefit from refreshed benchmarking, more explicit guarantee fee analysis, tighter distinction between shareholder and operating costs, and standardized agreement templates across all active project SPVs.</w:t>
      </w:r>
    </w:p>
    <w:p>
      <w:pPr>
        <w:pStyle w:val="Heading1"/>
      </w:pPr>
      <w:r>
        <w:t>12. Conclusion</w:t>
      </w:r>
    </w:p>
    <w:p>
      <w:r>
        <w:t>Aurelia’s transfer pricing framework is broadly consistent with a multi-entity real estate development platform that centralizes expertise while deploying project-specific operating vehicles. The Company’s controlled transactions are capable of being supported under internationally recognized transfer pricing principles, provided that method selection, benchmarking, and documentation are maintained with appropriate rigor.</w:t>
      </w:r>
    </w:p>
    <w:p>
      <w:r>
        <w:t>For diligence purposes, this memorandum should be used together with the supporting workbook, executed agreements, and legal entity financial data to evaluate whether the historical pricing outcomes are consistent with the Company’s functional profile and whether any remediation actions are advisable before a transaction, refinancing, or external audit cycle.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728"/>
            <w:vAlign w:val="center"/>
            <w:shd w:fill="D9EAF7"/>
          </w:tcPr>
          <w:p>
            <w:r>
              <w:rPr>
                <w:b/>
                <w:sz w:val="18"/>
              </w:rPr>
              <w:t>Category</w:t>
            </w:r>
          </w:p>
        </w:tc>
        <w:tc>
          <w:tcPr>
            <w:tcW w:type="dxa" w:w="3744"/>
            <w:vAlign w:val="center"/>
            <w:shd w:fill="D9EAF7"/>
          </w:tcPr>
          <w:p>
            <w:r>
              <w:rPr>
                <w:b/>
                <w:sz w:val="18"/>
              </w:rPr>
              <w:t>Key controlled transactions</w:t>
            </w:r>
          </w:p>
        </w:tc>
        <w:tc>
          <w:tcPr>
            <w:tcW w:type="dxa" w:w="1872"/>
            <w:vAlign w:val="center"/>
            <w:shd w:fill="D9EAF7"/>
          </w:tcPr>
          <w:p>
            <w:r>
              <w:rPr>
                <w:b/>
                <w:sz w:val="18"/>
              </w:rPr>
              <w:t>Primary TP method</w:t>
            </w:r>
          </w:p>
        </w:tc>
        <w:tc>
          <w:tcPr>
            <w:tcW w:type="dxa" w:w="2592"/>
            <w:vAlign w:val="center"/>
            <w:shd w:fill="D9EAF7"/>
          </w:tcPr>
          <w:p>
            <w:r>
              <w:rPr>
                <w:b/>
                <w:sz w:val="18"/>
              </w:rPr>
              <w:t>Principal diligence focus</w:t>
            </w:r>
          </w:p>
        </w:tc>
      </w:tr>
      <w:tr>
        <w:tc>
          <w:tcPr>
            <w:tcW w:type="dxa" w:w="1728"/>
            <w:vAlign w:val="center"/>
          </w:tcPr>
          <w:p>
            <w:r>
              <w:rPr>
                <w:sz w:val="17"/>
              </w:rPr>
              <w:t>Intercompany services</w:t>
            </w:r>
          </w:p>
        </w:tc>
        <w:tc>
          <w:tcPr>
            <w:tcW w:type="dxa" w:w="3744"/>
            <w:vAlign w:val="center"/>
          </w:tcPr>
          <w:p>
            <w:r>
              <w:rPr>
                <w:sz w:val="17"/>
              </w:rPr>
              <w:t>Management, finance, legal, IT, procurement, HR support</w:t>
            </w:r>
          </w:p>
        </w:tc>
        <w:tc>
          <w:tcPr>
            <w:tcW w:type="dxa" w:w="1872"/>
            <w:vAlign w:val="center"/>
          </w:tcPr>
          <w:p>
            <w:r>
              <w:rPr>
                <w:sz w:val="17"/>
              </w:rPr>
              <w:t>Cost-plus</w:t>
            </w:r>
          </w:p>
        </w:tc>
        <w:tc>
          <w:tcPr>
            <w:tcW w:type="dxa" w:w="2592"/>
            <w:vAlign w:val="center"/>
          </w:tcPr>
          <w:p>
            <w:r>
              <w:rPr>
                <w:sz w:val="17"/>
              </w:rPr>
              <w:t>Benefit test; markup support; charge-out completeness</w:t>
            </w:r>
          </w:p>
        </w:tc>
      </w:tr>
      <w:tr>
        <w:tc>
          <w:tcPr>
            <w:tcW w:type="dxa" w:w="1728"/>
            <w:vAlign w:val="center"/>
          </w:tcPr>
          <w:p>
            <w:r>
              <w:rPr>
                <w:sz w:val="17"/>
              </w:rPr>
              <w:t>Development management</w:t>
            </w:r>
          </w:p>
        </w:tc>
        <w:tc>
          <w:tcPr>
            <w:tcW w:type="dxa" w:w="3744"/>
            <w:vAlign w:val="center"/>
          </w:tcPr>
          <w:p>
            <w:r>
              <w:rPr>
                <w:sz w:val="17"/>
              </w:rPr>
              <w:t>Project oversight, design coordination, procurement and sales enablement</w:t>
            </w:r>
          </w:p>
        </w:tc>
        <w:tc>
          <w:tcPr>
            <w:tcW w:type="dxa" w:w="1872"/>
            <w:vAlign w:val="center"/>
          </w:tcPr>
          <w:p>
            <w:r>
              <w:rPr>
                <w:sz w:val="17"/>
              </w:rPr>
              <w:t>Cost-plus / TNMM</w:t>
            </w:r>
          </w:p>
        </w:tc>
        <w:tc>
          <w:tcPr>
            <w:tcW w:type="dxa" w:w="2592"/>
            <w:vAlign w:val="center"/>
          </w:tcPr>
          <w:p>
            <w:r>
              <w:rPr>
                <w:sz w:val="17"/>
              </w:rPr>
              <w:t>Functional intensity and margin support</w:t>
            </w:r>
          </w:p>
        </w:tc>
      </w:tr>
      <w:tr>
        <w:tc>
          <w:tcPr>
            <w:tcW w:type="dxa" w:w="1728"/>
            <w:vAlign w:val="center"/>
          </w:tcPr>
          <w:p>
            <w:r>
              <w:rPr>
                <w:sz w:val="17"/>
              </w:rPr>
              <w:t>Brand / hospitality support</w:t>
            </w:r>
          </w:p>
        </w:tc>
        <w:tc>
          <w:tcPr>
            <w:tcW w:type="dxa" w:w="3744"/>
            <w:vAlign w:val="center"/>
          </w:tcPr>
          <w:p>
            <w:r>
              <w:rPr>
                <w:sz w:val="17"/>
              </w:rPr>
              <w:t>Branded residence and marketing platform support</w:t>
            </w:r>
          </w:p>
        </w:tc>
        <w:tc>
          <w:tcPr>
            <w:tcW w:type="dxa" w:w="1872"/>
            <w:vAlign w:val="center"/>
          </w:tcPr>
          <w:p>
            <w:r>
              <w:rPr>
                <w:sz w:val="17"/>
              </w:rPr>
              <w:t>CUP / profit split</w:t>
            </w:r>
          </w:p>
        </w:tc>
        <w:tc>
          <w:tcPr>
            <w:tcW w:type="dxa" w:w="2592"/>
            <w:vAlign w:val="center"/>
          </w:tcPr>
          <w:p>
            <w:r>
              <w:rPr>
                <w:sz w:val="17"/>
              </w:rPr>
              <w:t>Value of intangible contribution and royalty basis</w:t>
            </w:r>
          </w:p>
        </w:tc>
      </w:tr>
      <w:tr>
        <w:tc>
          <w:tcPr>
            <w:tcW w:type="dxa" w:w="1728"/>
            <w:vAlign w:val="center"/>
          </w:tcPr>
          <w:p>
            <w:r>
              <w:rPr>
                <w:sz w:val="17"/>
              </w:rPr>
              <w:t>Intercompany financing</w:t>
            </w:r>
          </w:p>
        </w:tc>
        <w:tc>
          <w:tcPr>
            <w:tcW w:type="dxa" w:w="3744"/>
            <w:vAlign w:val="center"/>
          </w:tcPr>
          <w:p>
            <w:r>
              <w:rPr>
                <w:sz w:val="17"/>
              </w:rPr>
              <w:t>Shareholder and affiliate loans, guarantees, treasury support</w:t>
            </w:r>
          </w:p>
        </w:tc>
        <w:tc>
          <w:tcPr>
            <w:tcW w:type="dxa" w:w="1872"/>
            <w:vAlign w:val="center"/>
          </w:tcPr>
          <w:p>
            <w:r>
              <w:rPr>
                <w:sz w:val="17"/>
              </w:rPr>
              <w:t>CUP</w:t>
            </w:r>
          </w:p>
        </w:tc>
        <w:tc>
          <w:tcPr>
            <w:tcW w:type="dxa" w:w="2592"/>
            <w:vAlign w:val="center"/>
          </w:tcPr>
          <w:p>
            <w:r>
              <w:rPr>
                <w:sz w:val="17"/>
              </w:rPr>
              <w:t>Arm’s length rate, tenor, security and thin capitalization considerations</w:t>
            </w:r>
          </w:p>
        </w:tc>
      </w:tr>
      <w:tr>
        <w:tc>
          <w:tcPr>
            <w:tcW w:type="dxa" w:w="1728"/>
            <w:vAlign w:val="center"/>
          </w:tcPr>
          <w:p>
            <w:r>
              <w:rPr>
                <w:sz w:val="17"/>
              </w:rPr>
              <w:t>Shared services allocations</w:t>
            </w:r>
          </w:p>
        </w:tc>
        <w:tc>
          <w:tcPr>
            <w:tcW w:type="dxa" w:w="3744"/>
            <w:vAlign w:val="center"/>
          </w:tcPr>
          <w:p>
            <w:r>
              <w:rPr>
                <w:sz w:val="17"/>
              </w:rPr>
              <w:t>Corporate overhead, regional office support</w:t>
            </w:r>
          </w:p>
        </w:tc>
        <w:tc>
          <w:tcPr>
            <w:tcW w:type="dxa" w:w="1872"/>
            <w:vAlign w:val="center"/>
          </w:tcPr>
          <w:p>
            <w:r>
              <w:rPr>
                <w:sz w:val="17"/>
              </w:rPr>
              <w:t>Allocation keys + cost-plus where appropriate</w:t>
            </w:r>
          </w:p>
        </w:tc>
        <w:tc>
          <w:tcPr>
            <w:tcW w:type="dxa" w:w="2592"/>
            <w:vAlign w:val="center"/>
          </w:tcPr>
          <w:p>
            <w:r>
              <w:rPr>
                <w:sz w:val="17"/>
              </w:rPr>
              <w:t>Allocation drivers; duplication risk; pass-through treatment</w:t>
            </w:r>
          </w:p>
        </w:tc>
      </w:tr>
    </w:tbl>
    <w:p/>
    <w:p>
      <w:pPr>
        <w:pStyle w:val="ListBullet"/>
        <w:spacing w:after="40"/>
      </w:pPr>
      <w:r>
        <w:t>OECD reference points: delineation of transactions, comparability, method selection, and documentation.</w:t>
      </w:r>
    </w:p>
    <w:p>
      <w:pPr>
        <w:pStyle w:val="ListBullet"/>
        <w:spacing w:after="40"/>
      </w:pPr>
      <w:r>
        <w:t>UAE considerations: related-party transparency, local file / master file concepts where applicable, and consistency with financial reporting and tax filings.</w:t>
      </w:r>
    </w:p>
    <w:p>
      <w:pPr>
        <w:pStyle w:val="ListBullet"/>
        <w:spacing w:after="40"/>
      </w:pPr>
      <w:r>
        <w:t>Cross-border considerations: withholding tax, permanent establishment, deductibility, and double-tax exposure in counterparty jurisdictions.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48"/>
            <w:vAlign w:val="center"/>
            <w:shd w:fill="D9EAF7"/>
          </w:tcPr>
          <w:p>
            <w:r>
              <w:rPr>
                <w:b/>
                <w:sz w:val="18"/>
              </w:rPr>
              <w:t>Entity</w:t>
            </w:r>
          </w:p>
        </w:tc>
        <w:tc>
          <w:tcPr>
            <w:tcW w:type="dxa" w:w="1440"/>
            <w:vAlign w:val="center"/>
            <w:shd w:fill="D9EAF7"/>
          </w:tcPr>
          <w:p>
            <w:r>
              <w:rPr>
                <w:b/>
                <w:sz w:val="18"/>
              </w:rPr>
              <w:t>Jurisdiction</w:t>
            </w:r>
          </w:p>
        </w:tc>
        <w:tc>
          <w:tcPr>
            <w:tcW w:type="dxa" w:w="2304"/>
            <w:vAlign w:val="center"/>
            <w:shd w:fill="D9EAF7"/>
          </w:tcPr>
          <w:p>
            <w:r>
              <w:rPr>
                <w:b/>
                <w:sz w:val="18"/>
              </w:rPr>
              <w:t>Role in group</w:t>
            </w:r>
          </w:p>
        </w:tc>
        <w:tc>
          <w:tcPr>
            <w:tcW w:type="dxa" w:w="3024"/>
            <w:vAlign w:val="center"/>
            <w:shd w:fill="D9EAF7"/>
          </w:tcPr>
          <w:p>
            <w:r>
              <w:rPr>
                <w:b/>
                <w:sz w:val="18"/>
              </w:rPr>
              <w:t>Typical controlled transactions</w:t>
            </w:r>
          </w:p>
        </w:tc>
      </w:tr>
      <w:tr>
        <w:tc>
          <w:tcPr>
            <w:tcW w:type="dxa" w:w="2448"/>
            <w:vAlign w:val="center"/>
          </w:tcPr>
          <w:p>
            <w:r>
              <w:rPr>
                <w:sz w:val="17"/>
              </w:rPr>
              <w:t>Aurelia Developments LLC</w:t>
            </w:r>
          </w:p>
        </w:tc>
        <w:tc>
          <w:tcPr>
            <w:tcW w:type="dxa" w:w="1440"/>
            <w:vAlign w:val="center"/>
          </w:tcPr>
          <w:p>
            <w:r>
              <w:rPr>
                <w:sz w:val="17"/>
              </w:rPr>
              <w:t>UAE</w:t>
            </w:r>
          </w:p>
        </w:tc>
        <w:tc>
          <w:tcPr>
            <w:tcW w:type="dxa" w:w="2304"/>
            <w:vAlign w:val="center"/>
          </w:tcPr>
          <w:p>
            <w:r>
              <w:rPr>
                <w:sz w:val="17"/>
              </w:rPr>
              <w:t>Operating parent / development platform</w:t>
            </w:r>
          </w:p>
        </w:tc>
        <w:tc>
          <w:tcPr>
            <w:tcW w:type="dxa" w:w="3024"/>
            <w:vAlign w:val="center"/>
          </w:tcPr>
          <w:p>
            <w:r>
              <w:rPr>
                <w:sz w:val="17"/>
              </w:rPr>
              <w:t>Receives service charges; provides development oversight; borrows and on-lends</w:t>
            </w:r>
          </w:p>
        </w:tc>
      </w:tr>
      <w:tr>
        <w:tc>
          <w:tcPr>
            <w:tcW w:type="dxa" w:w="2448"/>
            <w:vAlign w:val="center"/>
          </w:tcPr>
          <w:p>
            <w:r>
              <w:rPr>
                <w:sz w:val="17"/>
              </w:rPr>
              <w:t>Aurelia Holdings International Ltd.</w:t>
            </w:r>
          </w:p>
        </w:tc>
        <w:tc>
          <w:tcPr>
            <w:tcW w:type="dxa" w:w="1440"/>
            <w:vAlign w:val="center"/>
          </w:tcPr>
          <w:p>
            <w:r>
              <w:rPr>
                <w:sz w:val="17"/>
              </w:rPr>
              <w:t>Holding jurisdiction</w:t>
            </w:r>
          </w:p>
        </w:tc>
        <w:tc>
          <w:tcPr>
            <w:tcW w:type="dxa" w:w="2304"/>
            <w:vAlign w:val="center"/>
          </w:tcPr>
          <w:p>
            <w:r>
              <w:rPr>
                <w:sz w:val="17"/>
              </w:rPr>
              <w:t>Intermediate holding company</w:t>
            </w:r>
          </w:p>
        </w:tc>
        <w:tc>
          <w:tcPr>
            <w:tcW w:type="dxa" w:w="3024"/>
            <w:vAlign w:val="center"/>
          </w:tcPr>
          <w:p>
            <w:r>
              <w:rPr>
                <w:sz w:val="17"/>
              </w:rPr>
              <w:t>Shareholder loans; strategic oversight</w:t>
            </w:r>
          </w:p>
        </w:tc>
      </w:tr>
      <w:tr>
        <w:tc>
          <w:tcPr>
            <w:tcW w:type="dxa" w:w="2448"/>
            <w:vAlign w:val="center"/>
          </w:tcPr>
          <w:p>
            <w:r>
              <w:rPr>
                <w:sz w:val="17"/>
              </w:rPr>
              <w:t>Aurelia Project Services FZ-LLC</w:t>
            </w:r>
          </w:p>
        </w:tc>
        <w:tc>
          <w:tcPr>
            <w:tcW w:type="dxa" w:w="1440"/>
            <w:vAlign w:val="center"/>
          </w:tcPr>
          <w:p>
            <w:r>
              <w:rPr>
                <w:sz w:val="17"/>
              </w:rPr>
              <w:t>UAE free zone</w:t>
            </w:r>
          </w:p>
        </w:tc>
        <w:tc>
          <w:tcPr>
            <w:tcW w:type="dxa" w:w="2304"/>
            <w:vAlign w:val="center"/>
          </w:tcPr>
          <w:p>
            <w:r>
              <w:rPr>
                <w:sz w:val="17"/>
              </w:rPr>
              <w:t>Shared services centre</w:t>
            </w:r>
          </w:p>
        </w:tc>
        <w:tc>
          <w:tcPr>
            <w:tcW w:type="dxa" w:w="3024"/>
            <w:vAlign w:val="center"/>
          </w:tcPr>
          <w:p>
            <w:r>
              <w:rPr>
                <w:sz w:val="17"/>
              </w:rPr>
              <w:t>Finance, HR, legal, procurement and IT support</w:t>
            </w:r>
          </w:p>
        </w:tc>
      </w:tr>
      <w:tr>
        <w:tc>
          <w:tcPr>
            <w:tcW w:type="dxa" w:w="2448"/>
            <w:vAlign w:val="center"/>
          </w:tcPr>
          <w:p>
            <w:r>
              <w:rPr>
                <w:sz w:val="17"/>
              </w:rPr>
              <w:t>Aurelia Hospitality Brand Services Ltd.</w:t>
            </w:r>
          </w:p>
        </w:tc>
        <w:tc>
          <w:tcPr>
            <w:tcW w:type="dxa" w:w="1440"/>
            <w:vAlign w:val="center"/>
          </w:tcPr>
          <w:p>
            <w:r>
              <w:rPr>
                <w:sz w:val="17"/>
              </w:rPr>
              <w:t>International</w:t>
            </w:r>
          </w:p>
        </w:tc>
        <w:tc>
          <w:tcPr>
            <w:tcW w:type="dxa" w:w="2304"/>
            <w:vAlign w:val="center"/>
          </w:tcPr>
          <w:p>
            <w:r>
              <w:rPr>
                <w:sz w:val="17"/>
              </w:rPr>
              <w:t>Brand support / hospitality interface</w:t>
            </w:r>
          </w:p>
        </w:tc>
        <w:tc>
          <w:tcPr>
            <w:tcW w:type="dxa" w:w="3024"/>
            <w:vAlign w:val="center"/>
          </w:tcPr>
          <w:p>
            <w:r>
              <w:rPr>
                <w:sz w:val="17"/>
              </w:rPr>
              <w:t>Marketing platform support; brand coordination</w:t>
            </w:r>
          </w:p>
        </w:tc>
      </w:tr>
      <w:tr>
        <w:tc>
          <w:tcPr>
            <w:tcW w:type="dxa" w:w="2448"/>
            <w:vAlign w:val="center"/>
          </w:tcPr>
          <w:p>
            <w:r>
              <w:rPr>
                <w:sz w:val="17"/>
              </w:rPr>
              <w:t>Project SPV entities (multiple)</w:t>
            </w:r>
          </w:p>
        </w:tc>
        <w:tc>
          <w:tcPr>
            <w:tcW w:type="dxa" w:w="1440"/>
            <w:vAlign w:val="center"/>
          </w:tcPr>
          <w:p>
            <w:r>
              <w:rPr>
                <w:sz w:val="17"/>
              </w:rPr>
              <w:t>UAE</w:t>
            </w:r>
          </w:p>
        </w:tc>
        <w:tc>
          <w:tcPr>
            <w:tcW w:type="dxa" w:w="2304"/>
            <w:vAlign w:val="center"/>
          </w:tcPr>
          <w:p>
            <w:r>
              <w:rPr>
                <w:sz w:val="17"/>
              </w:rPr>
              <w:t>Project-specific development vehicles</w:t>
            </w:r>
          </w:p>
        </w:tc>
        <w:tc>
          <w:tcPr>
            <w:tcW w:type="dxa" w:w="3024"/>
            <w:vAlign w:val="center"/>
          </w:tcPr>
          <w:p>
            <w:r>
              <w:rPr>
                <w:sz w:val="17"/>
              </w:rPr>
              <w:t>Development management fees; cost recharges; financing flows</w:t>
            </w:r>
          </w:p>
        </w:tc>
      </w:tr>
      <w:tr>
        <w:tc>
          <w:tcPr>
            <w:tcW w:type="dxa" w:w="2448"/>
            <w:vAlign w:val="center"/>
          </w:tcPr>
          <w:p>
            <w:r>
              <w:rPr>
                <w:sz w:val="17"/>
              </w:rPr>
              <w:t>JV development entities</w:t>
            </w:r>
          </w:p>
        </w:tc>
        <w:tc>
          <w:tcPr>
            <w:tcW w:type="dxa" w:w="1440"/>
            <w:vAlign w:val="center"/>
          </w:tcPr>
          <w:p>
            <w:r>
              <w:rPr>
                <w:sz w:val="17"/>
              </w:rPr>
              <w:t>UAE / offshore</w:t>
            </w:r>
          </w:p>
        </w:tc>
        <w:tc>
          <w:tcPr>
            <w:tcW w:type="dxa" w:w="2304"/>
            <w:vAlign w:val="center"/>
          </w:tcPr>
          <w:p>
            <w:r>
              <w:rPr>
                <w:sz w:val="17"/>
              </w:rPr>
              <w:t>Shared-control project vehicles</w:t>
            </w:r>
          </w:p>
        </w:tc>
        <w:tc>
          <w:tcPr>
            <w:tcW w:type="dxa" w:w="3024"/>
            <w:vAlign w:val="center"/>
          </w:tcPr>
          <w:p>
            <w:r>
              <w:rPr>
                <w:sz w:val="17"/>
              </w:rPr>
              <w:t>Project oversight fees; reimbursable project support</w:t>
            </w:r>
          </w:p>
        </w:tc>
      </w:tr>
    </w:tbl>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304"/>
            <w:vAlign w:val="center"/>
            <w:shd w:fill="D9EAF7"/>
          </w:tcPr>
          <w:p>
            <w:r>
              <w:rPr>
                <w:b/>
                <w:sz w:val="18"/>
              </w:rPr>
              <w:t>Transaction category</w:t>
            </w:r>
          </w:p>
        </w:tc>
        <w:tc>
          <w:tcPr>
            <w:tcW w:type="dxa" w:w="2880"/>
            <w:vAlign w:val="center"/>
            <w:shd w:fill="D9EAF7"/>
          </w:tcPr>
          <w:p>
            <w:r>
              <w:rPr>
                <w:b/>
                <w:sz w:val="18"/>
              </w:rPr>
              <w:t>Commercial rationale</w:t>
            </w:r>
          </w:p>
        </w:tc>
        <w:tc>
          <w:tcPr>
            <w:tcW w:type="dxa" w:w="1872"/>
            <w:vAlign w:val="center"/>
            <w:shd w:fill="D9EAF7"/>
          </w:tcPr>
          <w:p>
            <w:r>
              <w:rPr>
                <w:b/>
                <w:sz w:val="18"/>
              </w:rPr>
              <w:t>Pricing basis</w:t>
            </w:r>
          </w:p>
        </w:tc>
        <w:tc>
          <w:tcPr>
            <w:tcW w:type="dxa" w:w="2592"/>
            <w:vAlign w:val="center"/>
            <w:shd w:fill="D9EAF7"/>
          </w:tcPr>
          <w:p>
            <w:r>
              <w:rPr>
                <w:b/>
                <w:sz w:val="18"/>
              </w:rPr>
              <w:t>Typical documentation</w:t>
            </w:r>
          </w:p>
        </w:tc>
      </w:tr>
      <w:tr>
        <w:tc>
          <w:tcPr>
            <w:tcW w:type="dxa" w:w="2304"/>
            <w:vAlign w:val="center"/>
          </w:tcPr>
          <w:p>
            <w:r>
              <w:rPr>
                <w:sz w:val="17"/>
              </w:rPr>
              <w:t>Management &amp; shared services</w:t>
            </w:r>
          </w:p>
        </w:tc>
        <w:tc>
          <w:tcPr>
            <w:tcW w:type="dxa" w:w="2880"/>
            <w:vAlign w:val="center"/>
          </w:tcPr>
          <w:p>
            <w:r>
              <w:rPr>
                <w:sz w:val="17"/>
              </w:rPr>
              <w:t>Centralize expertise and avoid duplication</w:t>
            </w:r>
          </w:p>
        </w:tc>
        <w:tc>
          <w:tcPr>
            <w:tcW w:type="dxa" w:w="1872"/>
            <w:vAlign w:val="center"/>
          </w:tcPr>
          <w:p>
            <w:r>
              <w:rPr>
                <w:sz w:val="17"/>
              </w:rPr>
              <w:t>Cost base plus markup</w:t>
            </w:r>
          </w:p>
        </w:tc>
        <w:tc>
          <w:tcPr>
            <w:tcW w:type="dxa" w:w="2592"/>
            <w:vAlign w:val="center"/>
          </w:tcPr>
          <w:p>
            <w:r>
              <w:rPr>
                <w:sz w:val="17"/>
              </w:rPr>
              <w:t>Intercompany service agreement; allocation schedules</w:t>
            </w:r>
          </w:p>
        </w:tc>
      </w:tr>
      <w:tr>
        <w:tc>
          <w:tcPr>
            <w:tcW w:type="dxa" w:w="2304"/>
            <w:vAlign w:val="center"/>
          </w:tcPr>
          <w:p>
            <w:r>
              <w:rPr>
                <w:sz w:val="17"/>
              </w:rPr>
              <w:t>Development management fees</w:t>
            </w:r>
          </w:p>
        </w:tc>
        <w:tc>
          <w:tcPr>
            <w:tcW w:type="dxa" w:w="2880"/>
            <w:vAlign w:val="center"/>
          </w:tcPr>
          <w:p>
            <w:r>
              <w:rPr>
                <w:sz w:val="17"/>
              </w:rPr>
              <w:t>Reward project execution know-how</w:t>
            </w:r>
          </w:p>
        </w:tc>
        <w:tc>
          <w:tcPr>
            <w:tcW w:type="dxa" w:w="1872"/>
            <w:vAlign w:val="center"/>
          </w:tcPr>
          <w:p>
            <w:r>
              <w:rPr>
                <w:sz w:val="17"/>
              </w:rPr>
              <w:t>Cost-plus or fixed fee with periodic true-up</w:t>
            </w:r>
          </w:p>
        </w:tc>
        <w:tc>
          <w:tcPr>
            <w:tcW w:type="dxa" w:w="2592"/>
            <w:vAlign w:val="center"/>
          </w:tcPr>
          <w:p>
            <w:r>
              <w:rPr>
                <w:sz w:val="17"/>
              </w:rPr>
              <w:t>Development management agreement; budget annexes</w:t>
            </w:r>
          </w:p>
        </w:tc>
      </w:tr>
      <w:tr>
        <w:tc>
          <w:tcPr>
            <w:tcW w:type="dxa" w:w="2304"/>
            <w:vAlign w:val="center"/>
          </w:tcPr>
          <w:p>
            <w:r>
              <w:rPr>
                <w:sz w:val="17"/>
              </w:rPr>
              <w:t>Intercompany loans</w:t>
            </w:r>
          </w:p>
        </w:tc>
        <w:tc>
          <w:tcPr>
            <w:tcW w:type="dxa" w:w="2880"/>
            <w:vAlign w:val="center"/>
          </w:tcPr>
          <w:p>
            <w:r>
              <w:rPr>
                <w:sz w:val="17"/>
              </w:rPr>
              <w:t>Fund land, infrastructure and working capital</w:t>
            </w:r>
          </w:p>
        </w:tc>
        <w:tc>
          <w:tcPr>
            <w:tcW w:type="dxa" w:w="1872"/>
            <w:vAlign w:val="center"/>
          </w:tcPr>
          <w:p>
            <w:r>
              <w:rPr>
                <w:sz w:val="17"/>
              </w:rPr>
              <w:t>Reference rate plus credit spread</w:t>
            </w:r>
          </w:p>
        </w:tc>
        <w:tc>
          <w:tcPr>
            <w:tcW w:type="dxa" w:w="2592"/>
            <w:vAlign w:val="center"/>
          </w:tcPr>
          <w:p>
            <w:r>
              <w:rPr>
                <w:sz w:val="17"/>
              </w:rPr>
              <w:t>Loan agreement; treasury memo; benchmark support</w:t>
            </w:r>
          </w:p>
        </w:tc>
      </w:tr>
      <w:tr>
        <w:tc>
          <w:tcPr>
            <w:tcW w:type="dxa" w:w="2304"/>
            <w:vAlign w:val="center"/>
          </w:tcPr>
          <w:p>
            <w:r>
              <w:rPr>
                <w:sz w:val="17"/>
              </w:rPr>
              <w:t>Brand / marketing support</w:t>
            </w:r>
          </w:p>
        </w:tc>
        <w:tc>
          <w:tcPr>
            <w:tcW w:type="dxa" w:w="2880"/>
            <w:vAlign w:val="center"/>
          </w:tcPr>
          <w:p>
            <w:r>
              <w:rPr>
                <w:sz w:val="17"/>
              </w:rPr>
              <w:t>Leverage group platform for branded projects</w:t>
            </w:r>
          </w:p>
        </w:tc>
        <w:tc>
          <w:tcPr>
            <w:tcW w:type="dxa" w:w="1872"/>
            <w:vAlign w:val="center"/>
          </w:tcPr>
          <w:p>
            <w:r>
              <w:rPr>
                <w:sz w:val="17"/>
              </w:rPr>
              <w:t>Royalty / service fee / cost contribution</w:t>
            </w:r>
          </w:p>
        </w:tc>
        <w:tc>
          <w:tcPr>
            <w:tcW w:type="dxa" w:w="2592"/>
            <w:vAlign w:val="center"/>
          </w:tcPr>
          <w:p>
            <w:r>
              <w:rPr>
                <w:sz w:val="17"/>
              </w:rPr>
              <w:t>Brand support agreement; benchmarking</w:t>
            </w:r>
          </w:p>
        </w:tc>
      </w:tr>
      <w:tr>
        <w:tc>
          <w:tcPr>
            <w:tcW w:type="dxa" w:w="2304"/>
            <w:vAlign w:val="center"/>
          </w:tcPr>
          <w:p>
            <w:r>
              <w:rPr>
                <w:sz w:val="17"/>
              </w:rPr>
              <w:t>Pass-through reimbursables</w:t>
            </w:r>
          </w:p>
        </w:tc>
        <w:tc>
          <w:tcPr>
            <w:tcW w:type="dxa" w:w="2880"/>
            <w:vAlign w:val="center"/>
          </w:tcPr>
          <w:p>
            <w:r>
              <w:rPr>
                <w:sz w:val="17"/>
              </w:rPr>
              <w:t>Recharge third-party costs incurred on behalf of project vehicle</w:t>
            </w:r>
          </w:p>
        </w:tc>
        <w:tc>
          <w:tcPr>
            <w:tcW w:type="dxa" w:w="1872"/>
            <w:vAlign w:val="center"/>
          </w:tcPr>
          <w:p>
            <w:r>
              <w:rPr>
                <w:sz w:val="17"/>
              </w:rPr>
              <w:t>At cost</w:t>
            </w:r>
          </w:p>
        </w:tc>
        <w:tc>
          <w:tcPr>
            <w:tcW w:type="dxa" w:w="2592"/>
            <w:vAlign w:val="center"/>
          </w:tcPr>
          <w:p>
            <w:r>
              <w:rPr>
                <w:sz w:val="17"/>
              </w:rPr>
              <w:t>Recharge schedule and invoice support</w:t>
            </w:r>
          </w:p>
        </w:tc>
      </w:tr>
    </w:tbl>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vAlign w:val="center"/>
            <w:shd w:fill="D9EAF7"/>
          </w:tcPr>
          <w:p>
            <w:r>
              <w:rPr>
                <w:b/>
                <w:sz w:val="18"/>
              </w:rPr>
              <w:t>Service stream</w:t>
            </w:r>
          </w:p>
        </w:tc>
        <w:tc>
          <w:tcPr>
            <w:tcW w:type="dxa" w:w="2592"/>
            <w:vAlign w:val="center"/>
            <w:shd w:fill="D9EAF7"/>
          </w:tcPr>
          <w:p>
            <w:r>
              <w:rPr>
                <w:b/>
                <w:sz w:val="18"/>
              </w:rPr>
              <w:t>Typical cost base</w:t>
            </w:r>
          </w:p>
        </w:tc>
        <w:tc>
          <w:tcPr>
            <w:tcW w:type="dxa" w:w="1728"/>
            <w:vAlign w:val="center"/>
            <w:shd w:fill="D9EAF7"/>
          </w:tcPr>
          <w:p>
            <w:r>
              <w:rPr>
                <w:b/>
                <w:sz w:val="18"/>
              </w:rPr>
              <w:t>Markup range applied</w:t>
            </w:r>
          </w:p>
        </w:tc>
        <w:tc>
          <w:tcPr>
            <w:tcW w:type="dxa" w:w="2592"/>
            <w:vAlign w:val="center"/>
            <w:shd w:fill="D9EAF7"/>
          </w:tcPr>
          <w:p>
            <w:r>
              <w:rPr>
                <w:b/>
                <w:sz w:val="18"/>
              </w:rPr>
              <w:t>Commentary</w:t>
            </w:r>
          </w:p>
        </w:tc>
      </w:tr>
      <w:tr>
        <w:tc>
          <w:tcPr>
            <w:tcW w:type="dxa" w:w="2160"/>
            <w:vAlign w:val="center"/>
          </w:tcPr>
          <w:p>
            <w:r>
              <w:rPr>
                <w:sz w:val="17"/>
              </w:rPr>
              <w:t>Corporate shared services</w:t>
            </w:r>
          </w:p>
        </w:tc>
        <w:tc>
          <w:tcPr>
            <w:tcW w:type="dxa" w:w="2592"/>
            <w:vAlign w:val="center"/>
          </w:tcPr>
          <w:p>
            <w:r>
              <w:rPr>
                <w:sz w:val="17"/>
              </w:rPr>
              <w:t>Payroll, occupancy, software, admin</w:t>
            </w:r>
          </w:p>
        </w:tc>
        <w:tc>
          <w:tcPr>
            <w:tcW w:type="dxa" w:w="1728"/>
            <w:vAlign w:val="center"/>
          </w:tcPr>
          <w:p>
            <w:r>
              <w:rPr>
                <w:sz w:val="17"/>
              </w:rPr>
              <w:t>5.0%–8.0%</w:t>
            </w:r>
          </w:p>
        </w:tc>
        <w:tc>
          <w:tcPr>
            <w:tcW w:type="dxa" w:w="2592"/>
            <w:vAlign w:val="center"/>
          </w:tcPr>
          <w:p>
            <w:r>
              <w:rPr>
                <w:sz w:val="17"/>
              </w:rPr>
              <w:t>Routine, scalable support services</w:t>
            </w:r>
          </w:p>
        </w:tc>
      </w:tr>
      <w:tr>
        <w:tc>
          <w:tcPr>
            <w:tcW w:type="dxa" w:w="2160"/>
            <w:vAlign w:val="center"/>
          </w:tcPr>
          <w:p>
            <w:r>
              <w:rPr>
                <w:sz w:val="17"/>
              </w:rPr>
              <w:t>Development management</w:t>
            </w:r>
          </w:p>
        </w:tc>
        <w:tc>
          <w:tcPr>
            <w:tcW w:type="dxa" w:w="2592"/>
            <w:vAlign w:val="center"/>
          </w:tcPr>
          <w:p>
            <w:r>
              <w:rPr>
                <w:sz w:val="17"/>
              </w:rPr>
              <w:t>Project oversight personnel, planning, coordination</w:t>
            </w:r>
          </w:p>
        </w:tc>
        <w:tc>
          <w:tcPr>
            <w:tcW w:type="dxa" w:w="1728"/>
            <w:vAlign w:val="center"/>
          </w:tcPr>
          <w:p>
            <w:r>
              <w:rPr>
                <w:sz w:val="17"/>
              </w:rPr>
              <w:t>7.5%–12.0%</w:t>
            </w:r>
          </w:p>
        </w:tc>
        <w:tc>
          <w:tcPr>
            <w:tcW w:type="dxa" w:w="2592"/>
            <w:vAlign w:val="center"/>
          </w:tcPr>
          <w:p>
            <w:r>
              <w:rPr>
                <w:sz w:val="17"/>
              </w:rPr>
              <w:t>Higher-value technical and execution content</w:t>
            </w:r>
          </w:p>
        </w:tc>
      </w:tr>
      <w:tr>
        <w:tc>
          <w:tcPr>
            <w:tcW w:type="dxa" w:w="2160"/>
            <w:vAlign w:val="center"/>
          </w:tcPr>
          <w:p>
            <w:r>
              <w:rPr>
                <w:sz w:val="17"/>
              </w:rPr>
              <w:t>Sales analytics / CRM support</w:t>
            </w:r>
          </w:p>
        </w:tc>
        <w:tc>
          <w:tcPr>
            <w:tcW w:type="dxa" w:w="2592"/>
            <w:vAlign w:val="center"/>
          </w:tcPr>
          <w:p>
            <w:r>
              <w:rPr>
                <w:sz w:val="17"/>
              </w:rPr>
              <w:t>Systems, reporting staff, digital enablement</w:t>
            </w:r>
          </w:p>
        </w:tc>
        <w:tc>
          <w:tcPr>
            <w:tcW w:type="dxa" w:w="1728"/>
            <w:vAlign w:val="center"/>
          </w:tcPr>
          <w:p>
            <w:r>
              <w:rPr>
                <w:sz w:val="17"/>
              </w:rPr>
              <w:t>6.0%–9.0%</w:t>
            </w:r>
          </w:p>
        </w:tc>
        <w:tc>
          <w:tcPr>
            <w:tcW w:type="dxa" w:w="2592"/>
            <w:vAlign w:val="center"/>
          </w:tcPr>
          <w:p>
            <w:r>
              <w:rPr>
                <w:sz w:val="17"/>
              </w:rPr>
              <w:t>Benefits multiple projects and sales platforms</w:t>
            </w:r>
          </w:p>
        </w:tc>
      </w:tr>
      <w:tr>
        <w:tc>
          <w:tcPr>
            <w:tcW w:type="dxa" w:w="2160"/>
            <w:vAlign w:val="center"/>
          </w:tcPr>
          <w:p>
            <w:r>
              <w:rPr>
                <w:sz w:val="17"/>
              </w:rPr>
              <w:t>Procurement governance</w:t>
            </w:r>
          </w:p>
        </w:tc>
        <w:tc>
          <w:tcPr>
            <w:tcW w:type="dxa" w:w="2592"/>
            <w:vAlign w:val="center"/>
          </w:tcPr>
          <w:p>
            <w:r>
              <w:rPr>
                <w:sz w:val="17"/>
              </w:rPr>
              <w:t>Category management and tender governance</w:t>
            </w:r>
          </w:p>
        </w:tc>
        <w:tc>
          <w:tcPr>
            <w:tcW w:type="dxa" w:w="1728"/>
            <w:vAlign w:val="center"/>
          </w:tcPr>
          <w:p>
            <w:r>
              <w:rPr>
                <w:sz w:val="17"/>
              </w:rPr>
              <w:t>7.0%–10.0%</w:t>
            </w:r>
          </w:p>
        </w:tc>
        <w:tc>
          <w:tcPr>
            <w:tcW w:type="dxa" w:w="2592"/>
            <w:vAlign w:val="center"/>
          </w:tcPr>
          <w:p>
            <w:r>
              <w:rPr>
                <w:sz w:val="17"/>
              </w:rPr>
              <w:t>Linked to vendor sourcing and control activities</w:t>
            </w:r>
          </w:p>
        </w:tc>
      </w:tr>
      <w:tr>
        <w:tc>
          <w:tcPr>
            <w:tcW w:type="dxa" w:w="2160"/>
            <w:vAlign w:val="center"/>
          </w:tcPr>
          <w:p>
            <w:r>
              <w:rPr>
                <w:sz w:val="17"/>
              </w:rPr>
              <w:t>True pass-through disbursements</w:t>
            </w:r>
          </w:p>
        </w:tc>
        <w:tc>
          <w:tcPr>
            <w:tcW w:type="dxa" w:w="2592"/>
            <w:vAlign w:val="center"/>
          </w:tcPr>
          <w:p>
            <w:r>
              <w:rPr>
                <w:sz w:val="17"/>
              </w:rPr>
              <w:t>Third-party costs incurred as agent</w:t>
            </w:r>
          </w:p>
        </w:tc>
        <w:tc>
          <w:tcPr>
            <w:tcW w:type="dxa" w:w="1728"/>
            <w:vAlign w:val="center"/>
          </w:tcPr>
          <w:p>
            <w:r>
              <w:rPr>
                <w:sz w:val="17"/>
              </w:rPr>
              <w:t>0.0%</w:t>
            </w:r>
          </w:p>
        </w:tc>
        <w:tc>
          <w:tcPr>
            <w:tcW w:type="dxa" w:w="2592"/>
            <w:vAlign w:val="center"/>
          </w:tcPr>
          <w:p>
            <w:r>
              <w:rPr>
                <w:sz w:val="17"/>
              </w:rPr>
              <w:t>No markup where no additional value added</w:t>
            </w:r>
          </w:p>
        </w:tc>
      </w:tr>
    </w:tbl>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160"/>
            <w:vAlign w:val="center"/>
            <w:shd w:fill="D9EAF7"/>
          </w:tcPr>
          <w:p>
            <w:r>
              <w:rPr>
                <w:b/>
                <w:sz w:val="18"/>
              </w:rPr>
              <w:t>Loan type</w:t>
            </w:r>
          </w:p>
        </w:tc>
        <w:tc>
          <w:tcPr>
            <w:tcW w:type="dxa" w:w="2592"/>
            <w:vAlign w:val="center"/>
            <w:shd w:fill="D9EAF7"/>
          </w:tcPr>
          <w:p>
            <w:r>
              <w:rPr>
                <w:b/>
                <w:sz w:val="18"/>
              </w:rPr>
              <w:t>Illustrative arm’s length framework</w:t>
            </w:r>
          </w:p>
        </w:tc>
        <w:tc>
          <w:tcPr>
            <w:tcW w:type="dxa" w:w="2160"/>
            <w:vAlign w:val="center"/>
            <w:shd w:fill="D9EAF7"/>
          </w:tcPr>
          <w:p>
            <w:r>
              <w:rPr>
                <w:b/>
                <w:sz w:val="18"/>
              </w:rPr>
              <w:t>Key pricing variables</w:t>
            </w:r>
          </w:p>
        </w:tc>
        <w:tc>
          <w:tcPr>
            <w:tcW w:type="dxa" w:w="2304"/>
            <w:vAlign w:val="center"/>
            <w:shd w:fill="D9EAF7"/>
          </w:tcPr>
          <w:p>
            <w:r>
              <w:rPr>
                <w:b/>
                <w:sz w:val="18"/>
              </w:rPr>
              <w:t>Principal risk</w:t>
            </w:r>
          </w:p>
        </w:tc>
      </w:tr>
      <w:tr>
        <w:tc>
          <w:tcPr>
            <w:tcW w:type="dxa" w:w="2160"/>
            <w:vAlign w:val="center"/>
          </w:tcPr>
          <w:p>
            <w:r>
              <w:rPr>
                <w:sz w:val="17"/>
              </w:rPr>
              <w:t>Shareholder / holdco funding</w:t>
            </w:r>
          </w:p>
        </w:tc>
        <w:tc>
          <w:tcPr>
            <w:tcW w:type="dxa" w:w="2592"/>
            <w:vAlign w:val="center"/>
          </w:tcPr>
          <w:p>
            <w:r>
              <w:rPr>
                <w:sz w:val="17"/>
              </w:rPr>
              <w:t>SOFR or USD reference rate + spread</w:t>
            </w:r>
          </w:p>
        </w:tc>
        <w:tc>
          <w:tcPr>
            <w:tcW w:type="dxa" w:w="2160"/>
            <w:vAlign w:val="center"/>
          </w:tcPr>
          <w:p>
            <w:r>
              <w:rPr>
                <w:sz w:val="17"/>
              </w:rPr>
              <w:t>Tenor, subordination, covenant profile</w:t>
            </w:r>
          </w:p>
        </w:tc>
        <w:tc>
          <w:tcPr>
            <w:tcW w:type="dxa" w:w="2304"/>
            <w:vAlign w:val="center"/>
          </w:tcPr>
          <w:p>
            <w:r>
              <w:rPr>
                <w:sz w:val="17"/>
              </w:rPr>
              <w:t>Excessive leverage / recharacterization</w:t>
            </w:r>
          </w:p>
        </w:tc>
      </w:tr>
      <w:tr>
        <w:tc>
          <w:tcPr>
            <w:tcW w:type="dxa" w:w="2160"/>
            <w:vAlign w:val="center"/>
          </w:tcPr>
          <w:p>
            <w:r>
              <w:rPr>
                <w:sz w:val="17"/>
              </w:rPr>
              <w:t>Project bridge loan</w:t>
            </w:r>
          </w:p>
        </w:tc>
        <w:tc>
          <w:tcPr>
            <w:tcW w:type="dxa" w:w="2592"/>
            <w:vAlign w:val="center"/>
          </w:tcPr>
          <w:p>
            <w:r>
              <w:rPr>
                <w:sz w:val="17"/>
              </w:rPr>
              <w:t>Project-stage adjusted spread</w:t>
            </w:r>
          </w:p>
        </w:tc>
        <w:tc>
          <w:tcPr>
            <w:tcW w:type="dxa" w:w="2160"/>
            <w:vAlign w:val="center"/>
          </w:tcPr>
          <w:p>
            <w:r>
              <w:rPr>
                <w:sz w:val="17"/>
              </w:rPr>
              <w:t>Presale profile, security, projected completion</w:t>
            </w:r>
          </w:p>
        </w:tc>
        <w:tc>
          <w:tcPr>
            <w:tcW w:type="dxa" w:w="2304"/>
            <w:vAlign w:val="center"/>
          </w:tcPr>
          <w:p>
            <w:r>
              <w:rPr>
                <w:sz w:val="17"/>
              </w:rPr>
              <w:t>Underpricing risk if project risk ignored</w:t>
            </w:r>
          </w:p>
        </w:tc>
      </w:tr>
      <w:tr>
        <w:tc>
          <w:tcPr>
            <w:tcW w:type="dxa" w:w="2160"/>
            <w:vAlign w:val="center"/>
          </w:tcPr>
          <w:p>
            <w:r>
              <w:rPr>
                <w:sz w:val="17"/>
              </w:rPr>
              <w:t>Working capital current account</w:t>
            </w:r>
          </w:p>
        </w:tc>
        <w:tc>
          <w:tcPr>
            <w:tcW w:type="dxa" w:w="2592"/>
            <w:vAlign w:val="center"/>
          </w:tcPr>
          <w:p>
            <w:r>
              <w:rPr>
                <w:sz w:val="17"/>
              </w:rPr>
              <w:t>Short-term market-based rate</w:t>
            </w:r>
          </w:p>
        </w:tc>
        <w:tc>
          <w:tcPr>
            <w:tcW w:type="dxa" w:w="2160"/>
            <w:vAlign w:val="center"/>
          </w:tcPr>
          <w:p>
            <w:r>
              <w:rPr>
                <w:sz w:val="17"/>
              </w:rPr>
              <w:t>Duration, daily balances, operational purpose</w:t>
            </w:r>
          </w:p>
        </w:tc>
        <w:tc>
          <w:tcPr>
            <w:tcW w:type="dxa" w:w="2304"/>
            <w:vAlign w:val="center"/>
          </w:tcPr>
          <w:p>
            <w:r>
              <w:rPr>
                <w:sz w:val="17"/>
              </w:rPr>
              <w:t>No formal agreement / inconsistent settlement</w:t>
            </w:r>
          </w:p>
        </w:tc>
      </w:tr>
      <w:tr>
        <w:tc>
          <w:tcPr>
            <w:tcW w:type="dxa" w:w="2160"/>
            <w:vAlign w:val="center"/>
          </w:tcPr>
          <w:p>
            <w:r>
              <w:rPr>
                <w:sz w:val="17"/>
              </w:rPr>
              <w:t>Guarantee support</w:t>
            </w:r>
          </w:p>
        </w:tc>
        <w:tc>
          <w:tcPr>
            <w:tcW w:type="dxa" w:w="2592"/>
            <w:vAlign w:val="center"/>
          </w:tcPr>
          <w:p>
            <w:r>
              <w:rPr>
                <w:sz w:val="17"/>
              </w:rPr>
              <w:t>Standalone guarantee fee benchmark</w:t>
            </w:r>
          </w:p>
        </w:tc>
        <w:tc>
          <w:tcPr>
            <w:tcW w:type="dxa" w:w="2160"/>
            <w:vAlign w:val="center"/>
          </w:tcPr>
          <w:p>
            <w:r>
              <w:rPr>
                <w:sz w:val="17"/>
              </w:rPr>
              <w:t>Guaranteed amount, probability of draw</w:t>
            </w:r>
          </w:p>
        </w:tc>
        <w:tc>
          <w:tcPr>
            <w:tcW w:type="dxa" w:w="2304"/>
            <w:vAlign w:val="center"/>
          </w:tcPr>
          <w:p>
            <w:r>
              <w:rPr>
                <w:sz w:val="17"/>
              </w:rPr>
              <w:t>Hidden support not compensated</w:t>
            </w:r>
          </w:p>
        </w:tc>
      </w:tr>
    </w:tbl>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16"/>
            <w:vAlign w:val="center"/>
            <w:shd w:fill="D9EAF7"/>
          </w:tcPr>
          <w:p>
            <w:r>
              <w:rPr>
                <w:b/>
                <w:sz w:val="18"/>
              </w:rPr>
              <w:t>Cost category</w:t>
            </w:r>
          </w:p>
        </w:tc>
        <w:tc>
          <w:tcPr>
            <w:tcW w:type="dxa" w:w="1872"/>
            <w:vAlign w:val="center"/>
            <w:shd w:fill="D9EAF7"/>
          </w:tcPr>
          <w:p>
            <w:r>
              <w:rPr>
                <w:b/>
                <w:sz w:val="18"/>
              </w:rPr>
              <w:t>Preferred driver</w:t>
            </w:r>
          </w:p>
        </w:tc>
        <w:tc>
          <w:tcPr>
            <w:tcW w:type="dxa" w:w="1728"/>
            <w:vAlign w:val="center"/>
            <w:shd w:fill="D9EAF7"/>
          </w:tcPr>
          <w:p>
            <w:r>
              <w:rPr>
                <w:b/>
                <w:sz w:val="18"/>
              </w:rPr>
              <w:t>Treatment</w:t>
            </w:r>
          </w:p>
        </w:tc>
        <w:tc>
          <w:tcPr>
            <w:tcW w:type="dxa" w:w="2880"/>
            <w:vAlign w:val="center"/>
            <w:shd w:fill="D9EAF7"/>
          </w:tcPr>
          <w:p>
            <w:r>
              <w:rPr>
                <w:b/>
                <w:sz w:val="18"/>
              </w:rPr>
              <w:t>Notes</w:t>
            </w:r>
          </w:p>
        </w:tc>
      </w:tr>
      <w:tr>
        <w:tc>
          <w:tcPr>
            <w:tcW w:type="dxa" w:w="2016"/>
            <w:vAlign w:val="center"/>
          </w:tcPr>
          <w:p>
            <w:r>
              <w:rPr>
                <w:sz w:val="17"/>
              </w:rPr>
              <w:t>HR &amp; payroll systems</w:t>
            </w:r>
          </w:p>
        </w:tc>
        <w:tc>
          <w:tcPr>
            <w:tcW w:type="dxa" w:w="1872"/>
            <w:vAlign w:val="center"/>
          </w:tcPr>
          <w:p>
            <w:r>
              <w:rPr>
                <w:sz w:val="17"/>
              </w:rPr>
              <w:t>FTE count</w:t>
            </w:r>
          </w:p>
        </w:tc>
        <w:tc>
          <w:tcPr>
            <w:tcW w:type="dxa" w:w="1728"/>
            <w:vAlign w:val="center"/>
          </w:tcPr>
          <w:p>
            <w:r>
              <w:rPr>
                <w:sz w:val="17"/>
              </w:rPr>
              <w:t>Cost-plus</w:t>
            </w:r>
          </w:p>
        </w:tc>
        <w:tc>
          <w:tcPr>
            <w:tcW w:type="dxa" w:w="2880"/>
            <w:vAlign w:val="center"/>
          </w:tcPr>
          <w:p>
            <w:r>
              <w:rPr>
                <w:sz w:val="17"/>
              </w:rPr>
              <w:t>Reflects user population</w:t>
            </w:r>
          </w:p>
        </w:tc>
      </w:tr>
      <w:tr>
        <w:tc>
          <w:tcPr>
            <w:tcW w:type="dxa" w:w="2016"/>
            <w:vAlign w:val="center"/>
          </w:tcPr>
          <w:p>
            <w:r>
              <w:rPr>
                <w:sz w:val="17"/>
              </w:rPr>
              <w:t>IT licences &amp; support</w:t>
            </w:r>
          </w:p>
        </w:tc>
        <w:tc>
          <w:tcPr>
            <w:tcW w:type="dxa" w:w="1872"/>
            <w:vAlign w:val="center"/>
          </w:tcPr>
          <w:p>
            <w:r>
              <w:rPr>
                <w:sz w:val="17"/>
              </w:rPr>
              <w:t>Named users / devices</w:t>
            </w:r>
          </w:p>
        </w:tc>
        <w:tc>
          <w:tcPr>
            <w:tcW w:type="dxa" w:w="1728"/>
            <w:vAlign w:val="center"/>
          </w:tcPr>
          <w:p>
            <w:r>
              <w:rPr>
                <w:sz w:val="17"/>
              </w:rPr>
              <w:t>Cost-plus</w:t>
            </w:r>
          </w:p>
        </w:tc>
        <w:tc>
          <w:tcPr>
            <w:tcW w:type="dxa" w:w="2880"/>
            <w:vAlign w:val="center"/>
          </w:tcPr>
          <w:p>
            <w:r>
              <w:rPr>
                <w:sz w:val="17"/>
              </w:rPr>
              <w:t>Direct tracing where feasible</w:t>
            </w:r>
          </w:p>
        </w:tc>
      </w:tr>
      <w:tr>
        <w:tc>
          <w:tcPr>
            <w:tcW w:type="dxa" w:w="2016"/>
            <w:vAlign w:val="center"/>
          </w:tcPr>
          <w:p>
            <w:r>
              <w:rPr>
                <w:sz w:val="17"/>
              </w:rPr>
              <w:t>Procurement support</w:t>
            </w:r>
          </w:p>
        </w:tc>
        <w:tc>
          <w:tcPr>
            <w:tcW w:type="dxa" w:w="1872"/>
            <w:vAlign w:val="center"/>
          </w:tcPr>
          <w:p>
            <w:r>
              <w:rPr>
                <w:sz w:val="17"/>
              </w:rPr>
              <w:t>Relevant project spend</w:t>
            </w:r>
          </w:p>
        </w:tc>
        <w:tc>
          <w:tcPr>
            <w:tcW w:type="dxa" w:w="1728"/>
            <w:vAlign w:val="center"/>
          </w:tcPr>
          <w:p>
            <w:r>
              <w:rPr>
                <w:sz w:val="17"/>
              </w:rPr>
              <w:t>Cost-plus</w:t>
            </w:r>
          </w:p>
        </w:tc>
        <w:tc>
          <w:tcPr>
            <w:tcW w:type="dxa" w:w="2880"/>
            <w:vAlign w:val="center"/>
          </w:tcPr>
          <w:p>
            <w:r>
              <w:rPr>
                <w:sz w:val="17"/>
              </w:rPr>
              <w:t>Aligned to sourcing activity intensity</w:t>
            </w:r>
          </w:p>
        </w:tc>
      </w:tr>
      <w:tr>
        <w:tc>
          <w:tcPr>
            <w:tcW w:type="dxa" w:w="2016"/>
            <w:vAlign w:val="center"/>
          </w:tcPr>
          <w:p>
            <w:r>
              <w:rPr>
                <w:sz w:val="17"/>
              </w:rPr>
              <w:t>Legal and advisory</w:t>
            </w:r>
          </w:p>
        </w:tc>
        <w:tc>
          <w:tcPr>
            <w:tcW w:type="dxa" w:w="1872"/>
            <w:vAlign w:val="center"/>
          </w:tcPr>
          <w:p>
            <w:r>
              <w:rPr>
                <w:sz w:val="17"/>
              </w:rPr>
              <w:t>Matter-specific tracing</w:t>
            </w:r>
          </w:p>
        </w:tc>
        <w:tc>
          <w:tcPr>
            <w:tcW w:type="dxa" w:w="1728"/>
            <w:vAlign w:val="center"/>
          </w:tcPr>
          <w:p>
            <w:r>
              <w:rPr>
                <w:sz w:val="17"/>
              </w:rPr>
              <w:t>At cost or cost-plus</w:t>
            </w:r>
          </w:p>
        </w:tc>
        <w:tc>
          <w:tcPr>
            <w:tcW w:type="dxa" w:w="2880"/>
            <w:vAlign w:val="center"/>
          </w:tcPr>
          <w:p>
            <w:r>
              <w:rPr>
                <w:sz w:val="17"/>
              </w:rPr>
              <w:t>Based on nature of support</w:t>
            </w:r>
          </w:p>
        </w:tc>
      </w:tr>
      <w:tr>
        <w:tc>
          <w:tcPr>
            <w:tcW w:type="dxa" w:w="2016"/>
            <w:vAlign w:val="center"/>
          </w:tcPr>
          <w:p>
            <w:r>
              <w:rPr>
                <w:sz w:val="17"/>
              </w:rPr>
              <w:t>Strategic shareholder activities</w:t>
            </w:r>
          </w:p>
        </w:tc>
        <w:tc>
          <w:tcPr>
            <w:tcW w:type="dxa" w:w="1872"/>
            <w:vAlign w:val="center"/>
          </w:tcPr>
          <w:p>
            <w:r>
              <w:rPr>
                <w:sz w:val="17"/>
              </w:rPr>
              <w:t>N/A</w:t>
            </w:r>
          </w:p>
        </w:tc>
        <w:tc>
          <w:tcPr>
            <w:tcW w:type="dxa" w:w="1728"/>
            <w:vAlign w:val="center"/>
          </w:tcPr>
          <w:p>
            <w:r>
              <w:rPr>
                <w:sz w:val="17"/>
              </w:rPr>
              <w:t>Excluded</w:t>
            </w:r>
          </w:p>
        </w:tc>
        <w:tc>
          <w:tcPr>
            <w:tcW w:type="dxa" w:w="2880"/>
            <w:vAlign w:val="center"/>
          </w:tcPr>
          <w:p>
            <w:r>
              <w:rPr>
                <w:sz w:val="17"/>
              </w:rPr>
              <w:t>Not chargeable to operating entities</w:t>
            </w:r>
          </w:p>
        </w:tc>
      </w:tr>
    </w:tbl>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304"/>
            <w:vAlign w:val="center"/>
            <w:shd w:fill="D9EAF7"/>
          </w:tcPr>
          <w:p>
            <w:r>
              <w:rPr>
                <w:b/>
                <w:sz w:val="18"/>
              </w:rPr>
              <w:t>Transaction type</w:t>
            </w:r>
          </w:p>
        </w:tc>
        <w:tc>
          <w:tcPr>
            <w:tcW w:type="dxa" w:w="1872"/>
            <w:vAlign w:val="center"/>
            <w:shd w:fill="D9EAF7"/>
          </w:tcPr>
          <w:p>
            <w:r>
              <w:rPr>
                <w:b/>
                <w:sz w:val="18"/>
              </w:rPr>
              <w:t>Primary method</w:t>
            </w:r>
          </w:p>
        </w:tc>
        <w:tc>
          <w:tcPr>
            <w:tcW w:type="dxa" w:w="2736"/>
            <w:vAlign w:val="center"/>
            <w:shd w:fill="D9EAF7"/>
          </w:tcPr>
          <w:p>
            <w:r>
              <w:rPr>
                <w:b/>
                <w:sz w:val="18"/>
              </w:rPr>
              <w:t>Why selected</w:t>
            </w:r>
          </w:p>
        </w:tc>
        <w:tc>
          <w:tcPr>
            <w:tcW w:type="dxa" w:w="2016"/>
            <w:vAlign w:val="center"/>
            <w:shd w:fill="D9EAF7"/>
          </w:tcPr>
          <w:p>
            <w:r>
              <w:rPr>
                <w:b/>
                <w:sz w:val="18"/>
              </w:rPr>
              <w:t>Secondary support</w:t>
            </w:r>
          </w:p>
        </w:tc>
      </w:tr>
      <w:tr>
        <w:tc>
          <w:tcPr>
            <w:tcW w:type="dxa" w:w="2304"/>
            <w:vAlign w:val="center"/>
          </w:tcPr>
          <w:p>
            <w:r>
              <w:rPr>
                <w:sz w:val="17"/>
              </w:rPr>
              <w:t>Routine intercompany services</w:t>
            </w:r>
          </w:p>
        </w:tc>
        <w:tc>
          <w:tcPr>
            <w:tcW w:type="dxa" w:w="1872"/>
            <w:vAlign w:val="center"/>
          </w:tcPr>
          <w:p>
            <w:r>
              <w:rPr>
                <w:sz w:val="17"/>
              </w:rPr>
              <w:t>Cost-plus</w:t>
            </w:r>
          </w:p>
        </w:tc>
        <w:tc>
          <w:tcPr>
            <w:tcW w:type="dxa" w:w="2736"/>
            <w:vAlign w:val="center"/>
          </w:tcPr>
          <w:p>
            <w:r>
              <w:rPr>
                <w:sz w:val="17"/>
              </w:rPr>
              <w:t>Direct link between service cost and remuneration</w:t>
            </w:r>
          </w:p>
        </w:tc>
        <w:tc>
          <w:tcPr>
            <w:tcW w:type="dxa" w:w="2016"/>
            <w:vAlign w:val="center"/>
          </w:tcPr>
          <w:p>
            <w:r>
              <w:rPr>
                <w:sz w:val="17"/>
              </w:rPr>
              <w:t>TNMM sanity check</w:t>
            </w:r>
          </w:p>
        </w:tc>
      </w:tr>
      <w:tr>
        <w:tc>
          <w:tcPr>
            <w:tcW w:type="dxa" w:w="2304"/>
            <w:vAlign w:val="center"/>
          </w:tcPr>
          <w:p>
            <w:r>
              <w:rPr>
                <w:sz w:val="17"/>
              </w:rPr>
              <w:t>Development management</w:t>
            </w:r>
          </w:p>
        </w:tc>
        <w:tc>
          <w:tcPr>
            <w:tcW w:type="dxa" w:w="1872"/>
            <w:vAlign w:val="center"/>
          </w:tcPr>
          <w:p>
            <w:r>
              <w:rPr>
                <w:sz w:val="17"/>
              </w:rPr>
              <w:t>Cost-plus / TNMM</w:t>
            </w:r>
          </w:p>
        </w:tc>
        <w:tc>
          <w:tcPr>
            <w:tcW w:type="dxa" w:w="2736"/>
            <w:vAlign w:val="center"/>
          </w:tcPr>
          <w:p>
            <w:r>
              <w:rPr>
                <w:sz w:val="17"/>
              </w:rPr>
              <w:t>Project support functions with measurable cost base</w:t>
            </w:r>
          </w:p>
        </w:tc>
        <w:tc>
          <w:tcPr>
            <w:tcW w:type="dxa" w:w="2016"/>
            <w:vAlign w:val="center"/>
          </w:tcPr>
          <w:p>
            <w:r>
              <w:rPr>
                <w:sz w:val="17"/>
              </w:rPr>
              <w:t>Internal profitability analysis</w:t>
            </w:r>
          </w:p>
        </w:tc>
      </w:tr>
      <w:tr>
        <w:tc>
          <w:tcPr>
            <w:tcW w:type="dxa" w:w="2304"/>
            <w:vAlign w:val="center"/>
          </w:tcPr>
          <w:p>
            <w:r>
              <w:rPr>
                <w:sz w:val="17"/>
              </w:rPr>
              <w:t>Intercompany loans</w:t>
            </w:r>
          </w:p>
        </w:tc>
        <w:tc>
          <w:tcPr>
            <w:tcW w:type="dxa" w:w="1872"/>
            <w:vAlign w:val="center"/>
          </w:tcPr>
          <w:p>
            <w:r>
              <w:rPr>
                <w:sz w:val="17"/>
              </w:rPr>
              <w:t>CUP</w:t>
            </w:r>
          </w:p>
        </w:tc>
        <w:tc>
          <w:tcPr>
            <w:tcW w:type="dxa" w:w="2736"/>
            <w:vAlign w:val="center"/>
          </w:tcPr>
          <w:p>
            <w:r>
              <w:rPr>
                <w:sz w:val="17"/>
              </w:rPr>
              <w:t>Debt pricing driven by market variables</w:t>
            </w:r>
          </w:p>
        </w:tc>
        <w:tc>
          <w:tcPr>
            <w:tcW w:type="dxa" w:w="2016"/>
            <w:vAlign w:val="center"/>
          </w:tcPr>
          <w:p>
            <w:r>
              <w:rPr>
                <w:sz w:val="17"/>
              </w:rPr>
              <w:t>Credit-adjusted spread analysis</w:t>
            </w:r>
          </w:p>
        </w:tc>
      </w:tr>
      <w:tr>
        <w:tc>
          <w:tcPr>
            <w:tcW w:type="dxa" w:w="2304"/>
            <w:vAlign w:val="center"/>
          </w:tcPr>
          <w:p>
            <w:r>
              <w:rPr>
                <w:sz w:val="17"/>
              </w:rPr>
              <w:t>Brand / platform support</w:t>
            </w:r>
          </w:p>
        </w:tc>
        <w:tc>
          <w:tcPr>
            <w:tcW w:type="dxa" w:w="1872"/>
            <w:vAlign w:val="center"/>
          </w:tcPr>
          <w:p>
            <w:r>
              <w:rPr>
                <w:sz w:val="17"/>
              </w:rPr>
              <w:t>CUP / profit split</w:t>
            </w:r>
          </w:p>
        </w:tc>
        <w:tc>
          <w:tcPr>
            <w:tcW w:type="dxa" w:w="2736"/>
            <w:vAlign w:val="center"/>
          </w:tcPr>
          <w:p>
            <w:r>
              <w:rPr>
                <w:sz w:val="17"/>
              </w:rPr>
              <w:t>Potential intangible value and integrated contributions</w:t>
            </w:r>
          </w:p>
        </w:tc>
        <w:tc>
          <w:tcPr>
            <w:tcW w:type="dxa" w:w="2016"/>
            <w:vAlign w:val="center"/>
          </w:tcPr>
          <w:p>
            <w:r>
              <w:rPr>
                <w:sz w:val="17"/>
              </w:rPr>
              <w:t>Residual profit review</w:t>
            </w:r>
          </w:p>
        </w:tc>
      </w:tr>
      <w:tr>
        <w:tc>
          <w:tcPr>
            <w:tcW w:type="dxa" w:w="2304"/>
            <w:vAlign w:val="center"/>
          </w:tcPr>
          <w:p>
            <w:r>
              <w:rPr>
                <w:sz w:val="17"/>
              </w:rPr>
              <w:t>Pass-through costs</w:t>
            </w:r>
          </w:p>
        </w:tc>
        <w:tc>
          <w:tcPr>
            <w:tcW w:type="dxa" w:w="1872"/>
            <w:vAlign w:val="center"/>
          </w:tcPr>
          <w:p>
            <w:r>
              <w:rPr>
                <w:sz w:val="17"/>
              </w:rPr>
              <w:t>No markup / at cost</w:t>
            </w:r>
          </w:p>
        </w:tc>
        <w:tc>
          <w:tcPr>
            <w:tcW w:type="dxa" w:w="2736"/>
            <w:vAlign w:val="center"/>
          </w:tcPr>
          <w:p>
            <w:r>
              <w:rPr>
                <w:sz w:val="17"/>
              </w:rPr>
              <w:t>No incremental value creation</w:t>
            </w:r>
          </w:p>
        </w:tc>
        <w:tc>
          <w:tcPr>
            <w:tcW w:type="dxa" w:w="2016"/>
            <w:vAlign w:val="center"/>
          </w:tcPr>
          <w:p>
            <w:r>
              <w:rPr>
                <w:sz w:val="17"/>
              </w:rPr>
              <w:t>Invoice tracing</w:t>
            </w:r>
          </w:p>
        </w:tc>
      </w:tr>
    </w:tbl>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592"/>
            <w:vAlign w:val="center"/>
            <w:shd w:fill="D9EAF7"/>
          </w:tcPr>
          <w:p>
            <w:r>
              <w:rPr>
                <w:b/>
                <w:sz w:val="18"/>
              </w:rPr>
              <w:t>Comparable profile</w:t>
            </w:r>
          </w:p>
        </w:tc>
        <w:tc>
          <w:tcPr>
            <w:tcW w:type="dxa" w:w="2304"/>
            <w:vAlign w:val="center"/>
            <w:shd w:fill="D9EAF7"/>
          </w:tcPr>
          <w:p>
            <w:r>
              <w:rPr>
                <w:b/>
                <w:sz w:val="18"/>
              </w:rPr>
              <w:t>Industry / function</w:t>
            </w:r>
          </w:p>
        </w:tc>
        <w:tc>
          <w:tcPr>
            <w:tcW w:type="dxa" w:w="2016"/>
            <w:vAlign w:val="center"/>
            <w:shd w:fill="D9EAF7"/>
          </w:tcPr>
          <w:p>
            <w:r>
              <w:rPr>
                <w:b/>
                <w:sz w:val="18"/>
              </w:rPr>
              <w:t>Observed metric</w:t>
            </w:r>
          </w:p>
        </w:tc>
        <w:tc>
          <w:tcPr>
            <w:tcW w:type="dxa" w:w="1728"/>
            <w:vAlign w:val="center"/>
            <w:shd w:fill="D9EAF7"/>
          </w:tcPr>
          <w:p>
            <w:r>
              <w:rPr>
                <w:b/>
                <w:sz w:val="18"/>
              </w:rPr>
              <w:t>Illustrative range</w:t>
            </w:r>
          </w:p>
        </w:tc>
      </w:tr>
      <w:tr>
        <w:tc>
          <w:tcPr>
            <w:tcW w:type="dxa" w:w="2592"/>
            <w:vAlign w:val="center"/>
          </w:tcPr>
          <w:p>
            <w:r>
              <w:rPr>
                <w:sz w:val="17"/>
              </w:rPr>
              <w:t>Global Project Advisory Co.</w:t>
            </w:r>
          </w:p>
        </w:tc>
        <w:tc>
          <w:tcPr>
            <w:tcW w:type="dxa" w:w="2304"/>
            <w:vAlign w:val="center"/>
          </w:tcPr>
          <w:p>
            <w:r>
              <w:rPr>
                <w:sz w:val="17"/>
              </w:rPr>
              <w:t>Real estate / engineering support</w:t>
            </w:r>
          </w:p>
        </w:tc>
        <w:tc>
          <w:tcPr>
            <w:tcW w:type="dxa" w:w="2016"/>
            <w:vAlign w:val="center"/>
          </w:tcPr>
          <w:p>
            <w:r>
              <w:rPr>
                <w:sz w:val="17"/>
              </w:rPr>
              <w:t>8.4% EBIT margin</w:t>
            </w:r>
          </w:p>
        </w:tc>
        <w:tc>
          <w:tcPr>
            <w:tcW w:type="dxa" w:w="1728"/>
            <w:vAlign w:val="center"/>
          </w:tcPr>
          <w:p>
            <w:r>
              <w:rPr>
                <w:sz w:val="17"/>
              </w:rPr>
              <w:t>6.0%–10.5%</w:t>
            </w:r>
          </w:p>
        </w:tc>
      </w:tr>
      <w:tr>
        <w:tc>
          <w:tcPr>
            <w:tcW w:type="dxa" w:w="2592"/>
            <w:vAlign w:val="center"/>
          </w:tcPr>
          <w:p>
            <w:r>
              <w:rPr>
                <w:sz w:val="17"/>
              </w:rPr>
              <w:t>Regional Shared Services Group</w:t>
            </w:r>
          </w:p>
        </w:tc>
        <w:tc>
          <w:tcPr>
            <w:tcW w:type="dxa" w:w="2304"/>
            <w:vAlign w:val="center"/>
          </w:tcPr>
          <w:p>
            <w:r>
              <w:rPr>
                <w:sz w:val="17"/>
              </w:rPr>
              <w:t>Business support services</w:t>
            </w:r>
          </w:p>
        </w:tc>
        <w:tc>
          <w:tcPr>
            <w:tcW w:type="dxa" w:w="2016"/>
            <w:vAlign w:val="center"/>
          </w:tcPr>
          <w:p>
            <w:r>
              <w:rPr>
                <w:sz w:val="17"/>
              </w:rPr>
              <w:t>7.1% full-cost markup</w:t>
            </w:r>
          </w:p>
        </w:tc>
        <w:tc>
          <w:tcPr>
            <w:tcW w:type="dxa" w:w="1728"/>
            <w:vAlign w:val="center"/>
          </w:tcPr>
          <w:p>
            <w:r>
              <w:rPr>
                <w:sz w:val="17"/>
              </w:rPr>
              <w:t>5.0%–9.0%</w:t>
            </w:r>
          </w:p>
        </w:tc>
      </w:tr>
      <w:tr>
        <w:tc>
          <w:tcPr>
            <w:tcW w:type="dxa" w:w="2592"/>
            <w:vAlign w:val="center"/>
          </w:tcPr>
          <w:p>
            <w:r>
              <w:rPr>
                <w:sz w:val="17"/>
              </w:rPr>
              <w:t>Property Platform Services Ltd.</w:t>
            </w:r>
          </w:p>
        </w:tc>
        <w:tc>
          <w:tcPr>
            <w:tcW w:type="dxa" w:w="2304"/>
            <w:vAlign w:val="center"/>
          </w:tcPr>
          <w:p>
            <w:r>
              <w:rPr>
                <w:sz w:val="17"/>
              </w:rPr>
              <w:t>Property management support</w:t>
            </w:r>
          </w:p>
        </w:tc>
        <w:tc>
          <w:tcPr>
            <w:tcW w:type="dxa" w:w="2016"/>
            <w:vAlign w:val="center"/>
          </w:tcPr>
          <w:p>
            <w:r>
              <w:rPr>
                <w:sz w:val="17"/>
              </w:rPr>
              <w:t>9.2% EBIT margin</w:t>
            </w:r>
          </w:p>
        </w:tc>
        <w:tc>
          <w:tcPr>
            <w:tcW w:type="dxa" w:w="1728"/>
            <w:vAlign w:val="center"/>
          </w:tcPr>
          <w:p>
            <w:r>
              <w:rPr>
                <w:sz w:val="17"/>
              </w:rPr>
              <w:t>7.0%–11.0%</w:t>
            </w:r>
          </w:p>
        </w:tc>
      </w:tr>
      <w:tr>
        <w:tc>
          <w:tcPr>
            <w:tcW w:type="dxa" w:w="2592"/>
            <w:vAlign w:val="center"/>
          </w:tcPr>
          <w:p>
            <w:r>
              <w:rPr>
                <w:sz w:val="17"/>
              </w:rPr>
              <w:t>Infrastructure PM Advisors</w:t>
            </w:r>
          </w:p>
        </w:tc>
        <w:tc>
          <w:tcPr>
            <w:tcW w:type="dxa" w:w="2304"/>
            <w:vAlign w:val="center"/>
          </w:tcPr>
          <w:p>
            <w:r>
              <w:rPr>
                <w:sz w:val="17"/>
              </w:rPr>
              <w:t>Project management</w:t>
            </w:r>
          </w:p>
        </w:tc>
        <w:tc>
          <w:tcPr>
            <w:tcW w:type="dxa" w:w="2016"/>
            <w:vAlign w:val="center"/>
          </w:tcPr>
          <w:p>
            <w:r>
              <w:rPr>
                <w:sz w:val="17"/>
              </w:rPr>
              <w:t>10.1% markup</w:t>
            </w:r>
          </w:p>
        </w:tc>
        <w:tc>
          <w:tcPr>
            <w:tcW w:type="dxa" w:w="1728"/>
            <w:vAlign w:val="center"/>
          </w:tcPr>
          <w:p>
            <w:r>
              <w:rPr>
                <w:sz w:val="17"/>
              </w:rPr>
              <w:t>8.0%–12.5%</w:t>
            </w:r>
          </w:p>
        </w:tc>
      </w:tr>
    </w:tbl>
    <w:p/>
    <w:p>
      <w:pPr>
        <w:pStyle w:val="ListBullet"/>
        <w:spacing w:after="40"/>
      </w:pPr>
      <w:r>
        <w:t>Core files: executed intercompany agreements, pricing policy matrix, annual true-up schedules, supporting invoices, and benchmarking support.</w:t>
      </w:r>
    </w:p>
    <w:p>
      <w:pPr>
        <w:pStyle w:val="ListBullet"/>
        <w:spacing w:after="40"/>
      </w:pPr>
      <w:r>
        <w:t>Recommended diligence evidence: legal entity trial balance tie-outs, service recipient benefit memoranda, allocation key workpapers, and treasury approvals.</w:t>
      </w:r>
    </w:p>
    <w:p>
      <w:pPr>
        <w:pStyle w:val="ListBullet"/>
        <w:spacing w:after="40"/>
      </w:pPr>
      <w:r>
        <w:t>Governance controls: annual review by tax and finance leadership, change-control for new intercompany arrangements, and periodic refresh of benchmark studies.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16"/>
            <w:vAlign w:val="center"/>
            <w:shd w:fill="D9EAF7"/>
          </w:tcPr>
          <w:p>
            <w:r>
              <w:rPr>
                <w:b/>
                <w:sz w:val="18"/>
              </w:rPr>
              <w:t>Risk area</w:t>
            </w:r>
          </w:p>
        </w:tc>
        <w:tc>
          <w:tcPr>
            <w:tcW w:type="dxa" w:w="2592"/>
            <w:vAlign w:val="center"/>
            <w:shd w:fill="D9EAF7"/>
          </w:tcPr>
          <w:p>
            <w:r>
              <w:rPr>
                <w:b/>
                <w:sz w:val="18"/>
              </w:rPr>
              <w:t>Why it matters</w:t>
            </w:r>
          </w:p>
        </w:tc>
        <w:tc>
          <w:tcPr>
            <w:tcW w:type="dxa" w:w="1728"/>
            <w:vAlign w:val="center"/>
            <w:shd w:fill="D9EAF7"/>
          </w:tcPr>
          <w:p>
            <w:r>
              <w:rPr>
                <w:b/>
                <w:sz w:val="18"/>
              </w:rPr>
              <w:t>Illustrative risk level</w:t>
            </w:r>
          </w:p>
        </w:tc>
        <w:tc>
          <w:tcPr>
            <w:tcW w:type="dxa" w:w="2592"/>
            <w:vAlign w:val="center"/>
            <w:shd w:fill="D9EAF7"/>
          </w:tcPr>
          <w:p>
            <w:r>
              <w:rPr>
                <w:b/>
                <w:sz w:val="18"/>
              </w:rPr>
              <w:t>Recommended action</w:t>
            </w:r>
          </w:p>
        </w:tc>
      </w:tr>
      <w:tr>
        <w:tc>
          <w:tcPr>
            <w:tcW w:type="dxa" w:w="2016"/>
            <w:vAlign w:val="center"/>
          </w:tcPr>
          <w:p>
            <w:r>
              <w:rPr>
                <w:sz w:val="17"/>
              </w:rPr>
              <w:t>Shared service charge pools</w:t>
            </w:r>
          </w:p>
        </w:tc>
        <w:tc>
          <w:tcPr>
            <w:tcW w:type="dxa" w:w="2592"/>
            <w:vAlign w:val="center"/>
          </w:tcPr>
          <w:p>
            <w:r>
              <w:rPr>
                <w:sz w:val="17"/>
              </w:rPr>
              <w:t>May include non-benefit or shareholder costs</w:t>
            </w:r>
          </w:p>
        </w:tc>
        <w:tc>
          <w:tcPr>
            <w:tcW w:type="dxa" w:w="1728"/>
            <w:vAlign w:val="center"/>
          </w:tcPr>
          <w:p>
            <w:r>
              <w:rPr>
                <w:sz w:val="17"/>
              </w:rPr>
              <w:t>Moderate</w:t>
            </w:r>
          </w:p>
        </w:tc>
        <w:tc>
          <w:tcPr>
            <w:tcW w:type="dxa" w:w="2592"/>
            <w:vAlign w:val="center"/>
          </w:tcPr>
          <w:p>
            <w:r>
              <w:rPr>
                <w:sz w:val="17"/>
              </w:rPr>
              <w:t>Refresh benefit test and cost exclusions</w:t>
            </w:r>
          </w:p>
        </w:tc>
      </w:tr>
      <w:tr>
        <w:tc>
          <w:tcPr>
            <w:tcW w:type="dxa" w:w="2016"/>
            <w:vAlign w:val="center"/>
          </w:tcPr>
          <w:p>
            <w:r>
              <w:rPr>
                <w:sz w:val="17"/>
              </w:rPr>
              <w:t>Development management markup</w:t>
            </w:r>
          </w:p>
        </w:tc>
        <w:tc>
          <w:tcPr>
            <w:tcW w:type="dxa" w:w="2592"/>
            <w:vAlign w:val="center"/>
          </w:tcPr>
          <w:p>
            <w:r>
              <w:rPr>
                <w:sz w:val="17"/>
              </w:rPr>
              <w:t>Can affect project profitability and tax base</w:t>
            </w:r>
          </w:p>
        </w:tc>
        <w:tc>
          <w:tcPr>
            <w:tcW w:type="dxa" w:w="1728"/>
            <w:vAlign w:val="center"/>
          </w:tcPr>
          <w:p>
            <w:r>
              <w:rPr>
                <w:sz w:val="17"/>
              </w:rPr>
              <w:t>Moderate</w:t>
            </w:r>
          </w:p>
        </w:tc>
        <w:tc>
          <w:tcPr>
            <w:tcW w:type="dxa" w:w="2592"/>
            <w:vAlign w:val="center"/>
          </w:tcPr>
          <w:p>
            <w:r>
              <w:rPr>
                <w:sz w:val="17"/>
              </w:rPr>
              <w:t>Update benchmark and tested-party analysis</w:t>
            </w:r>
          </w:p>
        </w:tc>
      </w:tr>
      <w:tr>
        <w:tc>
          <w:tcPr>
            <w:tcW w:type="dxa" w:w="2016"/>
            <w:vAlign w:val="center"/>
          </w:tcPr>
          <w:p>
            <w:r>
              <w:rPr>
                <w:sz w:val="17"/>
              </w:rPr>
              <w:t>Intercompany debt pricing</w:t>
            </w:r>
          </w:p>
        </w:tc>
        <w:tc>
          <w:tcPr>
            <w:tcW w:type="dxa" w:w="2592"/>
            <w:vAlign w:val="center"/>
          </w:tcPr>
          <w:p>
            <w:r>
              <w:rPr>
                <w:sz w:val="17"/>
              </w:rPr>
              <w:t>Potential taxable income shift and deductibility issues</w:t>
            </w:r>
          </w:p>
        </w:tc>
        <w:tc>
          <w:tcPr>
            <w:tcW w:type="dxa" w:w="1728"/>
            <w:vAlign w:val="center"/>
          </w:tcPr>
          <w:p>
            <w:r>
              <w:rPr>
                <w:sz w:val="17"/>
              </w:rPr>
              <w:t>Moderate to High</w:t>
            </w:r>
          </w:p>
        </w:tc>
        <w:tc>
          <w:tcPr>
            <w:tcW w:type="dxa" w:w="2592"/>
            <w:vAlign w:val="center"/>
          </w:tcPr>
          <w:p>
            <w:r>
              <w:rPr>
                <w:sz w:val="17"/>
              </w:rPr>
              <w:t>Prepare loan-specific credit memo</w:t>
            </w:r>
          </w:p>
        </w:tc>
      </w:tr>
      <w:tr>
        <w:tc>
          <w:tcPr>
            <w:tcW w:type="dxa" w:w="2016"/>
            <w:vAlign w:val="center"/>
          </w:tcPr>
          <w:p>
            <w:r>
              <w:rPr>
                <w:sz w:val="17"/>
              </w:rPr>
              <w:t>Brand / hospitality support charges</w:t>
            </w:r>
          </w:p>
        </w:tc>
        <w:tc>
          <w:tcPr>
            <w:tcW w:type="dxa" w:w="2592"/>
            <w:vAlign w:val="center"/>
          </w:tcPr>
          <w:p>
            <w:r>
              <w:rPr>
                <w:sz w:val="17"/>
              </w:rPr>
              <w:t>Intangible value may be hard to benchmark</w:t>
            </w:r>
          </w:p>
        </w:tc>
        <w:tc>
          <w:tcPr>
            <w:tcW w:type="dxa" w:w="1728"/>
            <w:vAlign w:val="center"/>
          </w:tcPr>
          <w:p>
            <w:r>
              <w:rPr>
                <w:sz w:val="17"/>
              </w:rPr>
              <w:t>High</w:t>
            </w:r>
          </w:p>
        </w:tc>
        <w:tc>
          <w:tcPr>
            <w:tcW w:type="dxa" w:w="2592"/>
            <w:vAlign w:val="center"/>
          </w:tcPr>
          <w:p>
            <w:r>
              <w:rPr>
                <w:sz w:val="17"/>
              </w:rPr>
              <w:t>Enhance agreement terms and valuation support</w:t>
            </w:r>
          </w:p>
        </w:tc>
      </w:tr>
      <w:tr>
        <w:tc>
          <w:tcPr>
            <w:tcW w:type="dxa" w:w="2016"/>
            <w:vAlign w:val="center"/>
          </w:tcPr>
          <w:p>
            <w:r>
              <w:rPr>
                <w:sz w:val="17"/>
              </w:rPr>
              <w:t>Documentation consistency</w:t>
            </w:r>
          </w:p>
        </w:tc>
        <w:tc>
          <w:tcPr>
            <w:tcW w:type="dxa" w:w="2592"/>
            <w:vAlign w:val="center"/>
          </w:tcPr>
          <w:p>
            <w:r>
              <w:rPr>
                <w:sz w:val="17"/>
              </w:rPr>
              <w:t>Audit trail gaps undermine otherwise reasonable pricing</w:t>
            </w:r>
          </w:p>
        </w:tc>
        <w:tc>
          <w:tcPr>
            <w:tcW w:type="dxa" w:w="1728"/>
            <w:vAlign w:val="center"/>
          </w:tcPr>
          <w:p>
            <w:r>
              <w:rPr>
                <w:sz w:val="17"/>
              </w:rPr>
              <w:t>Moderate</w:t>
            </w:r>
          </w:p>
        </w:tc>
        <w:tc>
          <w:tcPr>
            <w:tcW w:type="dxa" w:w="2592"/>
            <w:vAlign w:val="center"/>
          </w:tcPr>
          <w:p>
            <w:r>
              <w:rPr>
                <w:sz w:val="17"/>
              </w:rPr>
              <w:t>Centralize documentation repository and annual true-ups</w:t>
            </w:r>
          </w:p>
        </w:tc>
      </w:tr>
    </w:tbl>
    <w:p/>
    <w:p>
      <w:pPr>
        <w:pStyle w:val="Heading1"/>
      </w:pPr>
      <w:r>
        <w:t>Appendix A – Three-Year Policy Summary (FY2021–FY2023)</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440"/>
            <w:vAlign w:val="center"/>
            <w:shd w:fill="D9EAF7"/>
          </w:tcPr>
          <w:p>
            <w:r>
              <w:rPr>
                <w:b/>
                <w:sz w:val="18"/>
              </w:rPr>
              <w:t>Year</w:t>
            </w:r>
          </w:p>
        </w:tc>
        <w:tc>
          <w:tcPr>
            <w:tcW w:type="dxa" w:w="3168"/>
            <w:vAlign w:val="center"/>
            <w:shd w:fill="D9EAF7"/>
          </w:tcPr>
          <w:p>
            <w:r>
              <w:rPr>
                <w:b/>
                <w:sz w:val="18"/>
              </w:rPr>
              <w:t>Key TP environment</w:t>
            </w:r>
          </w:p>
        </w:tc>
        <w:tc>
          <w:tcPr>
            <w:tcW w:type="dxa" w:w="2736"/>
            <w:vAlign w:val="center"/>
            <w:shd w:fill="D9EAF7"/>
          </w:tcPr>
          <w:p>
            <w:r>
              <w:rPr>
                <w:b/>
                <w:sz w:val="18"/>
              </w:rPr>
              <w:t>Primary transaction focus</w:t>
            </w:r>
          </w:p>
        </w:tc>
        <w:tc>
          <w:tcPr>
            <w:tcW w:type="dxa" w:w="2016"/>
            <w:vAlign w:val="center"/>
            <w:shd w:fill="D9EAF7"/>
          </w:tcPr>
          <w:p>
            <w:r>
              <w:rPr>
                <w:b/>
                <w:sz w:val="18"/>
              </w:rPr>
              <w:t>Overall diligence sensitivity</w:t>
            </w:r>
          </w:p>
        </w:tc>
      </w:tr>
      <w:tr>
        <w:tc>
          <w:tcPr>
            <w:tcW w:type="dxa" w:w="1440"/>
            <w:vAlign w:val="center"/>
          </w:tcPr>
          <w:p>
            <w:r>
              <w:rPr>
                <w:sz w:val="17"/>
              </w:rPr>
              <w:t>FY2021</w:t>
            </w:r>
          </w:p>
        </w:tc>
        <w:tc>
          <w:tcPr>
            <w:tcW w:type="dxa" w:w="3168"/>
            <w:vAlign w:val="center"/>
          </w:tcPr>
          <w:p>
            <w:r>
              <w:rPr>
                <w:sz w:val="17"/>
              </w:rPr>
              <w:t>Project ramp-up period; centralized support model expanded</w:t>
            </w:r>
          </w:p>
        </w:tc>
        <w:tc>
          <w:tcPr>
            <w:tcW w:type="dxa" w:w="2736"/>
            <w:vAlign w:val="center"/>
          </w:tcPr>
          <w:p>
            <w:r>
              <w:rPr>
                <w:sz w:val="17"/>
              </w:rPr>
              <w:t>Service charges and shareholder/current-account funding</w:t>
            </w:r>
          </w:p>
        </w:tc>
        <w:tc>
          <w:tcPr>
            <w:tcW w:type="dxa" w:w="2016"/>
            <w:vAlign w:val="center"/>
          </w:tcPr>
          <w:p>
            <w:r>
              <w:rPr>
                <w:sz w:val="17"/>
              </w:rPr>
              <w:t>Moderate</w:t>
            </w:r>
          </w:p>
        </w:tc>
      </w:tr>
      <w:tr>
        <w:tc>
          <w:tcPr>
            <w:tcW w:type="dxa" w:w="1440"/>
            <w:vAlign w:val="center"/>
          </w:tcPr>
          <w:p>
            <w:r>
              <w:rPr>
                <w:sz w:val="17"/>
              </w:rPr>
              <w:t>FY2022</w:t>
            </w:r>
          </w:p>
        </w:tc>
        <w:tc>
          <w:tcPr>
            <w:tcW w:type="dxa" w:w="3168"/>
            <w:vAlign w:val="center"/>
          </w:tcPr>
          <w:p>
            <w:r>
              <w:rPr>
                <w:sz w:val="17"/>
              </w:rPr>
              <w:t>Higher project intensity and more SPV activity</w:t>
            </w:r>
          </w:p>
        </w:tc>
        <w:tc>
          <w:tcPr>
            <w:tcW w:type="dxa" w:w="2736"/>
            <w:vAlign w:val="center"/>
          </w:tcPr>
          <w:p>
            <w:r>
              <w:rPr>
                <w:sz w:val="17"/>
              </w:rPr>
              <w:t>Development management, procurement support, intercompany debt</w:t>
            </w:r>
          </w:p>
        </w:tc>
        <w:tc>
          <w:tcPr>
            <w:tcW w:type="dxa" w:w="2016"/>
            <w:vAlign w:val="center"/>
          </w:tcPr>
          <w:p>
            <w:r>
              <w:rPr>
                <w:sz w:val="17"/>
              </w:rPr>
              <w:t>Moderate</w:t>
            </w:r>
          </w:p>
        </w:tc>
      </w:tr>
      <w:tr>
        <w:tc>
          <w:tcPr>
            <w:tcW w:type="dxa" w:w="1440"/>
            <w:vAlign w:val="center"/>
          </w:tcPr>
          <w:p>
            <w:r>
              <w:rPr>
                <w:sz w:val="17"/>
              </w:rPr>
              <w:t>FY2023</w:t>
            </w:r>
          </w:p>
        </w:tc>
        <w:tc>
          <w:tcPr>
            <w:tcW w:type="dxa" w:w="3168"/>
            <w:vAlign w:val="center"/>
          </w:tcPr>
          <w:p>
            <w:r>
              <w:rPr>
                <w:sz w:val="17"/>
              </w:rPr>
              <w:t>Broader branded and JV activity; more formalized policies</w:t>
            </w:r>
          </w:p>
        </w:tc>
        <w:tc>
          <w:tcPr>
            <w:tcW w:type="dxa" w:w="2736"/>
            <w:vAlign w:val="center"/>
          </w:tcPr>
          <w:p>
            <w:r>
              <w:rPr>
                <w:sz w:val="17"/>
              </w:rPr>
              <w:t>Brand/platform support, financing, allocation consistency</w:t>
            </w:r>
          </w:p>
        </w:tc>
        <w:tc>
          <w:tcPr>
            <w:tcW w:type="dxa" w:w="2016"/>
            <w:vAlign w:val="center"/>
          </w:tcPr>
          <w:p>
            <w:r>
              <w:rPr>
                <w:sz w:val="17"/>
              </w:rPr>
              <w:t>Moderate to High</w:t>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