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0"/>
        <w:jc w:val="left"/>
      </w:pPr>
      <w:r>
        <w:rPr>
          <w:rFonts w:ascii="Aptos Display" w:cs="Arial" w:eastAsia="Arial" w:hAnsi="Aptos Display"/>
          <w:b/>
          <w:bCs/>
          <w:color w:val="000000"/>
          <w:sz w:val="52"/>
          <w:szCs w:val="52"/>
        </w:rPr>
        <w:t xml:space="preserve">heyyERP for V-Rub Suspensions</w:t>
      </w:r>
    </w:p>
    <w:p>
      <w:pPr>
        <w:spacing w:after="240"/>
      </w:pPr>
      <w:r>
        <w:rPr>
          <w:color w:val="374B5F"/>
          <w:sz w:val="28"/>
        </w:rPr>
        <w:t>Project Phases and Normalized Database Design</w:t>
      </w:r>
    </w:p>
    <w:p>
      <w:pPr>
        <w:pBdr>
          <w:bottom w:val="single" w:color="1D4ED8" w:sz="8" w:space="6"/>
        </w:pBdr>
        <w:spacing w:after="240"/>
      </w:pPr>
    </w:p>
    <w:p>
      <w:pPr>
        <w:spacing w:after="120" w:line="276"/>
      </w:pPr>
      <w:r>
        <w:rPr>
          <w:rFonts w:ascii="Arial" w:cs="Arial" w:eastAsia="Arial" w:hAnsi="Arial"/>
          <w:color w:val="1F2937"/>
          <w:sz w:val="20"/>
          <w:szCs w:val="20"/>
        </w:rPr>
        <w:t xml:space="preserve">Prepared for: HeyyBot engineering team</w:t>
      </w:r>
    </w:p>
    <w:p>
      <w:pPr>
        <w:spacing w:after="120" w:line="276"/>
      </w:pPr>
      <w:r>
        <w:rPr>
          <w:rFonts w:ascii="Arial" w:cs="Arial" w:eastAsia="Arial" w:hAnsi="Arial"/>
          <w:color w:val="1F2937"/>
          <w:sz w:val="20"/>
          <w:szCs w:val="20"/>
        </w:rPr>
        <w:t xml:space="preserve">Date: 23 Oct 2026   |   Version: 1.1 draft</w:t>
      </w:r>
    </w:p>
    <w:p>
      <w:pPr>
        <w:spacing w:after="120" w:line="276"/>
      </w:pPr>
      <w:r>
        <w:rPr>
          <w:rFonts w:ascii="Arial" w:cs="Arial" w:eastAsia="Arial" w:hAnsi="Arial"/>
          <w:color w:val="1F2937"/>
          <w:sz w:val="20"/>
          <w:szCs w:val="20"/>
        </w:rPr>
        <w:t xml:space="preserve">Source inputs: BRD v1.0 draft (22 Oct 2026) and clickable prototype v4 (state key heyyerp-vrub-v4).</w:t>
      </w:r>
    </w:p>
    <w:p>
      <w:pPr>
        <w:spacing w:after="120" w:line="276"/>
      </w:pPr>
      <w:r>
        <w:rPr>
          <w:rFonts w:ascii="Arial" w:cs="Arial" w:eastAsia="Arial" w:hAnsi="Arial"/>
          <w:color w:val="1F2937"/>
          <w:sz w:val="20"/>
          <w:szCs w:val="20"/>
        </w:rPr>
        <w:t xml:space="preserve">Status: planning document. Effort figures are the author’s estimates and should be re-baselined after BRD sign-off.</w:t>
      </w:r>
    </w:p>
    <w:p>
      <w:r>
        <w:br w:type="page"/>
      </w:r>
    </w:p>
    <w:p>
      <w:pPr>
        <w:spacing w:after="160"/>
      </w:pPr>
      <w:r>
        <w:rPr>
          <w:rFonts w:ascii="Arial" w:cs="Arial" w:eastAsia="Arial" w:hAnsi="Arial"/>
          <w:b/>
          <w:bCs/>
          <w:color w:val="1E3A8A"/>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Purpose and summary</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Where the prototype stands</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Effort and timeline at a glance</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Target architecture</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2.1 Principles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2.2 Logical layers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2.3 Deployment view</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2.4 Production sizing (25–50 users at go-live)</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3. System design</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3.1 Module map and dependencies</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3.2 Core data model</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3.3 Approval and workflow engine</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3.4 Inventory, lots and valuation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3.5 Production routes and compound batches</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3.6 Finance, period lock and GST</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3.7 Schedule import, labels and traceability</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3.8 API design</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3.9 Domain events (outbox pattern)</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3.10 Security design</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3.11 Integrations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3.12 Non-functional targets</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4. Development plan</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4.1 Phase overview</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4.2 Phase 1: Foundation and platform core (~45 days)</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4.3 Phases 2–7: scope and exit gates</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4.4 Effort by work package</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4.5 Team and roles</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4.6 Timeline and day-wise schedule</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5. Environments, CI/CD and testing</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5.1 Environments</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5.2 Pipeline</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5.3 Test strategy</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6. Data migration and rollout</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7. Risks and mitigations</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8. Open decisions</w:t>
            </w:r>
            <w:r>
              <w:tab/>
            </w:r>
            <w:r>
              <w:fldChar w:fldCharType="begin" w:dirty="true"/>
              <w:instrText xml:space="preserve">PAGEREF _Toc35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rPr>
        <w:t xml:space="preserve">1. Purpose and summary</w:t>
      </w:r>
      <w:bookmarkEnd w:id="1"/>
    </w:p>
    <w:p>
      <w:pPr>
        <w:spacing w:after="120" w:line="276"/>
      </w:pPr>
      <w:r>
        <w:rPr>
          <w:rFonts w:ascii="Arial" w:cs="Arial" w:eastAsia="Arial" w:hAnsi="Arial"/>
          <w:color w:val="1F2937"/>
          <w:sz w:val="20"/>
          <w:szCs w:val="20"/>
        </w:rPr>
        <w:t xml:space="preserve">V-Rub Suspensions makes anti-vibration rubber and metal-bonded parts for OEMs across three plants with separate GSTINs. Operations run today on spreadsheets, an accounting package and paper travellers. heyyERP replaces them with one cloud system of record from vendor approval to dispatch. This document sets out how to build it: the target architecture, the system design of the hard parts, and a phase-by-phase development plan.</w:t>
      </w:r>
    </w:p>
    <w:p>
      <w:pPr>
        <w:pStyle w:val="Heading2"/>
      </w:pPr>
      <w:bookmarkStart w:name="_Toc2" w:id="2"/>
      <w:r>
        <w:rPr>
          <w:rFonts w:ascii="Arial" w:cs="Arial" w:eastAsia="Arial" w:hAnsi="Arial"/>
        </w:rPr>
        <w:t xml:space="preserve">1.1 Where the prototype stands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Area</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Alignment</w:t>
            </w:r>
          </w:p>
        </w:tc>
        <w:tc>
          <w:tcPr>
            <w:tcW w:type="dxa" w:w="5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Comment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Module screens (sales, procurement, inventory, quality, maintenance, HR)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~90%</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BRD tab exists; action-to-permission map matches.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 routes, compound batches, FEFO / FIFO, QA gates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~95%</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Strongest part; rules are ready to port.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engine and admin screens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Missing delegation, e-mail / WhatsApp approval, atomic decisions.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Screens exist; IRN / e-way bill are mocked.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and security</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Browser-only checks; no SSO, PIN, MFA, RLS.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Simulated or paste-in.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 and OCR</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UI and prompts only.</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NFRs, migration, infra, CI/CD, multi-tenancy</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0%</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Not applicable to a client-only prototype.</w:t>
            </w:r>
          </w:p>
        </w:tc>
      </w:tr>
    </w:tbl>
    <w:p>
      <w:pPr>
        <w:spacing w:after="100"/>
      </w:pPr>
    </w:p>
    <w:p>
      <w:pPr>
        <w:spacing w:after="120" w:line="276"/>
      </w:pPr>
      <w:r>
        <w:t>The prototype is a behavioral and UX reference. It contains strong demonstrations of the core production routes, inventory rules and approvals, while backend security, integrations, concurrency, tenant isolation, infrastructure and NFRs remain to be built. Alignment percentages are planning estimates, not acceptance results.</w:t>
      </w:r>
    </w:p>
    <w:p>
      <w:pPr>
        <w:pStyle w:val="Heading2"/>
      </w:pPr>
      <w:bookmarkStart w:name="_Toc3" w:id="3"/>
      <w:r>
        <w:rPr>
          <w:rFonts w:ascii="Arial" w:cs="Arial" w:eastAsia="Arial" w:hAnsi="Arial"/>
        </w:rPr>
        <w:t xml:space="preserve">1.2 Effort and timeline at a glance</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Team</w:t>
            </w:r>
          </w:p>
        </w:tc>
        <w:tc>
          <w:tcPr>
            <w:tcW w:type="dxa" w:w="3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Effort</w:t>
            </w:r>
          </w:p>
        </w:tc>
        <w:tc>
          <w:tcPr>
            <w:tcW w:type="dxa" w:w="3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Elapsed time</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 people (recommended)</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 incl. 15% contingency</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 weeks (about 8 months) including UAT and cut-over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 people</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~28 weeks, with phases 3–6 overlapping</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 people</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~760 person-days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10–12 months</w:t>
            </w:r>
          </w:p>
        </w:tc>
      </w:tr>
    </w:tbl>
    <w:p>
      <w:pPr>
        <w:spacing w:after="100"/>
      </w:pPr>
    </w:p>
    <w:p>
      <w:pPr>
        <w:spacing w:after="120" w:line="276"/>
      </w:pPr>
      <w:r>
        <w:rPr>
          <w:rFonts w:ascii="Arial" w:cs="Arial" w:eastAsia="Arial" w:hAnsi="Arial"/>
          <w:color w:val="1F2937"/>
          <w:sz w:val="20"/>
          <w:szCs w:val="20"/>
        </w:rPr>
        <w:t xml:space="preserve">Pure engineering capacity for 760 person-days with six people is about 25 weeks; the remaining weeks are dependency waits, UAT and the month-start cut-over. The BRD’s 14-week go-live is not achievable from scratch. The BRD itself flags the gap between its 14-week client plan and the PRD’s 28-week product build (BRD section 10.4). Section 4.6 gives the day-wise schedule.</w:t>
      </w:r>
    </w:p>
    <w:p>
      <w:pPr>
        <w:pStyle w:val="Heading1"/>
      </w:pPr>
      <w:bookmarkStart w:name="_Toc4" w:id="4"/>
      <w:r>
        <w:rPr>
          <w:rFonts w:ascii="Arial" w:cs="Arial" w:eastAsia="Arial" w:hAnsi="Arial"/>
        </w:rPr>
        <w:t xml:space="preserve">2. Target architecture</w:t>
      </w:r>
      <w:bookmarkEnd w:id="4"/>
    </w:p>
    <w:p>
      <w:pPr>
        <w:pStyle w:val="Heading2"/>
      </w:pPr>
      <w:bookmarkStart w:name="_Toc5" w:id="5"/>
      <w:r>
        <w:rPr>
          <w:rFonts w:ascii="Arial" w:cs="Arial" w:eastAsia="Arial" w:hAnsi="Arial"/>
        </w:rPr>
        <w:t xml:space="preserve">2.1 Principles</w:t>
      </w:r>
      <w:bookmarkEnd w:id="5"/>
    </w:p>
    <w:p>
      <w:pPr>
        <w:pStyle w:val="ListParagraph"/>
        <w:numPr>
          <w:ilvl w:val="0"/>
          <w:numId w:val="2"/>
        </w:numPr>
        <w:spacing w:after="60" w:line="276"/>
      </w:pPr>
      <w:r>
        <w:rPr>
          <w:rFonts w:ascii="Arial" w:cs="Arial" w:eastAsia="Arial" w:hAnsi="Arial"/>
          <w:b/>
          <w:bCs/>
          <w:color w:val="1F2937"/>
          <w:sz w:val="20"/>
          <w:szCs w:val="20"/>
        </w:rPr>
        <w:t xml:space="preserve">Modular monolith. </w:t>
      </w:r>
      <w:r>
        <w:rPr>
          <w:rFonts w:ascii="Arial" w:cs="Arial" w:eastAsia="Arial" w:hAnsi="Arial"/>
          <w:color w:val="1F2937"/>
          <w:sz w:val="20"/>
          <w:szCs w:val="20"/>
        </w:rPr>
        <w:t xml:space="preserve">One deployable API, with modules as isolated Python packages. Split into services only when a module proves it needs it.</w:t>
      </w:r>
    </w:p>
    <w:p>
      <w:pPr>
        <w:pStyle w:val="ListParagraph"/>
        <w:numPr>
          <w:ilvl w:val="0"/>
          <w:numId w:val="2"/>
        </w:numPr>
        <w:spacing w:after="60" w:line="276"/>
      </w:pPr>
      <w:r>
        <w:rPr>
          <w:rFonts w:ascii="Arial" w:cs="Arial" w:eastAsia="Arial" w:hAnsi="Arial"/>
          <w:b/>
          <w:bCs/>
          <w:color w:val="1F2937"/>
          <w:sz w:val="20"/>
          <w:szCs w:val="20"/>
        </w:rPr>
        <w:t xml:space="preserve">Session-based auth. </w:t>
      </w:r>
      <w:r>
        <w:rPr>
          <w:rFonts w:ascii="Arial" w:cs="Arial" w:eastAsia="Arial" w:hAnsi="Arial"/>
          <w:color w:val="1F2937"/>
          <w:sz w:val="20"/>
          <w:szCs w:val="20"/>
        </w:rPr>
        <w:t xml:space="preserve">Authentication uses Better Auth with secure session cookies. There are no JWTs; the API validates the session on every request.</w:t>
      </w:r>
    </w:p>
    <w:p>
      <w:pPr>
        <w:pStyle w:val="ListParagraph"/>
        <w:numPr>
          <w:ilvl w:val="0"/>
          <w:numId w:val="2"/>
        </w:numPr>
        <w:spacing w:after="60" w:line="276"/>
      </w:pPr>
      <w:r>
        <w:rPr>
          <w:rFonts w:ascii="Arial" w:cs="Arial" w:eastAsia="Arial" w:hAnsi="Arial"/>
          <w:b/>
          <w:bCs/>
          <w:color w:val="1F2937"/>
          <w:sz w:val="20"/>
          <w:szCs w:val="20"/>
        </w:rPr>
        <w:t xml:space="preserve">Multi-tenant from day one. </w:t>
      </w:r>
      <w:r>
        <w:rPr>
          <w:rFonts w:ascii="Arial" w:cs="Arial" w:eastAsia="Arial" w:hAnsi="Arial"/>
          <w:color w:val="1F2937"/>
          <w:sz w:val="20"/>
          <w:szCs w:val="20"/>
        </w:rPr>
        <w:t xml:space="preserve">Every row carries tenant_id with Postgres row-level security. V-Rub is tenant 1; the next customer needs no rewrite.</w:t>
      </w:r>
    </w:p>
    <w:p>
      <w:pPr>
        <w:pStyle w:val="ListParagraph"/>
        <w:numPr>
          <w:ilvl w:val="0"/>
          <w:numId w:val="2"/>
        </w:numPr>
        <w:spacing w:after="60" w:line="276"/>
      </w:pPr>
      <w:r>
        <w:rPr>
          <w:rFonts w:ascii="Arial" w:cs="Arial" w:eastAsia="Arial" w:hAnsi="Arial"/>
          <w:b/>
          <w:bCs/>
          <w:color w:val="1F2937"/>
          <w:sz w:val="20"/>
          <w:szCs w:val="20"/>
        </w:rPr>
        <w:t xml:space="preserve">Strict module boundaries. </w:t>
      </w:r>
      <w:r>
        <w:rPr>
          <w:rFonts w:ascii="Arial" w:cs="Arial" w:eastAsia="Arial" w:hAnsi="Arial"/>
          <w:color w:val="1F2937"/>
          <w:sz w:val="20"/>
          <w:szCs w:val="20"/>
        </w:rPr>
        <w:t xml:space="preserve">Modules call each other through in-process service interfaces and domain events, never by reading each other’s tables.</w:t>
      </w:r>
    </w:p>
    <w:p>
      <w:pPr>
        <w:pStyle w:val="ListParagraph"/>
        <w:numPr>
          <w:ilvl w:val="0"/>
          <w:numId w:val="2"/>
        </w:numPr>
        <w:spacing w:after="60" w:line="276"/>
      </w:pPr>
      <w:r>
        <w:rPr>
          <w:rFonts w:ascii="Arial" w:cs="Arial" w:eastAsia="Arial" w:hAnsi="Arial"/>
          <w:b/>
          <w:bCs/>
          <w:color w:val="1F2937"/>
          <w:sz w:val="20"/>
          <w:szCs w:val="20"/>
        </w:rPr>
        <w:t xml:space="preserve">Business rules as a pure library. </w:t>
      </w:r>
      <w:r>
        <w:rPr>
          <w:rFonts w:ascii="Arial" w:cs="Arial" w:eastAsia="Arial" w:hAnsi="Arial"/>
          <w:color w:val="1F2937"/>
          <w:sz w:val="20"/>
          <w:szCs w:val="20"/>
        </w:rPr>
        <w:t xml:space="preserve">FEFO, FIFO allocation, batch status, rule matching and period lock live in packages/domain as pure, unit-tested functions.</w:t>
      </w:r>
    </w:p>
    <w:p>
      <w:pPr>
        <w:pStyle w:val="ListParagraph"/>
        <w:numPr>
          <w:ilvl w:val="0"/>
          <w:numId w:val="2"/>
        </w:numPr>
        <w:spacing w:after="60" w:line="276"/>
      </w:pPr>
      <w:r>
        <w:rPr>
          <w:rFonts w:ascii="Arial" w:cs="Arial" w:eastAsia="Arial" w:hAnsi="Arial"/>
          <w:b/>
          <w:bCs/>
          <w:color w:val="1F2937"/>
          <w:sz w:val="20"/>
          <w:szCs w:val="20"/>
        </w:rPr>
        <w:t xml:space="preserve">Configuration over code. </w:t>
      </w:r>
      <w:r>
        <w:rPr>
          <w:rFonts w:ascii="Arial" w:cs="Arial" w:eastAsia="Arial" w:hAnsi="Arial"/>
          <w:color w:val="1F2937"/>
          <w:sz w:val="20"/>
          <w:szCs w:val="20"/>
        </w:rPr>
        <w:t xml:space="preserve">Every business setting and approval rule is data. Changing them is an admin action, not a release.</w:t>
      </w:r>
    </w:p>
    <w:p>
      <w:pPr>
        <w:pStyle w:val="ListParagraph"/>
        <w:numPr>
          <w:ilvl w:val="0"/>
          <w:numId w:val="2"/>
        </w:numPr>
        <w:spacing w:after="60" w:line="276"/>
      </w:pPr>
      <w:r>
        <w:rPr>
          <w:rFonts w:ascii="Arial" w:cs="Arial" w:eastAsia="Arial" w:hAnsi="Arial"/>
          <w:b/>
          <w:bCs/>
          <w:color w:val="1F2937"/>
          <w:sz w:val="20"/>
          <w:szCs w:val="20"/>
        </w:rPr>
        <w:t xml:space="preserve">Server-side security. </w:t>
      </w:r>
      <w:r>
        <w:rPr>
          <w:rFonts w:ascii="Arial" w:cs="Arial" w:eastAsia="Arial" w:hAnsi="Arial"/>
          <w:color w:val="1F2937"/>
          <w:sz w:val="20"/>
          <w:szCs w:val="20"/>
        </w:rPr>
        <w:t xml:space="preserve">The UI check is convenience only. Every endpoint declares a permission and the server enforces it.</w:t>
      </w:r>
    </w:p>
    <w:p>
      <w:pPr>
        <w:pStyle w:val="Heading2"/>
      </w:pPr>
      <w:bookmarkStart w:name="_Toc6" w:id="6"/>
      <w:r>
        <w:rPr>
          <w:rFonts w:ascii="Arial" w:cs="Arial" w:eastAsia="Arial" w:hAnsi="Arial"/>
        </w:rPr>
        <w:t xml:space="preserve">2.2 Logical layers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Layer</w:t>
            </w:r>
          </w:p>
        </w:tc>
        <w:tc>
          <w:tcPr>
            <w:tcW w:type="dxa" w:w="3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Technology</w:t>
            </w:r>
          </w:p>
        </w:tc>
        <w:tc>
          <w:tcPr>
            <w:tcW w:type="dxa" w:w="41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Responsibility</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Web app</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18, TypeScript, Vite, TanStack Query, React Router; PWA</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All screens, role-aware navigation, offline-tolerant shop-floor views, barcode scanning</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Edge</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Azure Front Door + WAF, CDN</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TLS, WAF rules, static assets, optional India geo-restriction</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(TypeScript, Node) with the Postgres adapter, in its own small service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Sign-in, sessions, Microsoft / Google SSO, two-factor, OTP, user admin</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(async), Pydantic v2, SQLAlchemy 2, Alembic</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REST /api/v1, OpenAPI, session validation, permission guard, audit middleware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Real-time</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WebSocket gateway on FastAPI + Redis pub/sub</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inbox counts, “updated by” toasts, presence</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Domain modules</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procurement, inventory, production, quality, maintenance, finance, gst, hr, workflow, admin, ai</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 rules ported from the prototype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Async workers</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Celery or Dramatiq on Azure Service Bus; scheduler</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OCR, GSP calls, reminders, nightly MRP, report export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PostgreSQL 16 Flexible Server (zone-redundant HA), Redis, Blob Storage</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Transactions, sessions and locks, documents and labels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LLM gateway (Azure OpenAI + Anthropic Claude), Azure AI Document Intelligence</w:t>
            </w:r>
          </w:p>
        </w:tc>
        <w:tc>
          <w:tcPr>
            <w:tcW w:type="dxa" w:w="41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agents, bill / delivery-challan / customer-PO OCR</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3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One adapter module with retry and dead-letter</w:t>
            </w:r>
          </w:p>
        </w:tc>
        <w:tc>
          <w:tcPr>
            <w:tcW w:type="dxa" w:w="4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mailbox, WhatsApp, bank file, accounting export, Zebra printers</w:t>
            </w:r>
          </w:p>
        </w:tc>
      </w:tr>
    </w:tbl>
    <w:p>
      <w:pPr>
        <w:spacing w:after="100"/>
      </w:pPr>
    </w:p>
    <w:p>
      <w:pPr>
        <w:pStyle w:val="Heading2"/>
      </w:pPr>
      <w:bookmarkStart w:name="_Toc7" w:id="7"/>
      <w:r>
        <w:rPr>
          <w:rFonts w:ascii="Arial" w:cs="Arial" w:eastAsia="Arial" w:hAnsi="Arial"/>
        </w:rPr>
        <w:t xml:space="preserve">2.3 Deployment view</w:t>
      </w:r>
      <w:bookmarkEnd w:id="7"/>
    </w:p>
    <w:p>
      <w:pPr>
        <w:shd w:fill="F1F5F9" w:val="clear"/>
        <w:spacing w:after="0"/>
      </w:pPr>
      <w:r>
        <w:rPr>
          <w:rFonts w:ascii="Consolas" w:cs="Consolas" w:eastAsia="Consolas" w:hAnsi="Consolas"/>
          <w:color w:val="1F2937"/>
          <w:sz w:val="17"/>
          <w:szCs w:val="17"/>
        </w:rPr>
        <w:t xml:space="preserve">Users (browser / tablet / phone)</w:t>
      </w:r>
    </w:p>
    <w:p>
      <w:pPr>
        <w:shd w:fill="F1F5F9" w:val="clear"/>
        <w:spacing w:after="0"/>
      </w:pPr>
      <w:r>
        <w:rPr>
          <w:rFonts w:ascii="Consolas" w:cs="Consolas" w:eastAsia="Consolas" w:hAnsi="Consolas"/>
          <w:color w:val="1F2937"/>
          <w:sz w:val="17"/>
          <w:szCs w:val="17"/>
        </w:rPr>
        <w:t xml:space="preserve">   -&gt; Azure Front Door + WAF + CDN</w:t>
      </w:r>
    </w:p>
    <w:p>
      <w:pPr>
        <w:shd w:fill="F1F5F9" w:val="clear"/>
        <w:spacing w:after="0"/>
      </w:pPr>
      <w:r>
        <w:rPr>
          <w:rFonts w:ascii="Consolas" w:cs="Consolas" w:eastAsia="Consolas" w:hAnsi="Consolas"/>
          <w:color w:val="1F2937"/>
          <w:sz w:val="17"/>
          <w:szCs w:val="17"/>
        </w:rPr>
        <w:t xml:space="preserve">      -&gt; Container Apps: api (2-6) | auth (2) | ws-gateway (2) | worker (1-4)</w:t>
      </w:r>
    </w:p>
    <w:p>
      <w:pPr>
        <w:shd w:fill="F1F5F9" w:val="clear"/>
        <w:spacing w:after="0"/>
      </w:pPr>
      <w:r>
        <w:rPr>
          <w:rFonts w:ascii="Consolas" w:cs="Consolas" w:eastAsia="Consolas" w:hAnsi="Consolas"/>
          <w:color w:val="1F2937"/>
          <w:sz w:val="17"/>
          <w:szCs w:val="17"/>
        </w:rPr>
        <w:t xml:space="preserve">         -&gt; PostgreSQL 16 (HA)   -&gt; Redis   -&gt; Service Bus   -&gt; Blob (ZRS)</w:t>
      </w:r>
    </w:p>
    <w:p>
      <w:pPr>
        <w:shd w:fill="F1F5F9" w:val="clear"/>
        <w:spacing w:after="0"/>
      </w:pPr>
      <w:r>
        <w:rPr>
          <w:rFonts w:ascii="Consolas" w:cs="Consolas" w:eastAsia="Consolas" w:hAnsi="Consolas"/>
          <w:color w:val="1F2937"/>
          <w:sz w:val="17"/>
          <w:szCs w:val="17"/>
        </w:rPr>
        <w:t xml:space="preserve">         -&gt; External: GSP | Microsoft Graph | WhatsApp API | LLM / OCR</w:t>
      </w:r>
    </w:p>
    <w:p>
      <w:pPr>
        <w:shd w:fill="F1F5F9" w:val="clear"/>
        <w:spacing w:after="0"/>
      </w:pPr>
      <w:r>
        <w:rPr>
          <w:rFonts w:ascii="Consolas" w:cs="Consolas" w:eastAsia="Consolas" w:hAnsi="Consolas"/>
          <w:color w:val="1F2937"/>
          <w:sz w:val="17"/>
          <w:szCs w:val="17"/>
        </w:rPr>
        <w:t xml:space="preserve">   Cross-cutting: Key Vault, Managed Identity, ACR, Azure Monitor / App Insights</w:t>
      </w:r>
    </w:p>
    <w:p>
      <w:pPr>
        <w:shd w:fill="F1F5F9" w:val="clear"/>
        <w:spacing w:after="0"/>
      </w:pPr>
      <w:r>
        <w:rPr>
          <w:rFonts w:ascii="Consolas" w:cs="Consolas" w:eastAsia="Consolas" w:hAnsi="Consolas"/>
          <w:color w:val="1F2937"/>
          <w:sz w:val="17"/>
          <w:szCs w:val="17"/>
        </w:rPr>
        <w:t xml:space="preserve">   DR: warm standby in Azure South India (geo-replica + geo-redundant backups)</w:t>
      </w:r>
    </w:p>
    <w:p>
      <w:pPr>
        <w:spacing w:after="100"/>
      </w:pPr>
    </w:p>
    <w:p>
      <w:pPr>
        <w:spacing w:after="120" w:line="276"/>
      </w:pPr>
      <w:r>
        <w:rPr>
          <w:rFonts w:ascii="Arial" w:cs="Arial" w:eastAsia="Arial" w:hAnsi="Arial"/>
          <w:color w:val="1F2937"/>
          <w:sz w:val="20"/>
          <w:szCs w:val="20"/>
        </w:rPr>
        <w:t xml:space="preserve">Everything sits in Azure Central India inside one VNet with private endpoints. All infrastructure is Terraform; nothing is created by hand in the portal.</w:t>
      </w:r>
    </w:p>
    <w:p>
      <w:pPr>
        <w:pStyle w:val="Heading2"/>
      </w:pPr>
      <w:bookmarkStart w:name="_Toc8" w:id="8"/>
      <w:r>
        <w:rPr>
          <w:rFonts w:ascii="Arial" w:cs="Arial" w:eastAsia="Arial" w:hAnsi="Arial"/>
        </w:rPr>
        <w:t xml:space="preserve">2.4 Production sizing (25–50 users at go-live)</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Resource</w:t>
            </w:r>
          </w:p>
        </w:tc>
        <w:tc>
          <w:tcPr>
            <w:tcW w:type="dxa" w:w="3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Sizing</w:t>
            </w:r>
          </w:p>
        </w:tc>
        <w:tc>
          <w:tcPr>
            <w:tcW w:type="dxa" w:w="3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Notes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Container Apps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2–6 replicas (1 vCPU / 2 GiB); worker 1–4; ws-gateway 2; auth 2 (Better Auth)</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KEDA scaling on HTTP and queue depth</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PostgreSQL Flexible</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D4ds_v5, 256 GB, zone-redundant HA</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PITR 35 days; read replica for reports from phase 2</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Redis</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 C1</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Sessions, rate limits, locks, pub/sub</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Service Bus</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Queues: imports, ocr, gsp, notify; topics for domain events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Blob Storage</w:t>
            </w:r>
          </w:p>
        </w:tc>
        <w:tc>
          <w:tcPr>
            <w:tcW w:type="dxa" w:w="3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Hot, ZRS, Cool after 90 days</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Attachments, labels, exports; virus scan on upload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Front Door + WAF</w:t>
            </w:r>
          </w:p>
        </w:tc>
        <w:tc>
          <w:tcPr>
            <w:tcW w:type="dxa" w:w="3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Standard, OWASP rule set</w:t>
            </w:r>
          </w:p>
        </w:tc>
        <w:tc>
          <w:tcPr>
            <w:tcW w:type="dxa" w:w="3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 domain per tenant</w:t>
            </w:r>
          </w:p>
        </w:tc>
      </w:tr>
    </w:tbl>
    <w:p>
      <w:pPr>
        <w:pStyle w:val="Heading1"/>
      </w:pPr>
      <w:bookmarkStart w:name="_Toc9" w:id="9"/>
      <w:r>
        <w:rPr>
          <w:rFonts w:ascii="Arial" w:cs="Arial" w:eastAsia="Arial" w:hAnsi="Arial"/>
        </w:rPr>
        <w:t xml:space="preserve">3. System design</w:t>
      </w:r>
      <w:bookmarkEnd w:id="9"/>
    </w:p>
    <w:p>
      <w:pPr>
        <w:pStyle w:val="Heading2"/>
      </w:pPr>
      <w:bookmarkStart w:name="_Toc10" w:id="10"/>
      <w:r>
        <w:rPr>
          <w:rFonts w:ascii="Arial" w:cs="Arial" w:eastAsia="Arial" w:hAnsi="Arial"/>
        </w:rPr>
        <w:t xml:space="preserve">3.1 Module map and dependencies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Module</w:t>
            </w:r>
          </w:p>
        </w:tc>
        <w:tc>
          <w:tcPr>
            <w:tcW w:type="dxa" w:w="3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Owns</w:t>
            </w:r>
          </w:p>
        </w:tc>
        <w:tc>
          <w:tcPr>
            <w:tcW w:type="dxa" w:w="3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Depends on (via service interface / events)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 security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Roles, permissions, settings, audit log; extends Better Auth users with role and plant scope</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(foundation)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rules, instances, actions, delegation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document adapters from other modules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lots, stock ledger, FIFO cost layers, counts, transfers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workflow</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Vendors, indents, POs, GRN, returns, bills match input</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workflow, quality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 queue, inspections, NCR/8D, PPAP, SPC, calibration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Compounds, batches, routes, lots, shift entry, BOM, MRP</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quality, workflow</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Customers, SOs, schedule import, dispatch, challans, invoices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 gst</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 gst</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Chart of accounts, journals, AP / AR, periods, returns, TDS</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Consumes events from all posting modules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Machines, moulds, PM, breakdowns, assets, depreciation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(spares), finance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 / kaizen</w:t>
            </w:r>
          </w:p>
        </w:tc>
        <w:tc>
          <w:tcPr>
            <w:tcW w:type="dxa" w:w="3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Employees, leave, attendance, appraisal, kaizen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context, agents, OCR orchestration</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Read-only access through the permission layer</w:t>
            </w:r>
          </w:p>
        </w:tc>
      </w:tr>
    </w:tbl>
    <w:p>
      <w:pPr>
        <w:spacing w:after="100"/>
      </w:pPr>
    </w:p>
    <w:p>
      <w:pPr>
        <w:pStyle w:val="Heading2"/>
      </w:pPr>
      <w:bookmarkStart w:name="_Toc11" w:id="11"/>
      <w:r>
        <w:rPr>
          <w:rFonts w:ascii="Arial" w:cs="Arial" w:eastAsia="Arial" w:hAnsi="Arial"/>
        </w:rPr>
        <w:t xml:space="preserve">3.2 Core data model</w:t>
      </w:r>
      <w:bookmarkEnd w:id="11"/>
    </w:p>
    <w:p>
      <w:pPr>
        <w:spacing w:after="120" w:line="276"/>
      </w:pPr>
      <w:r>
        <w:rPr>
          <w:rFonts w:ascii="Arial" w:cs="Arial" w:eastAsia="Arial" w:hAnsi="Arial"/>
          <w:color w:val="1F2937"/>
          <w:sz w:val="20"/>
          <w:szCs w:val="20"/>
        </w:rPr>
        <w:t xml:space="preserve">All tables carry tenant_id, created_at, created_by, updated_at and version (optimistic lock). Plant-specific tables also carry unit_id. Money is numeric(18,2); quantities are numeric(18,3).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Domain</w:t>
            </w:r>
          </w:p>
        </w:tc>
        <w:tc>
          <w:tcPr>
            <w:tcW w:type="dxa" w:w="7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Key tables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and security</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tenant, unit (gstin, state_code), store, department, app_user (role_id, unit_scope[], linked to the Better Auth user), role, permission, role_permission, role_module, audit_log (append-only). Better Auth owns user, session, account, verification and two_factor in an auth schema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(key, value jsonb, effective_from): grnTolPct, priceTolPct, requireIndent, negativeStock, issueRule, valuation, lockDay, prodLockExtraDays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approval_rule, approval_rule_step, approval_instance, approval_action, delegation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and stock</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 lot (QA_HOLD / AVAILABLE / QUARANTINE / BLOCKED), stock_ledger, cost_layer, stock_count, stock_count_line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Procure-to-pay</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 indent(+line), purchase_order(+line, schedule), grn(+line), purchase_return, supplier_bill, bill_match</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Order-to-cash</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customer, price_list, sales_order(+line, schedule), schedule_import, dispatch, invoice, inter_unit_invoice, challan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 compound_recipe_line, compound_batch, batch_weighing_line, route, route_stage, prod_lot, prod_lot_move, lot_consumption, shift_production, bom, work_order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qa_inspection (subject_type, result, params jsonb), ncr, ncr_step, calibration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 mould, pm_plan, pm_task, breakdown, spare_issue, fixed_asset, depreciation_run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 journal, journal_line, period, payment, payment_run, gst_return_data, tds_entry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employee, leave_type, leave_request, leave_balance, attendance, appraisal, kaizen</w:t>
            </w:r>
          </w:p>
        </w:tc>
      </w:tr>
    </w:tbl>
    <w:p>
      <w:pPr>
        <w:spacing w:after="100"/>
      </w:pPr>
    </w:p>
    <w:p>
      <w:pPr>
        <w:pStyle w:val="Heading2"/>
      </w:pPr>
      <w:bookmarkStart w:name="_Toc12" w:id="12"/>
      <w:r>
        <w:rPr>
          <w:rFonts w:ascii="Arial" w:cs="Arial" w:eastAsia="Arial" w:hAnsi="Arial"/>
        </w:rPr>
        <w:t xml:space="preserve">3.3 Approval and workflow engine</w:t>
      </w:r>
      <w:bookmarkEnd w:id="12"/>
    </w:p>
    <w:p>
      <w:pPr>
        <w:spacing w:after="120" w:line="276"/>
      </w:pPr>
      <w:r>
        <w:rPr>
          <w:rFonts w:ascii="Arial" w:cs="Arial" w:eastAsia="Arial" w:hAnsi="Arial"/>
          <w:color w:val="1F2937"/>
          <w:sz w:val="20"/>
          <w:szCs w:val="20"/>
        </w:rPr>
        <w:t xml:space="preserve">One generic engine routes eight document types: indent, PO, supplier bill, scrap sale, stock count, leave, kaizen and annual review. Rules are rows in approval_rule, so an admin changes routes without a release. A rule change applies only to documents submitted afterwards.</w:t>
      </w:r>
    </w:p>
    <w:p>
      <w:pPr>
        <w:pStyle w:val="ListParagraph"/>
        <w:numPr>
          <w:ilvl w:val="0"/>
          <w:numId w:val="2"/>
        </w:numPr>
        <w:spacing w:after="60" w:line="276"/>
      </w:pPr>
      <w:r>
        <w:rPr>
          <w:rFonts w:ascii="Arial" w:cs="Arial" w:eastAsia="Arial" w:hAnsi="Arial"/>
          <w:b/>
          <w:bCs/>
          <w:color w:val="1F2937"/>
          <w:sz w:val="20"/>
          <w:szCs w:val="20"/>
        </w:rPr>
        <w:t xml:space="preserve">findRule: </w:t>
      </w:r>
      <w:r>
        <w:rPr>
          <w:rFonts w:ascii="Arial" w:cs="Arial" w:eastAsia="Arial" w:hAnsi="Arial"/>
          <w:color w:val="1F2937"/>
          <w:sz w:val="20"/>
          <w:szCs w:val="20"/>
        </w:rPr>
        <w:t xml:space="preserve">Match the first rule where the document type and amount band fit.</w:t>
      </w:r>
    </w:p>
    <w:p>
      <w:pPr>
        <w:pStyle w:val="ListParagraph"/>
        <w:numPr>
          <w:ilvl w:val="0"/>
          <w:numId w:val="2"/>
        </w:numPr>
        <w:spacing w:after="60" w:line="276"/>
      </w:pPr>
      <w:r>
        <w:rPr>
          <w:rFonts w:ascii="Arial" w:cs="Arial" w:eastAsia="Arial" w:hAnsi="Arial"/>
          <w:b/>
          <w:bCs/>
          <w:color w:val="1F2937"/>
          <w:sz w:val="20"/>
          <w:szCs w:val="20"/>
        </w:rPr>
        <w:t xml:space="preserve">resolveSteps: </w:t>
      </w:r>
      <w:r>
        <w:rPr>
          <w:rFonts w:ascii="Arial" w:cs="Arial" w:eastAsia="Arial" w:hAnsi="Arial"/>
          <w:color w:val="1F2937"/>
          <w:sz w:val="20"/>
          <w:szCs w:val="20"/>
        </w:rPr>
        <w:t xml:space="preserve">Replace DEPT_HEAD with the role mapped from the document’s department; collapse consecutive duplicate roles.</w:t>
      </w:r>
    </w:p>
    <w:p>
      <w:pPr>
        <w:pStyle w:val="ListParagraph"/>
        <w:numPr>
          <w:ilvl w:val="0"/>
          <w:numId w:val="2"/>
        </w:numPr>
        <w:spacing w:after="60" w:line="276"/>
      </w:pPr>
      <w:r>
        <w:rPr>
          <w:rFonts w:ascii="Arial" w:cs="Arial" w:eastAsia="Arial" w:hAnsi="Arial"/>
          <w:b/>
          <w:bCs/>
          <w:color w:val="1F2937"/>
          <w:sz w:val="20"/>
          <w:szCs w:val="20"/>
        </w:rPr>
        <w:t xml:space="preserve">startAppr: </w:t>
      </w:r>
      <w:r>
        <w:rPr>
          <w:rFonts w:ascii="Arial" w:cs="Arial" w:eastAsia="Arial" w:hAnsi="Arial"/>
          <w:color w:val="1F2937"/>
          <w:sz w:val="20"/>
          <w:szCs w:val="20"/>
        </w:rPr>
        <w:t xml:space="preserve">Skip leading steps held by the requester’s own role; auto-approve if none remain.</w:t>
      </w:r>
    </w:p>
    <w:p>
      <w:pPr>
        <w:pStyle w:val="ListParagraph"/>
        <w:numPr>
          <w:ilvl w:val="0"/>
          <w:numId w:val="2"/>
        </w:numPr>
        <w:spacing w:after="60" w:line="276"/>
      </w:pPr>
      <w:r>
        <w:rPr>
          <w:rFonts w:ascii="Arial" w:cs="Arial" w:eastAsia="Arial" w:hAnsi="Arial"/>
          <w:b/>
          <w:bCs/>
          <w:color w:val="1F2937"/>
          <w:sz w:val="20"/>
          <w:szCs w:val="20"/>
        </w:rPr>
        <w:t xml:space="preserve">decide: </w:t>
      </w:r>
      <w:r>
        <w:rPr>
          <w:rFonts w:ascii="Arial" w:cs="Arial" w:eastAsia="Arial" w:hAnsi="Arial"/>
          <w:color w:val="1F2937"/>
          <w:sz w:val="20"/>
          <w:szCs w:val="20"/>
        </w:rPr>
        <w:t xml:space="preserve">Only the current-step role (or ADMIN, logged as override) may decide. Approve advances or finalises; reject finalises. The type adapter’s final hook applies the business effect.</w:t>
      </w:r>
    </w:p>
    <w:p>
      <w:pPr>
        <w:pStyle w:val="ListParagraph"/>
        <w:numPr>
          <w:ilvl w:val="0"/>
          <w:numId w:val="2"/>
        </w:numPr>
        <w:spacing w:after="60" w:line="276"/>
      </w:pPr>
      <w:r>
        <w:rPr>
          <w:rFonts w:ascii="Arial" w:cs="Arial" w:eastAsia="Arial" w:hAnsi="Arial"/>
          <w:b/>
          <w:bCs/>
          <w:color w:val="1F2937"/>
          <w:sz w:val="20"/>
          <w:szCs w:val="20"/>
        </w:rPr>
        <w:t xml:space="preserve">Extensibility: </w:t>
      </w:r>
      <w:r>
        <w:rPr>
          <w:rFonts w:ascii="Arial" w:cs="Arial" w:eastAsia="Arial" w:hAnsi="Arial"/>
          <w:color w:val="1F2937"/>
          <w:sz w:val="20"/>
          <w:szCs w:val="20"/>
        </w:rPr>
        <w:t xml:space="preserve">Each document type is registered with an adapter (pending condition, amount, department, title, final). New types need no engine change.</w:t>
      </w:r>
    </w:p>
    <w:p>
      <w:pPr>
        <w:pStyle w:val="ListParagraph"/>
        <w:numPr>
          <w:ilvl w:val="0"/>
          <w:numId w:val="2"/>
        </w:numPr>
        <w:spacing w:after="60" w:line="276"/>
      </w:pPr>
      <w:r>
        <w:rPr>
          <w:rFonts w:ascii="Arial" w:cs="Arial" w:eastAsia="Arial" w:hAnsi="Arial"/>
          <w:b/>
          <w:bCs/>
          <w:color w:val="1F2937"/>
          <w:sz w:val="20"/>
          <w:szCs w:val="20"/>
        </w:rPr>
        <w:t xml:space="preserve">Concurrency: </w:t>
      </w:r>
      <w:r>
        <w:rPr>
          <w:rFonts w:ascii="Arial" w:cs="Arial" w:eastAsia="Arial" w:hAnsi="Arial"/>
          <w:color w:val="1F2937"/>
          <w:sz w:val="20"/>
          <w:szCs w:val="20"/>
        </w:rPr>
        <w:t xml:space="preserve">A decision runs in one transaction using optimistic locking on step and version. A second decision on the same step returns “Already decided”.</w:t>
      </w:r>
    </w:p>
    <w:p>
      <w:pPr>
        <w:pStyle w:val="Heading3"/>
      </w:pPr>
      <w:r>
        <w:rPr>
          <w:rFonts w:ascii="Arial" w:cs="Arial" w:eastAsia="Arial" w:hAnsi="Arial"/>
        </w:rPr>
        <w:t xml:space="preserve">Default approval matrix (proposal, to be replaced by V-Rub sheet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438"/>
        <w:gridCol w:w="1100"/>
      </w:tblGrid>
      <w:tr>
        <w:trPr>
          <w:tblHeader/>
        </w:trPr>
        <w:tc>
          <w:tcPr>
            <w:tcW w:type="dxa" w:w="1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Rule</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Document</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Band</w:t>
            </w:r>
          </w:p>
        </w:tc>
        <w:tc>
          <w:tcPr>
            <w:tcW w:type="dxa" w:w="2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Steps</w:t>
            </w:r>
          </w:p>
        </w:tc>
        <w:tc>
          <w:tcPr>
            <w:tcW w:type="dxa" w:w="11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SLA</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R-IND</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(BOM / consumable)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R-IND-CAP</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(capital)</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up to 5 L / 5–25 L / above 25 L</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 (→ MD above 25 L)</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72 h</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R-PO-1/2/3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Purchase order</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up to 5 L / 5–25 L / above 25 L</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Purchase → Plant Head → MD (by band)</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R-BILL</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Supplier invoice exception</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Accounts</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 h</w:t>
            </w:r>
          </w:p>
        </w:tc>
      </w:tr>
      <w:tr>
        <w:trPr>
          <w:cantSplit/>
        </w:trPr>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R-SCRAP, R-COUNT</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Scrap sale, count variance</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Plant Head → Accounts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 h</w:t>
            </w:r>
          </w:p>
        </w:tc>
      </w:tr>
      <w:tr>
        <w:trPr>
          <w:cantSplit/>
        </w:trPr>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R-LEAVE, R-KZ, R-REV</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Leave, kaizen, review</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any</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Dept head (→ Plant Head / HR)</w:t>
            </w:r>
          </w:p>
        </w:tc>
        <w:tc>
          <w:tcPr>
            <w:tcW w:type="dxa" w:w="11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120–168 h</w:t>
            </w:r>
          </w:p>
        </w:tc>
      </w:tr>
    </w:tbl>
    <w:p>
      <w:pPr>
        <w:spacing w:after="100"/>
      </w:pPr>
    </w:p>
    <w:p>
      <w:pPr>
        <w:pStyle w:val="Heading2"/>
      </w:pPr>
      <w:bookmarkStart w:name="_Toc13" w:id="13"/>
      <w:r>
        <w:rPr>
          <w:rFonts w:ascii="Arial" w:cs="Arial" w:eastAsia="Arial" w:hAnsi="Arial"/>
        </w:rPr>
        <w:t xml:space="preserve">3.4 Inventory, lots and valuation</w:t>
      </w:r>
      <w:bookmarkEnd w:id="13"/>
    </w:p>
    <w:p>
      <w:pPr>
        <w:pStyle w:val="ListParagraph"/>
        <w:numPr>
          <w:ilvl w:val="0"/>
          <w:numId w:val="2"/>
        </w:numPr>
        <w:spacing w:after="60" w:line="276"/>
      </w:pPr>
      <w:r>
        <w:rPr>
          <w:rFonts w:ascii="Arial" w:cs="Arial" w:eastAsia="Arial" w:hAnsi="Arial"/>
          <w:color w:val="1F2937"/>
          <w:sz w:val="20"/>
          <w:szCs w:val="20"/>
        </w:rPr>
        <w:t xml:space="preserve">Every receipt creates a lot with expiry = received date + item shelf life. Goods land in QA_HOLD until inspection accepts them.</w:t>
      </w:r>
    </w:p>
    <w:p>
      <w:pPr>
        <w:pStyle w:val="ListParagraph"/>
        <w:numPr>
          <w:ilvl w:val="0"/>
          <w:numId w:val="2"/>
        </w:numPr>
        <w:spacing w:after="60" w:line="276"/>
      </w:pPr>
      <w:r>
        <w:rPr>
          <w:rFonts w:ascii="Arial" w:cs="Arial" w:eastAsia="Arial" w:hAnsi="Arial"/>
          <w:color w:val="1F2937"/>
          <w:sz w:val="20"/>
          <w:szCs w:val="20"/>
        </w:rPr>
        <w:t xml:space="preserve">Issues follow FEFO: earliest expiry first, then oldest receipt. Expired lots are blocked. A shortfall blocks the whole issue.</w:t>
      </w:r>
    </w:p>
    <w:p>
      <w:pPr>
        <w:pStyle w:val="ListParagraph"/>
        <w:numPr>
          <w:ilvl w:val="0"/>
          <w:numId w:val="2"/>
        </w:numPr>
        <w:spacing w:after="60" w:line="276"/>
      </w:pPr>
      <w:r>
        <w:rPr>
          <w:rFonts w:ascii="Arial" w:cs="Arial" w:eastAsia="Arial" w:hAnsi="Arial"/>
          <w:color w:val="1F2937"/>
          <w:sz w:val="20"/>
          <w:szCs w:val="20"/>
        </w:rPr>
        <w:t xml:space="preserve">stock_ledger is append-only. Balances are derived from it. Valuation is FIFO through cost_layer rows created per receipt.</w:t>
      </w:r>
    </w:p>
    <w:p>
      <w:pPr>
        <w:pStyle w:val="ListParagraph"/>
        <w:numPr>
          <w:ilvl w:val="0"/>
          <w:numId w:val="2"/>
        </w:numPr>
        <w:spacing w:after="60" w:line="276"/>
      </w:pPr>
      <w:r>
        <w:rPr>
          <w:rFonts w:ascii="Arial" w:cs="Arial" w:eastAsia="Arial" w:hAnsi="Arial"/>
          <w:color w:val="1F2937"/>
          <w:sz w:val="20"/>
          <w:szCs w:val="20"/>
        </w:rPr>
        <w:t xml:space="preserve">No transaction may take a store / item / lot below zero. Enforced with SELECT ... FOR UPDATE on the lot rows and a CHECK constraint as a backstop.</w:t>
      </w:r>
    </w:p>
    <w:p>
      <w:pPr>
        <w:pStyle w:val="ListParagraph"/>
        <w:numPr>
          <w:ilvl w:val="0"/>
          <w:numId w:val="2"/>
        </w:numPr>
        <w:spacing w:after="60" w:line="276"/>
      </w:pPr>
      <w:r>
        <w:rPr>
          <w:rFonts w:ascii="Arial" w:cs="Arial" w:eastAsia="Arial" w:hAnsi="Arial"/>
          <w:color w:val="1F2937"/>
          <w:sz w:val="20"/>
          <w:szCs w:val="20"/>
        </w:rPr>
        <w:t xml:space="preserve">Every POST that moves stock or money takes an idempotency key, so retries cannot double-post.</w:t>
      </w:r>
    </w:p>
    <w:p>
      <w:pPr>
        <w:pStyle w:val="ListParagraph"/>
        <w:numPr>
          <w:ilvl w:val="0"/>
          <w:numId w:val="2"/>
        </w:numPr>
        <w:spacing w:after="60" w:line="276"/>
      </w:pPr>
      <w:r>
        <w:rPr>
          <w:rFonts w:ascii="Arial" w:cs="Arial" w:eastAsia="Arial" w:hAnsi="Arial"/>
          <w:color w:val="1F2937"/>
          <w:sz w:val="20"/>
          <w:szCs w:val="20"/>
        </w:rPr>
        <w:t xml:space="preserve">Inter-plant transfers raise an inter-unit invoice and e-way bill (RULE-14).</w:t>
      </w:r>
    </w:p>
    <w:p>
      <w:pPr>
        <w:pStyle w:val="Heading2"/>
      </w:pPr>
      <w:bookmarkStart w:name="_Toc14" w:id="14"/>
      <w:r>
        <w:rPr>
          <w:rFonts w:ascii="Arial" w:cs="Arial" w:eastAsia="Arial" w:hAnsi="Arial"/>
        </w:rPr>
        <w:t xml:space="preserve">3.5 Production routes and compound batches</w:t>
      </w:r>
      <w:bookmarkEnd w:id="14"/>
    </w:p>
    <w:p>
      <w:pPr>
        <w:spacing w:after="120" w:line="276"/>
      </w:pPr>
      <w:r>
        <w:rPr>
          <w:rFonts w:ascii="Arial" w:cs="Arial" w:eastAsia="Arial" w:hAnsi="Arial"/>
          <w:color w:val="1F2937"/>
          <w:sz w:val="20"/>
          <w:szCs w:val="20"/>
        </w:rPr>
        <w:t xml:space="preserve">Routes are data (route and route_stage with an is_qa_gate flag). METAL runs machining, QA, phosphating, QA and painting. MOULD runs moulding, QA, packing and FG store. EXTR runs extrusion, joint moulding or flocking, QA and packing.</w:t>
      </w:r>
    </w:p>
    <w:p>
      <w:pPr>
        <w:pStyle w:val="ListParagraph"/>
        <w:numPr>
          <w:ilvl w:val="0"/>
          <w:numId w:val="2"/>
        </w:numPr>
        <w:spacing w:after="60" w:line="276"/>
      </w:pPr>
      <w:r>
        <w:rPr>
          <w:rFonts w:ascii="Arial" w:cs="Arial" w:eastAsia="Arial" w:hAnsi="Arial"/>
          <w:b/>
          <w:bCs/>
          <w:color w:val="1F2937"/>
          <w:sz w:val="20"/>
          <w:szCs w:val="20"/>
        </w:rPr>
        <w:t xml:space="preserve">Derived status. </w:t>
      </w:r>
      <w:r>
        <w:rPr>
          <w:rFonts w:ascii="Arial" w:cs="Arial" w:eastAsia="Arial" w:hAnsi="Arial"/>
          <w:color w:val="1F2937"/>
          <w:sz w:val="20"/>
          <w:szCs w:val="20"/>
        </w:rPr>
        <w:t xml:space="preserve">Compound batch status is never stored as truth. A view derives Weighed / Mixing, Maturing (age below minimum), Awaiting QA, Ready, Consumed (kg left = 0), Expired (age above maximum) or Rejected, from mixed_at, QA result and kg_left.</w:t>
      </w:r>
    </w:p>
    <w:p>
      <w:pPr>
        <w:pStyle w:val="ListParagraph"/>
        <w:numPr>
          <w:ilvl w:val="0"/>
          <w:numId w:val="2"/>
        </w:numPr>
        <w:spacing w:after="60" w:line="276"/>
      </w:pPr>
      <w:r>
        <w:rPr>
          <w:rFonts w:ascii="Arial" w:cs="Arial" w:eastAsia="Arial" w:hAnsi="Arial"/>
          <w:b/>
          <w:bCs/>
          <w:color w:val="1F2937"/>
          <w:sz w:val="20"/>
          <w:szCs w:val="20"/>
        </w:rPr>
        <w:t xml:space="preserve">Allocation. </w:t>
      </w:r>
      <w:r>
        <w:rPr>
          <w:rFonts w:ascii="Arial" w:cs="Arial" w:eastAsia="Arial" w:hAnsi="Arial"/>
          <w:color w:val="1F2937"/>
          <w:sz w:val="20"/>
          <w:szCs w:val="20"/>
        </w:rPr>
        <w:t xml:space="preserve">A moulding lot draws compound oldest-first across Ready batches and one metal lot that passed final metal QA. Each draw is a lot_consumption row, giving full traceability from RM lot to invoice.</w:t>
      </w:r>
    </w:p>
    <w:p>
      <w:pPr>
        <w:pStyle w:val="ListParagraph"/>
        <w:numPr>
          <w:ilvl w:val="0"/>
          <w:numId w:val="2"/>
        </w:numPr>
        <w:spacing w:after="60" w:line="276"/>
      </w:pPr>
      <w:r>
        <w:rPr>
          <w:rFonts w:ascii="Arial" w:cs="Arial" w:eastAsia="Arial" w:hAnsi="Arial"/>
          <w:b/>
          <w:bCs/>
          <w:color w:val="1F2937"/>
          <w:sz w:val="20"/>
          <w:szCs w:val="20"/>
        </w:rPr>
        <w:t xml:space="preserve">Gates. </w:t>
      </w:r>
      <w:r>
        <w:rPr>
          <w:rFonts w:ascii="Arial" w:cs="Arial" w:eastAsia="Arial" w:hAnsi="Arial"/>
          <w:color w:val="1F2937"/>
          <w:sz w:val="20"/>
          <w:szCs w:val="20"/>
        </w:rPr>
        <w:t xml:space="preserve">If Ready compound or metal is short, the lot cannot be created. QA stages require qa.approve; other stages require route.move.</w:t>
      </w:r>
    </w:p>
    <w:p>
      <w:pPr>
        <w:pStyle w:val="ListParagraph"/>
        <w:numPr>
          <w:ilvl w:val="0"/>
          <w:numId w:val="2"/>
        </w:numPr>
        <w:spacing w:after="60" w:line="276"/>
      </w:pPr>
      <w:r>
        <w:rPr>
          <w:rFonts w:ascii="Arial" w:cs="Arial" w:eastAsia="Arial" w:hAnsi="Arial"/>
          <w:b/>
          <w:bCs/>
          <w:color w:val="1F2937"/>
          <w:sz w:val="20"/>
          <w:szCs w:val="20"/>
        </w:rPr>
        <w:t xml:space="preserve">QA limits. </w:t>
      </w:r>
      <w:r>
        <w:rPr>
          <w:rFonts w:ascii="Arial" w:cs="Arial" w:eastAsia="Arial" w:hAnsi="Arial"/>
          <w:color w:val="1F2937"/>
          <w:sz w:val="20"/>
          <w:szCs w:val="20"/>
        </w:rPr>
        <w:t xml:space="preserve">Hardness outside the compound spec cannot be approved.</w:t>
      </w:r>
    </w:p>
    <w:p>
      <w:pPr>
        <w:pStyle w:val="Heading2"/>
      </w:pPr>
      <w:bookmarkStart w:name="_Toc15" w:id="15"/>
      <w:r>
        <w:rPr>
          <w:rFonts w:ascii="Arial" w:cs="Arial" w:eastAsia="Arial" w:hAnsi="Arial"/>
        </w:rPr>
        <w:t xml:space="preserve">3.6 Finance, period lock and GST</w:t>
      </w:r>
      <w:bookmarkEnd w:id="15"/>
    </w:p>
    <w:p>
      <w:pPr>
        <w:pStyle w:val="ListParagraph"/>
        <w:numPr>
          <w:ilvl w:val="0"/>
          <w:numId w:val="2"/>
        </w:numPr>
        <w:spacing w:after="60" w:line="276"/>
      </w:pPr>
      <w:r>
        <w:rPr>
          <w:rFonts w:ascii="Arial" w:cs="Arial" w:eastAsia="Arial" w:hAnsi="Arial"/>
          <w:color w:val="1F2937"/>
          <w:sz w:val="20"/>
          <w:szCs w:val="20"/>
        </w:rPr>
        <w:t xml:space="preserve">Auto-postings come from domain events (GRN, invoice, issue, production, payment) consumed by finance. Modules never write journals directly.</w:t>
      </w:r>
    </w:p>
    <w:p>
      <w:pPr>
        <w:pStyle w:val="ListParagraph"/>
        <w:numPr>
          <w:ilvl w:val="0"/>
          <w:numId w:val="2"/>
        </w:numPr>
        <w:spacing w:after="60" w:line="276"/>
      </w:pPr>
      <w:r>
        <w:rPr>
          <w:rFonts w:ascii="Arial" w:cs="Arial" w:eastAsia="Arial" w:hAnsi="Arial"/>
          <w:color w:val="1F2937"/>
          <w:sz w:val="20"/>
          <w:szCs w:val="20"/>
        </w:rPr>
        <w:t xml:space="preserve">Supplier bills use a 3-way match (PO, GRN, invoice) with 0% price tolerance. Quantity, rate or duplicate exceptions go to Accounts approval.</w:t>
      </w:r>
    </w:p>
    <w:p>
      <w:pPr>
        <w:pStyle w:val="ListParagraph"/>
        <w:numPr>
          <w:ilvl w:val="0"/>
          <w:numId w:val="2"/>
        </w:numPr>
        <w:spacing w:after="60" w:line="276"/>
      </w:pPr>
      <w:r>
        <w:rPr>
          <w:rFonts w:ascii="Arial" w:cs="Arial" w:eastAsia="Arial" w:hAnsi="Arial"/>
          <w:color w:val="1F2937"/>
          <w:sz w:val="20"/>
          <w:szCs w:val="20"/>
        </w:rPr>
        <w:t xml:space="preserve">A period guard runs on every posting service. Closed months refuse posting; production postings stay open until day 1 of the next month.</w:t>
      </w:r>
    </w:p>
    <w:p>
      <w:pPr>
        <w:pStyle w:val="ListParagraph"/>
        <w:numPr>
          <w:ilvl w:val="0"/>
          <w:numId w:val="2"/>
        </w:numPr>
        <w:spacing w:after="60" w:line="276"/>
      </w:pPr>
      <w:r>
        <w:rPr>
          <w:rFonts w:ascii="Arial" w:cs="Arial" w:eastAsia="Arial" w:hAnsi="Arial"/>
          <w:color w:val="1F2937"/>
          <w:sz w:val="20"/>
          <w:szCs w:val="20"/>
        </w:rPr>
        <w:t xml:space="preserve">E-invoice (IRN) and e-way bill go through a licensed GSP adapter with retry, dead-letter and a reconciliation view. V-Rub holds the GSP contract.</w:t>
      </w:r>
    </w:p>
    <w:p>
      <w:pPr>
        <w:pStyle w:val="Heading2"/>
      </w:pPr>
      <w:bookmarkStart w:name="_Toc16" w:id="16"/>
      <w:r>
        <w:rPr>
          <w:rFonts w:ascii="Arial" w:cs="Arial" w:eastAsia="Arial" w:hAnsi="Arial"/>
        </w:rPr>
        <w:t xml:space="preserve">3.7 Schedule import, labels and traceability</w:t>
      </w:r>
      <w:bookmarkEnd w:id="16"/>
    </w:p>
    <w:p>
      <w:pPr>
        <w:pStyle w:val="ListParagraph"/>
        <w:numPr>
          <w:ilvl w:val="0"/>
          <w:numId w:val="2"/>
        </w:numPr>
        <w:spacing w:after="60" w:line="276"/>
      </w:pPr>
      <w:r>
        <w:rPr>
          <w:rFonts w:ascii="Arial" w:cs="Arial" w:eastAsia="Arial" w:hAnsi="Arial"/>
          <w:color w:val="1F2937"/>
          <w:sz w:val="20"/>
          <w:szCs w:val="20"/>
        </w:rPr>
        <w:t xml:space="preserve">OEM schedules (.xlsx, .csv, or an e-mail attachment) are uploaded, parsed by a worker into schedule_import.parsed_rows, previewed with matches to customer / PO / part, then applied to create or update SO schedule lines. Target: 2,000 rows to preview in 15 s.</w:t>
      </w:r>
    </w:p>
    <w:p>
      <w:pPr>
        <w:pStyle w:val="ListParagraph"/>
        <w:numPr>
          <w:ilvl w:val="0"/>
          <w:numId w:val="2"/>
        </w:numPr>
        <w:spacing w:after="60" w:line="276"/>
      </w:pPr>
      <w:r>
        <w:rPr>
          <w:rFonts w:ascii="Arial" w:cs="Arial" w:eastAsia="Arial" w:hAnsi="Arial"/>
          <w:color w:val="1F2937"/>
          <w:sz w:val="20"/>
          <w:szCs w:val="20"/>
        </w:rPr>
        <w:t xml:space="preserve">Labels use Code 39. The API renders PDF or ZPL for Zebra printers through a print server at each plant. Batch labels add “usable from” and “use before”.</w:t>
      </w:r>
    </w:p>
    <w:p>
      <w:pPr>
        <w:pStyle w:val="ListParagraph"/>
        <w:numPr>
          <w:ilvl w:val="0"/>
          <w:numId w:val="2"/>
        </w:numPr>
        <w:spacing w:after="60" w:line="276"/>
      </w:pPr>
      <w:r>
        <w:rPr>
          <w:rFonts w:ascii="Arial" w:cs="Arial" w:eastAsia="Arial" w:hAnsi="Arial"/>
          <w:color w:val="1F2937"/>
          <w:sz w:val="20"/>
          <w:szCs w:val="20"/>
        </w:rPr>
        <w:t xml:space="preserve">A traceability index links RM lot → compound batch → metal lot → moulded lot → FG lot → invoice, rebuilt from lot_consumption and dispatch events.</w:t>
      </w:r>
    </w:p>
    <w:p>
      <w:pPr>
        <w:pStyle w:val="Heading2"/>
      </w:pPr>
      <w:bookmarkStart w:name="_Toc17" w:id="17"/>
      <w:r>
        <w:rPr>
          <w:rFonts w:ascii="Arial" w:cs="Arial" w:eastAsia="Arial" w:hAnsi="Arial"/>
        </w:rPr>
        <w:t xml:space="preserve">3.8 API design</w:t>
      </w:r>
      <w:bookmarkEnd w:id="17"/>
    </w:p>
    <w:p>
      <w:pPr>
        <w:pStyle w:val="ListParagraph"/>
        <w:numPr>
          <w:ilvl w:val="0"/>
          <w:numId w:val="2"/>
        </w:numPr>
        <w:spacing w:after="60" w:line="276"/>
      </w:pPr>
      <w:r>
        <w:rPr>
          <w:rFonts w:ascii="Arial" w:cs="Arial" w:eastAsia="Arial" w:hAnsi="Arial"/>
          <w:color w:val="1F2937"/>
          <w:sz w:val="20"/>
          <w:szCs w:val="20"/>
        </w:rPr>
        <w:t xml:space="preserve">REST, JSON, /api/v1/&lt;module&gt;/&lt;resource&gt;; OpenAPI is the contract; cursor pagination.</w:t>
      </w:r>
    </w:p>
    <w:p>
      <w:pPr>
        <w:pStyle w:val="ListParagraph"/>
        <w:numPr>
          <w:ilvl w:val="0"/>
          <w:numId w:val="2"/>
        </w:numPr>
        <w:spacing w:after="60" w:line="276"/>
      </w:pPr>
      <w:r>
        <w:rPr>
          <w:rFonts w:ascii="Arial" w:cs="Arial" w:eastAsia="Arial" w:hAnsi="Arial"/>
          <w:color w:val="1F2937"/>
          <w:sz w:val="20"/>
          <w:szCs w:val="20"/>
        </w:rPr>
        <w:t xml:space="preserve">Updates require If-Match with the row version. Stock and money POSTs require an idempotency key.</w:t>
      </w:r>
    </w:p>
    <w:p>
      <w:pPr>
        <w:pStyle w:val="ListParagraph"/>
        <w:numPr>
          <w:ilvl w:val="0"/>
          <w:numId w:val="2"/>
        </w:numPr>
        <w:spacing w:after="60" w:line="276"/>
      </w:pPr>
      <w:r>
        <w:rPr>
          <w:rFonts w:ascii="Arial" w:cs="Arial" w:eastAsia="Arial" w:hAnsi="Arial"/>
          <w:color w:val="1F2937"/>
          <w:sz w:val="20"/>
          <w:szCs w:val="20"/>
        </w:rPr>
        <w:t xml:space="preserve">Auth: Better Auth issues a signed, httpOnly, SameSite session cookie; there are no JWTs. FastAPI verifies the cookie with the shared secret and checks the session and user rows through a read-only Postgres role, so a deactivated user is refused on the next request. GET /me returns user, role, modules, permissions and unit scope.</w:t>
      </w:r>
    </w:p>
    <w:p>
      <w:pPr>
        <w:pStyle w:val="ListParagraph"/>
        <w:numPr>
          <w:ilvl w:val="0"/>
          <w:numId w:val="2"/>
        </w:numPr>
        <w:spacing w:after="60" w:line="276"/>
      </w:pPr>
      <w:r>
        <w:rPr>
          <w:rFonts w:ascii="Arial" w:cs="Arial" w:eastAsia="Arial" w:hAnsi="Arial"/>
          <w:color w:val="1F2937"/>
          <w:sz w:val="20"/>
          <w:szCs w:val="20"/>
        </w:rPr>
        <w:t xml:space="preserve">Key endpoints: /approvals, /approvals/{type}/{id}/decide, /procurement/*, /inventory/issues/plan then /inventory/issues, /production/batches and /production/lots, /quality/queue, /sales/schedule-imports, /sales/dispatches, /admin/*, /labels/{type}/{id}, /ai/ask.</w:t>
      </w:r>
    </w:p>
    <w:p>
      <w:pPr>
        <w:pStyle w:val="Heading2"/>
      </w:pPr>
      <w:bookmarkStart w:name="_Toc18" w:id="18"/>
      <w:r>
        <w:rPr>
          <w:rFonts w:ascii="Arial" w:cs="Arial" w:eastAsia="Arial" w:hAnsi="Arial"/>
        </w:rPr>
        <w:t xml:space="preserve">3.9 Domain events (outbox pattern)</w:t>
      </w:r>
      <w:bookmarkEnd w:id="18"/>
    </w:p>
    <w:p>
      <w:pPr>
        <w:spacing w:after="120" w:line="276"/>
      </w:pPr>
      <w:r>
        <w:rPr>
          <w:rFonts w:ascii="Arial" w:cs="Arial" w:eastAsia="Arial" w:hAnsi="Arial"/>
          <w:color w:val="1F2937"/>
          <w:sz w:val="20"/>
          <w:szCs w:val="20"/>
        </w:rPr>
        <w:t xml:space="preserve">Writes append to an outbox table in the same transaction. A relay publishes to Service Bus topics. Consumers are notifications, the real-time gateway, finance auto-posting, the search index and the AI context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3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Event</w:t>
            </w:r>
          </w:p>
        </w:tc>
        <w:tc>
          <w:tcPr>
            <w:tcW w:type="dxa" w:w="2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Emitted by</w:t>
            </w:r>
          </w:p>
        </w:tc>
        <w:tc>
          <w:tcPr>
            <w:tcW w:type="dxa" w:w="43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Consumed by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approval.step_pending / decided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Notifications (in-app, e-mail, WhatsApp), real-time inbox</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grn.posted, qa.decided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 quality</w:t>
            </w:r>
          </w:p>
        </w:tc>
        <w:tc>
          <w:tcPr>
            <w:tcW w:type="dxa" w:w="4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(QA hold to available), finance (GRN accrual)</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stock.issued, lot.moved, lot.packed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production</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(WIP / FG valuation), traceability index</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invoice.created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w:t>
            </w:r>
          </w:p>
        </w:tc>
        <w:tc>
          <w:tcPr>
            <w:tcW w:type="dxa" w:w="43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GST adapter (IRN, e-way bill), finance (AR)</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period.closed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w:t>
            </w:r>
          </w:p>
        </w:tc>
        <w:tc>
          <w:tcPr>
            <w:tcW w:type="dxa" w:w="43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All posting services (guard cache refresh)</w:t>
            </w:r>
          </w:p>
        </w:tc>
      </w:tr>
    </w:tbl>
    <w:p>
      <w:pPr>
        <w:spacing w:after="100"/>
      </w:pPr>
    </w:p>
    <w:p>
      <w:pPr>
        <w:pStyle w:val="Heading2"/>
      </w:pPr>
      <w:bookmarkStart w:name="_Toc19" w:id="19"/>
      <w:r>
        <w:rPr>
          <w:rFonts w:ascii="Arial" w:cs="Arial" w:eastAsia="Arial" w:hAnsi="Arial"/>
        </w:rPr>
        <w:t xml:space="preserve">3.10 Security design</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Area</w:t>
            </w:r>
          </w:p>
        </w:tc>
        <w:tc>
          <w:tcPr>
            <w:tcW w:type="dxa" w:w="7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Design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Identity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Microsoft Entra ID / Google SSO; email and password with Argon2id (custom hasher) and lockout after 5 failures; two-factor plugin for ADMIN, MD, ACCOUNTS; phone OTP or username + PIN on registered shop-floor terminals with 10-minute idle expiry; session revocation on deactivation</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Authorisation</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endpoint declares a permission; policy check server-side; unit scope applied in queries; Postgres RLS on tenant_id</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TLS 1.2+; encryption at rest; PAN and bank fields encrypted at column level</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for sign-in, create, approve, reject, settings, rules and exports; retained 8 years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Application</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OWASP ASVS L2; CSP, CSRF protection, Pydantic validation, file-type and antivirus checks on upload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Copilot runs through the same permission layer; no tenant data used for training; prompts logged with PII redaction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Compliance</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DPDP Act 2023; data resident in India</w:t>
            </w:r>
          </w:p>
        </w:tc>
      </w:tr>
    </w:tbl>
    <w:p>
      <w:pPr>
        <w:spacing w:after="100"/>
      </w:pPr>
    </w:p>
    <w:p>
      <w:pPr>
        <w:pStyle w:val="Heading2"/>
      </w:pPr>
      <w:bookmarkStart w:name="_Toc20" w:id="20"/>
      <w:r>
        <w:rPr>
          <w:rFonts w:ascii="Arial" w:cs="Arial" w:eastAsia="Arial" w:hAnsi="Arial"/>
        </w:rPr>
        <w:t xml:space="preserve">3.11 Integrations</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System</w:t>
            </w:r>
          </w:p>
        </w:tc>
        <w:tc>
          <w:tcPr>
            <w:tcW w:type="dxa" w:w="4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Method</w:t>
            </w:r>
          </w:p>
        </w:tc>
        <w:tc>
          <w:tcPr>
            <w:tcW w:type="dxa" w:w="2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(e-invoice, e-way bill)</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REST through licensed GSP; V-Rub holds the contract</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mailbox</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Microsoft Graph / IMAP poller; attachments to schedule import</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WhatsApp Business API</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Template messages for approvals and alerts</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Barcode printers</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ZPL over network print server at each plant</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Daily voucher export (XML / CSV)</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if retained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Bank</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Payment file export; host-to-host later</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 2</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Biometric attendance</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Device vendor API or CSV pull</w:t>
            </w:r>
          </w:p>
        </w:tc>
        <w:tc>
          <w:tcPr>
            <w:tcW w:type="dxa" w:w="2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Machines / PLC, OEM portals, payroll</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Out of scope for phase 1</w:t>
            </w:r>
          </w:p>
        </w:tc>
        <w:tc>
          <w:tcPr>
            <w:tcW w:type="dxa" w:w="2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t>
            </w:r>
          </w:p>
        </w:tc>
      </w:tr>
    </w:tbl>
    <w:p>
      <w:pPr>
        <w:spacing w:after="100"/>
      </w:pPr>
    </w:p>
    <w:p>
      <w:pPr>
        <w:pStyle w:val="Heading2"/>
      </w:pPr>
      <w:bookmarkStart w:name="_Toc21" w:id="21"/>
      <w:r>
        <w:rPr>
          <w:rFonts w:ascii="Arial" w:cs="Arial" w:eastAsia="Arial" w:hAnsi="Arial"/>
        </w:rPr>
        <w:t xml:space="preserve">3.12 Non-functional targets</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038"/>
      </w:tblGrid>
      <w:tr>
        <w:trPr>
          <w:tblHeader/>
        </w:trPr>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5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3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Target</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NFR-01</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Availability (monthly)</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99.5%</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NFR-02</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latency p95, reads / writes</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300 ms / 600 ms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NFR-03</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Page interactive on mid-range Android tablet over 4G</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 s</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NFR-04</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Concurrent users without degradation</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150</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NFR-05</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event to approver’s inbox</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 s</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NFR-06</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of 2,000 rows to preview</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 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NFR-07</w:t>
            </w:r>
          </w:p>
        </w:tc>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RPO / RTO</w:t>
            </w:r>
          </w:p>
        </w:tc>
        <w:tc>
          <w:tcPr>
            <w:tcW w:type="dxa" w:w="3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 min / 4 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NFR-12</w:t>
            </w:r>
          </w:p>
        </w:tc>
        <w:tc>
          <w:tcPr>
            <w:tcW w:type="dxa" w:w="5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 negative stock, no double approval under concurrency</w:t>
            </w:r>
          </w:p>
        </w:tc>
        <w:tc>
          <w:tcPr>
            <w:tcW w:type="dxa" w:w="3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 locks</w:t>
            </w:r>
          </w:p>
        </w:tc>
      </w:tr>
    </w:tbl>
    <w:p>
      <w:pPr>
        <w:pStyle w:val="Heading1"/>
      </w:pPr>
      <w:bookmarkStart w:name="_Toc22" w:id="22"/>
      <w:r>
        <w:rPr>
          <w:rFonts w:ascii="Arial" w:cs="Arial" w:eastAsia="Arial" w:hAnsi="Arial"/>
        </w:rPr>
        <w:t xml:space="preserve">4. Development plan</w:t>
      </w:r>
      <w:bookmarkEnd w:id="22"/>
    </w:p>
    <w:p>
      <w:pPr>
        <w:pStyle w:val="Heading2"/>
      </w:pPr>
      <w:bookmarkStart w:name="_Toc23" w:id="23"/>
      <w:r>
        <w:rPr>
          <w:rFonts w:ascii="Arial" w:cs="Arial" w:eastAsia="Arial" w:hAnsi="Arial"/>
        </w:rPr>
        <w:t xml:space="preserve">4.1 Phase overview</w:t>
      </w:r>
      <w:bookmarkEnd w:id="23"/>
    </w:p>
    <w:p>
      <w:pPr>
        <w:spacing w:after="120" w:line="276"/>
      </w:pPr>
      <w:r>
        <w:rPr>
          <w:rFonts w:ascii="Arial" w:cs="Arial" w:eastAsia="Arial" w:hAnsi="Arial"/>
          <w:color w:val="1F2937"/>
          <w:sz w:val="20"/>
          <w:szCs w:val="20"/>
        </w:rPr>
        <w:t xml:space="preserve">Phases are ordered by dependency so that each one ends in a working demo. Weeks assume a six-person team without AI assistance; see section 4.6 for the day-wise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200"/>
        <w:gridCol w:w="800"/>
        <w:gridCol w:w="4438"/>
      </w:tblGrid>
      <w:tr>
        <w:trPr>
          <w:tblHeader/>
        </w:trPr>
        <w:tc>
          <w:tcPr>
            <w:tcW w:type="dxa" w:w="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2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c>
          <w:tcPr>
            <w:tcW w:type="dxa" w:w="1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Weeks</w:t>
            </w:r>
          </w:p>
        </w:tc>
        <w:tc>
          <w:tcPr>
            <w:tcW w:type="dxa" w:w="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44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Outcome</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Foundation and platform core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Login, RBAC, audit and CI/CD running in dev / qa</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Workflow engine, masters, inventory ledger</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Approvals work; stock moves by lot with FEFO / FIFO, no negative stock</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Procure-to-pay</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9–12</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Indent → PO → GRN → QA → stock, plus returns and vendors</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13–17</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~75</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Routes, compound batches, lots, labels, shift entry, BOM / MRP</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Order-to-cash, finance and GST</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18–23</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Schedule import, dispatch, e-invoice, GL, 3-way match, period lock, GSTR</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 HR, kaizen, AI, integrations, reports</w:t>
            </w:r>
          </w:p>
        </w:tc>
        <w:tc>
          <w:tcPr>
            <w:tcW w:type="dxa" w:w="1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24–28</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Remaining modules, WhatsApp, mailbox, ZPL, OCR, copilot</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Migration, hardening, UAT, go-live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29–34</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~100</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Data loads, performance and pen tests, training, cut-over</w:t>
            </w:r>
          </w:p>
        </w:tc>
      </w:tr>
    </w:tbl>
    <w:p>
      <w:pPr>
        <w:spacing w:after="100"/>
      </w:pPr>
    </w:p>
    <w:p>
      <w:pPr>
        <w:spacing w:after="120" w:line="276"/>
      </w:pPr>
      <w:r>
        <w:rPr>
          <w:rFonts w:ascii="Arial" w:cs="Arial" w:eastAsia="Arial" w:hAnsi="Arial"/>
          <w:color w:val="1F2937"/>
          <w:sz w:val="20"/>
          <w:szCs w:val="20"/>
        </w:rPr>
        <w:t xml:space="preserve">Start Phase 5 early with a dedicated finance developer, because it is the largest and riskiest phase.</w:t>
      </w:r>
    </w:p>
    <w:p>
      <w:pPr>
        <w:pStyle w:val="Heading2"/>
      </w:pPr>
      <w:bookmarkStart w:name="_Toc24" w:id="24"/>
      <w:r>
        <w:rPr>
          <w:rFonts w:ascii="Arial" w:cs="Arial" w:eastAsia="Arial" w:hAnsi="Arial"/>
        </w:rPr>
        <w:t xml:space="preserve">4.2 Phase 1: Foundation and platform core (~45 days)</w:t>
      </w:r>
      <w:bookmarkEnd w:id="24"/>
    </w:p>
    <w:p>
      <w:pPr>
        <w:spacing w:after="120" w:line="276"/>
      </w:pPr>
      <w:r>
        <w:rPr>
          <w:rFonts w:ascii="Arial" w:cs="Arial" w:eastAsia="Arial" w:hAnsi="Arial"/>
          <w:color w:val="1F2937"/>
          <w:sz w:val="20"/>
          <w:szCs w:val="20"/>
        </w:rPr>
        <w:t xml:space="preserve">Goal: a running, secure, empty ERP shell that every later module plugs into. No business screens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800"/>
        <w:gridCol w:w="2738"/>
      </w:tblGrid>
      <w:tr>
        <w:trPr>
          <w:tblHeader/>
        </w:trPr>
        <w:tc>
          <w:tcPr>
            <w:tcW w:type="dxa" w:w="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5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Task</w:t>
            </w:r>
          </w:p>
        </w:tc>
        <w:tc>
          <w:tcPr>
            <w:tcW w:type="dxa" w:w="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27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BRD reference</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Monorepo: apps/web, apps/api (one package per module), apps/worker, packages/domain, infra/terraform, e2e</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for Azure dev and qa: Container Apps, Postgres 16, Redis, Service Bus, Blob, Key Vault, ACR</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Sections 9.1–9.2</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CI/CD on GitHub Actions: lint, mypy / tsc, tests, Alembic check, CodeQL, Trivy, deploy to dev (OIDC)</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1.4</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DB base: Alembic, tenant_id + RLS, unit_id, audit columns, version column, money / qty types</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8.2</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and security tables: tenant, unit, store, department, app_user, role, permission mappings</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3</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1.6</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email / password with Argon2id, secure session cookies, lockout, admin plugin for deactivate / reset, GET /me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FR-ADM-03</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1.7</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session validation and permission guard on every endpoint; seed 12 roles and the permission map from the prototype</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BR-02, FR-ADM-04</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middleware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FR-ADM-05</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1.9</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table with typed keys and admin GET / PUT</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BR-11</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API and UI: users CRUD, deactivate, reset password, role and plant scope</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FR-ADM-01</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1.11</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shell: Vite, TanStack Query, router, role-aware nav, light / dark tokens, login, PWA basics</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8.1</w:t>
            </w:r>
          </w:p>
        </w:tc>
      </w:tr>
      <w:tr>
        <w:trPr>
          <w:cantSplit/>
        </w:trPr>
        <w:tc>
          <w:tcPr>
            <w:tcW w:type="dxa" w:w="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1.12</w:t>
            </w:r>
          </w:p>
        </w:tc>
        <w:tc>
          <w:tcPr>
            <w:tcW w:type="dxa" w:w="5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skeleton: pytest, Playwright role × screen sweep, 403 test for every endpoint</w:t>
            </w:r>
          </w:p>
        </w:tc>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10.3</w:t>
            </w:r>
          </w:p>
        </w:tc>
      </w:tr>
      <w:tr>
        <w:trPr>
          <w:cantSplit/>
        </w:trPr>
        <w:tc>
          <w:tcPr>
            <w:tcW w:type="dxa" w:w="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1.13</w:t>
            </w:r>
          </w:p>
        </w:tc>
        <w:tc>
          <w:tcPr>
            <w:tcW w:type="dxa" w:w="5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fixtures ported from the prototype seed()</w:t>
            </w:r>
          </w:p>
        </w:tc>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7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Section 9.2</w:t>
            </w:r>
          </w:p>
        </w:tc>
      </w:tr>
    </w:tbl>
    <w:p>
      <w:pPr>
        <w:spacing w:after="100"/>
      </w:pPr>
    </w:p>
    <w:p>
      <w:pPr>
        <w:spacing w:after="120" w:line="276"/>
      </w:pPr>
      <w:r>
        <w:rPr>
          <w:rFonts w:ascii="Arial" w:cs="Arial" w:eastAsia="Arial" w:hAnsi="Arial"/>
          <w:color w:val="1F2937"/>
          <w:sz w:val="20"/>
          <w:szCs w:val="20"/>
        </w:rPr>
        <w:t xml:space="preserve">Tasks sum to about 54 days; 1.3, 1.12 and 1.13 overlap with other work, which brings the phase to about 45.</w:t>
      </w:r>
    </w:p>
    <w:p>
      <w:pPr>
        <w:pStyle w:val="Heading3"/>
      </w:pPr>
      <w:r>
        <w:rPr>
          <w:rFonts w:ascii="Arial" w:cs="Arial" w:eastAsia="Arial" w:hAnsi="Arial"/>
        </w:rPr>
        <w:t xml:space="preserve">Exit gate (demo in dev)</w:t>
      </w:r>
    </w:p>
    <w:p>
      <w:pPr>
        <w:pStyle w:val="ListParagraph"/>
        <w:numPr>
          <w:ilvl w:val="0"/>
          <w:numId w:val="2"/>
        </w:numPr>
        <w:spacing w:after="60" w:line="276"/>
      </w:pPr>
      <w:r>
        <w:rPr>
          <w:rFonts w:ascii="Arial" w:cs="Arial" w:eastAsia="Arial" w:hAnsi="Arial"/>
          <w:color w:val="1F2937"/>
          <w:sz w:val="20"/>
          <w:szCs w:val="20"/>
        </w:rPr>
        <w:t xml:space="preserve">An admin signs in and creates a user with a role and plant scope; that user sees only permitted modules.</w:t>
      </w:r>
    </w:p>
    <w:p>
      <w:pPr>
        <w:pStyle w:val="ListParagraph"/>
        <w:numPr>
          <w:ilvl w:val="0"/>
          <w:numId w:val="2"/>
        </w:numPr>
        <w:spacing w:after="60" w:line="276"/>
      </w:pPr>
      <w:r>
        <w:rPr>
          <w:rFonts w:ascii="Arial" w:cs="Arial" w:eastAsia="Arial" w:hAnsi="Arial"/>
          <w:color w:val="1F2937"/>
          <w:sz w:val="20"/>
          <w:szCs w:val="20"/>
        </w:rPr>
        <w:t xml:space="preserve">A role without a permission gets 403; a deactivated user is signed out on the next request.</w:t>
      </w:r>
    </w:p>
    <w:p>
      <w:pPr>
        <w:pStyle w:val="ListParagraph"/>
        <w:numPr>
          <w:ilvl w:val="0"/>
          <w:numId w:val="2"/>
        </w:numPr>
        <w:spacing w:after="60" w:line="276"/>
      </w:pPr>
      <w:r>
        <w:rPr>
          <w:rFonts w:ascii="Arial" w:cs="Arial" w:eastAsia="Arial" w:hAnsi="Arial"/>
          <w:color w:val="1F2937"/>
          <w:sz w:val="20"/>
          <w:szCs w:val="20"/>
        </w:rPr>
        <w:t xml:space="preserve">Every sign-in, create and setting change appears in the audit log.</w:t>
      </w:r>
    </w:p>
    <w:p>
      <w:pPr>
        <w:pStyle w:val="ListParagraph"/>
        <w:numPr>
          <w:ilvl w:val="0"/>
          <w:numId w:val="2"/>
        </w:numPr>
        <w:spacing w:after="60" w:line="276"/>
      </w:pPr>
      <w:r>
        <w:rPr>
          <w:rFonts w:ascii="Arial" w:cs="Arial" w:eastAsia="Arial" w:hAnsi="Arial"/>
          <w:color w:val="1F2937"/>
          <w:sz w:val="20"/>
          <w:szCs w:val="20"/>
        </w:rPr>
        <w:t xml:space="preserve">A setting change takes effect without a redeploy.</w:t>
      </w:r>
    </w:p>
    <w:p>
      <w:pPr>
        <w:pStyle w:val="ListParagraph"/>
        <w:numPr>
          <w:ilvl w:val="0"/>
          <w:numId w:val="2"/>
        </w:numPr>
        <w:spacing w:after="60" w:line="276"/>
      </w:pPr>
      <w:r>
        <w:rPr>
          <w:rFonts w:ascii="Arial" w:cs="Arial" w:eastAsia="Arial" w:hAnsi="Arial"/>
          <w:color w:val="1F2937"/>
          <w:sz w:val="20"/>
          <w:szCs w:val="20"/>
        </w:rPr>
        <w:t xml:space="preserve">A merge to main auto-deploys to dev with all gates green.</w:t>
      </w:r>
    </w:p>
    <w:p>
      <w:pPr>
        <w:pStyle w:val="Heading3"/>
      </w:pPr>
      <w:r>
        <w:rPr>
          <w:rFonts w:ascii="Arial" w:cs="Arial" w:eastAsia="Arial" w:hAnsi="Arial"/>
        </w:rPr>
        <w:t xml:space="preserve">Deliberately out of Phase 1</w:t>
      </w:r>
    </w:p>
    <w:p>
      <w:pPr>
        <w:spacing w:after="120" w:line="276"/>
      </w:pPr>
      <w:r>
        <w:rPr>
          <w:rFonts w:ascii="Arial" w:cs="Arial" w:eastAsia="Arial" w:hAnsi="Arial"/>
          <w:color w:val="1F2937"/>
          <w:sz w:val="20"/>
          <w:szCs w:val="20"/>
        </w:rPr>
        <w:t xml:space="preserve">Microsoft / Google SSO, two-factor, OTP and PIN (FR-ADM-06/07) are Better Auth plugins and are switched on in Phase 6. The approval engine and domain screens start in Phase 2. DR and production Terraform come in Phase 7.</w:t>
      </w:r>
    </w:p>
    <w:p>
      <w:pPr>
        <w:pStyle w:val="Heading2"/>
      </w:pPr>
      <w:bookmarkStart w:name="_Toc25" w:id="25"/>
      <w:r>
        <w:rPr>
          <w:rFonts w:ascii="Arial" w:cs="Arial" w:eastAsia="Arial" w:hAnsi="Arial"/>
        </w:rPr>
        <w:t xml:space="preserve">4.3 Phases 2–7: scope and exit gates</w:t>
      </w:r>
      <w:bookmarkEnd w:id="25"/>
    </w:p>
    <w:p>
      <w:pPr>
        <w:pStyle w:val="Heading3"/>
      </w:pPr>
      <w:r>
        <w:rPr>
          <w:rFonts w:ascii="Arial" w:cs="Arial" w:eastAsia="Arial" w:hAnsi="Arial"/>
        </w:rPr>
        <w:t xml:space="preserve">Phase 2: Workflow engine, masters, inventory ledger</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Approval engine with rule admin and inbox (FR-WF-01/02/05, FR-APR-01); item, vendor, customer masters; lot-level stock ledger, FIFO cost layers, FEFO issue plan, transfers, monthly count with approval; Code 39 labels; domain library with property tests.</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Two users approving the same step race safely; the last lot cannot be double-issued; a count variance posts only after approval.</w:t>
      </w:r>
    </w:p>
    <w:p>
      <w:pPr>
        <w:pStyle w:val="Heading3"/>
      </w:pPr>
      <w:r>
        <w:rPr>
          <w:rFonts w:ascii="Arial" w:cs="Arial" w:eastAsia="Arial" w:hAnsi="Arial"/>
        </w:rPr>
        <w:t xml:space="preserve">Phase 3: Procure-to-pay</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Indents (BOM / consumable / capital), POs from indents with value-band approval, vendor onboarding with GSTIN / PAN / bank checks, supplier schedules, GRN with +10% tolerance and QA hold, QA queue for GRN lots, purchase returns and debit notes, cash purchase, RFQ.</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Multi-user hand-off passes: stores raises indent, plant head approves, purchase creates PO, stores posts GRN, QA accepts, stock appears in store.</w:t>
      </w:r>
    </w:p>
    <w:p>
      <w:pPr>
        <w:pStyle w:val="Heading3"/>
      </w:pPr>
      <w:r>
        <w:rPr>
          <w:rFonts w:ascii="Arial" w:cs="Arial" w:eastAsia="Arial" w:hAnsi="Arial"/>
        </w:rPr>
        <w:t xml:space="preserve">Phase 4: Production</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Compound master and batch lifecycle with derived status, weighing, METAL / MOULD / EXTR routes with QA gates, FIFO consumption across batches and metal lots, packing to FG with labels, shift production entry, BOM, MRP to indents, OEE.</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 moulding lot cannot start without a matured, QA-approved batch and a painted insert lot; lot traceability reaches the compound batch and metal lot.</w:t>
      </w:r>
    </w:p>
    <w:p>
      <w:pPr>
        <w:pStyle w:val="Heading3"/>
      </w:pPr>
      <w:r>
        <w:rPr>
          <w:rFonts w:ascii="Arial" w:cs="Arial" w:eastAsia="Arial" w:hAnsi="Arial"/>
        </w:rPr>
        <w:t xml:space="preserve">Phase 5: Order-to-cash, finance and GST</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Sales orders, OEM schedule import (Excel / e-mail), dispatch with FIFO FG picking, invoice with IRN and e-way bill via GSP, inter-unit invoices, challans, scrap sales; chart of accounts, auto-postings, 3-way match, payment runs, AR ageing, period lock, consolidation, GSTR-1 / 3B, GSTR-2B reconciliation, TDS.</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 month can be closed; postings into a closed period are refused; the sandbox GSP returns an IRN for a test invoice; trial balance ties to subledgers.</w:t>
      </w:r>
    </w:p>
    <w:p>
      <w:pPr>
        <w:pStyle w:val="Heading3"/>
      </w:pPr>
      <w:r>
        <w:rPr>
          <w:rFonts w:ascii="Arial" w:cs="Arial" w:eastAsia="Arial" w:hAnsi="Arial"/>
        </w:rPr>
        <w:t xml:space="preserve">Phase 6: Maintenance, HR, kaizen, AI, integrations, reports</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Machine / mould master, PM, breakdowns, spares, fixed assets and depreciation; employees, leave, appraisal, kaizen; AI copilot and OCR agents; WhatsApp approvals, mailbox watcher, ZPL printing, bank file and accounting export; report library; SSO, OTP / PIN and two-factor through Better Auth plugins; delegation.</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All Must requirements demo-able in qa; a copilot answer respects the asker’s permissions; approval by WhatsApp link works once and only once.</w:t>
      </w:r>
    </w:p>
    <w:p>
      <w:pPr>
        <w:pStyle w:val="Heading3"/>
      </w:pPr>
      <w:r>
        <w:rPr>
          <w:rFonts w:ascii="Arial" w:cs="Arial" w:eastAsia="Arial" w:hAnsi="Arial"/>
        </w:rPr>
        <w:t xml:space="preserve">Phase 7: Migration, hardening, UAT, go-live</w:t>
      </w:r>
    </w:p>
    <w:p>
      <w:pPr>
        <w:pStyle w:val="ListParagraph"/>
        <w:numPr>
          <w:ilvl w:val="0"/>
          <w:numId w:val="2"/>
        </w:numPr>
        <w:spacing w:after="60" w:line="276"/>
      </w:pPr>
      <w:r>
        <w:rPr>
          <w:rFonts w:ascii="Arial" w:cs="Arial" w:eastAsia="Arial" w:hAnsi="Arial"/>
          <w:b/>
          <w:bCs/>
          <w:color w:val="1F2937"/>
          <w:sz w:val="20"/>
          <w:szCs w:val="20"/>
        </w:rPr>
        <w:t xml:space="preserve">Scope: </w:t>
      </w:r>
      <w:r>
        <w:rPr>
          <w:rFonts w:ascii="Arial" w:cs="Arial" w:eastAsia="Arial" w:hAnsi="Arial"/>
          <w:color w:val="1F2937"/>
          <w:sz w:val="20"/>
          <w:szCs w:val="20"/>
        </w:rPr>
        <w:t xml:space="preserve">Migration tooling and dry-run loads (masters, open POs / SOs, opening stock by lot, opening AR / AP); performance tests at 150 users; OWASP ZAP and external pen test; DR environment and failover runbook; UAT scripts; user training; cut-over at a month start with one week parallel run; 30-day hyper-care.</w:t>
      </w:r>
    </w:p>
    <w:p>
      <w:pPr>
        <w:pStyle w:val="ListParagraph"/>
        <w:numPr>
          <w:ilvl w:val="0"/>
          <w:numId w:val="2"/>
        </w:numPr>
        <w:spacing w:after="60" w:line="276"/>
      </w:pPr>
      <w:r>
        <w:rPr>
          <w:rFonts w:ascii="Arial" w:cs="Arial" w:eastAsia="Arial" w:hAnsi="Arial"/>
          <w:b/>
          <w:bCs/>
          <w:color w:val="1F2937"/>
          <w:sz w:val="20"/>
          <w:szCs w:val="20"/>
        </w:rPr>
        <w:t xml:space="preserve">Exit gate: </w:t>
      </w:r>
      <w:r>
        <w:rPr>
          <w:rFonts w:ascii="Arial" w:cs="Arial" w:eastAsia="Arial" w:hAnsi="Arial"/>
          <w:color w:val="1F2937"/>
          <w:sz w:val="20"/>
          <w:szCs w:val="20"/>
        </w:rPr>
        <w:t xml:space="preserve">Zero open Sev-1 / Sev-2; opening stock equals ledger and trial balance ties; first month-end closed in heyyERP.</w:t>
      </w:r>
    </w:p>
    <w:p>
      <w:pPr>
        <w:pStyle w:val="Heading2"/>
      </w:pPr>
      <w:bookmarkStart w:name="_Toc26" w:id="26"/>
      <w:r>
        <w:rPr>
          <w:rFonts w:ascii="Arial" w:cs="Arial" w:eastAsia="Arial" w:hAnsi="Arial"/>
        </w:rPr>
        <w:t xml:space="preserve">4.4 Effort by work package</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0"/>
        <w:gridCol w:w="1600"/>
        <w:gridCol w:w="1838"/>
      </w:tblGrid>
      <w:tr>
        <w:trPr>
          <w:tblHeader/>
        </w:trPr>
        <w:tc>
          <w:tcPr>
            <w:tcW w:type="dxa" w:w="6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Work package</w:t>
            </w:r>
          </w:p>
        </w:tc>
        <w:tc>
          <w:tcPr>
            <w:tcW w:type="dxa" w:w="1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Days</w:t>
            </w:r>
          </w:p>
        </w:tc>
        <w:tc>
          <w:tcPr>
            <w:tcW w:type="dxa" w:w="1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Foundation: repo, Azure, CI/CD, auth, RBAC, RLS, audit, settings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Approval engine and admin screens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Inventory (lot ledger, FEFO / FIFO, counts, transfers, labels)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Procurement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Production routes, compound batches, manufacturing</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Quality (queue, NCR / 8D, PPAP, SPC, calibration)</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3–4</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Sales, schedule import, dispatch, portal</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Maintenance and assets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HR and kaizen</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AI copilot, agents, OCR</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Integrations</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Reports and dashboards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PWA, responsive layout, accessibility</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1–6</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Migration tooling and data loads</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25</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automation, performance, security and pen test</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1–7</w:t>
            </w:r>
          </w:p>
        </w:tc>
      </w:tr>
      <w:tr>
        <w:trPr>
          <w:cantSplit/>
        </w:trPr>
        <w:tc>
          <w:tcPr>
            <w:tcW w:type="dxa" w:w="6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support, training, hyper-care</w:t>
            </w:r>
          </w:p>
        </w:tc>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30</w:t>
            </w:r>
          </w:p>
        </w:tc>
        <w:tc>
          <w:tcPr>
            <w:tcW w:type="dxa" w:w="1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r>
      <w:tr>
        <w:trPr>
          <w:cantSplit/>
        </w:trPr>
        <w:tc>
          <w:tcPr>
            <w:tcW w:type="dxa" w:w="6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Subtotal / +15% contingency / total</w:t>
            </w:r>
          </w:p>
        </w:tc>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~660 / ~100 / ~760</w:t>
            </w:r>
          </w:p>
        </w:tc>
        <w:tc>
          <w:tcPr>
            <w:tcW w:type="dxa" w:w="1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
            </w:r>
          </w:p>
        </w:tc>
      </w:tr>
    </w:tbl>
    <w:p>
      <w:pPr>
        <w:spacing w:after="100"/>
      </w:pPr>
    </w:p>
    <w:p>
      <w:pPr>
        <w:pStyle w:val="Heading2"/>
      </w:pPr>
      <w:bookmarkStart w:name="_Toc27" w:id="27"/>
      <w:r>
        <w:rPr>
          <w:rFonts w:ascii="Arial" w:cs="Arial" w:eastAsia="Arial" w:hAnsi="Arial"/>
        </w:rPr>
        <w:t xml:space="preserve">4.5 Team and roles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Role</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Count</w:t>
            </w:r>
          </w:p>
        </w:tc>
        <w:tc>
          <w:tcPr>
            <w:tcW w:type="dxa" w:w="5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Focus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Backend engineers</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2–3</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Domain modules, workflow engine, ledger, integrations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Frontend engineers</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2–3</w:t>
            </w:r>
          </w:p>
        </w:tc>
        <w:tc>
          <w:tcPr>
            <w:tcW w:type="dxa" w:w="5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React screens ported from the prototype, PWA, shop-floor views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DevOps / platform</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CI/CD, observability, DR</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 automation</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5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 suites, API contract tests, concurrency tests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Product owner / functional consultant</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 (part-time)</w:t>
            </w:r>
          </w:p>
        </w:tc>
        <w:tc>
          <w:tcPr>
            <w:tcW w:type="dxa" w:w="5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Owns BRD, V-Rub sheets, UAT scripts</w:t>
            </w:r>
          </w:p>
        </w:tc>
      </w:tr>
    </w:tbl>
    <w:p>
      <w:pPr>
        <w:spacing w:after="100"/>
      </w:pPr>
    </w:p>
    <w:p>
      <w:pPr>
        <w:pStyle w:val="Heading2"/>
      </w:pPr>
      <w:bookmarkStart w:name="_Toc28" w:id="28"/>
      <w:r>
        <w:rPr>
          <w:rFonts w:ascii="Arial" w:cs="Arial" w:eastAsia="Arial" w:hAnsi="Arial"/>
        </w:rPr>
        <w:t xml:space="preserve">4.6 Timeline and day-wise schedule</w:t>
      </w:r>
      <w:bookmarkEnd w:id="28"/>
    </w:p>
    <w:p>
      <w:pPr>
        <w:spacing w:after="120" w:line="276"/>
      </w:pPr>
      <w:r>
        <w:rPr>
          <w:rFonts w:ascii="Arial" w:cs="Arial" w:eastAsia="Arial" w:hAnsi="Arial"/>
          <w:color w:val="1F2937"/>
          <w:sz w:val="20"/>
          <w:szCs w:val="20"/>
        </w:rPr>
        <w:t xml:space="preserve">Assumptions: six-person team, five working days per week, working days numbered from kick-off (Day 1). Each phase ends on a fixed day with a demo against its exit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400"/>
        <w:gridCol w:w="50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Phase</w:t>
            </w:r>
          </w:p>
        </w:tc>
        <w:tc>
          <w:tcPr>
            <w:tcW w:type="dxa" w:w="15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Working days</w:t>
            </w:r>
          </w:p>
        </w:tc>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Weeks</w:t>
            </w:r>
          </w:p>
        </w:tc>
        <w:tc>
          <w:tcPr>
            <w:tcW w:type="dxa" w:w="1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Person-days</w:t>
            </w:r>
          </w:p>
        </w:tc>
        <w:tc>
          <w:tcPr>
            <w:tcW w:type="dxa" w:w="5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Completed on that day</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~45</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15: login, roles, audit and CI/CD live in dev</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16–40</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4–8</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~85</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40: approvals and lot ledger demo; concurrency tests pass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41–60</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9–12</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60: indent → PO → GRN → QA → stock hand-off passes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61–85</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13–17</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~75</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85: batch → mature → QA → mould → pack traceable</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86–115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18–23</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115: test month closed; sandbox IRN issued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116–140</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24–28</w:t>
            </w:r>
          </w:p>
        </w:tc>
        <w:tc>
          <w:tcPr>
            <w:tcW w:type="dxa" w:w="1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~110</w:t>
            </w:r>
          </w:p>
        </w:tc>
        <w:tc>
          <w:tcPr>
            <w:tcW w:type="dxa" w:w="5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140: every Must requirement demo-able in qa</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141–170</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29–34</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~100</w:t>
            </w:r>
          </w:p>
        </w:tc>
        <w:tc>
          <w:tcPr>
            <w:tcW w:type="dxa" w:w="5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Day 170: go-live; hyper-care runs the next 30 calendar days</w:t>
            </w:r>
          </w:p>
        </w:tc>
      </w:tr>
    </w:tbl>
    <w:p>
      <w:pPr>
        <w:spacing w:after="100"/>
      </w:pPr>
    </w:p>
    <w:p>
      <w:pPr>
        <w:spacing w:after="120" w:line="276"/>
      </w:pPr>
      <w:r>
        <w:rPr>
          <w:rFonts w:ascii="Arial" w:cs="Arial" w:eastAsia="Arial" w:hAnsi="Arial"/>
          <w:color w:val="1F2937"/>
          <w:sz w:val="20"/>
          <w:szCs w:val="20"/>
        </w:rPr>
        <w:t xml:space="preserve">The phase view totals about 615 person-days. The remaining effort in the 660 subtotal (accessibility, test automation, performance) is spread across all phases. Day counts are working days; add public holidays and V-Rub’s shutdowns.</w:t>
      </w:r>
    </w:p>
    <w:p>
      <w:pPr>
        <w:pStyle w:val="Heading3"/>
      </w:pPr>
      <w:r>
        <w:rPr>
          <w:rFonts w:ascii="Arial" w:cs="Arial" w:eastAsia="Arial" w:hAnsi="Arial"/>
        </w:rPr>
        <w:t xml:space="preserve">Phase 1 day-by-day (Day 1–15)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300"/>
        <w:gridCol w:w="2200"/>
        <w:gridCol w:w="2038"/>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Day</w:t>
            </w:r>
          </w:p>
        </w:tc>
        <w:tc>
          <w:tcPr>
            <w:tcW w:type="dxa" w:w="2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Backend 1</w:t>
            </w:r>
          </w:p>
        </w:tc>
        <w:tc>
          <w:tcPr>
            <w:tcW w:type="dxa" w:w="23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Backend 2 / DevOps</w:t>
            </w:r>
          </w:p>
        </w:tc>
        <w:tc>
          <w:tcPr>
            <w:tcW w:type="dxa" w:w="22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Frontend</w:t>
            </w:r>
          </w:p>
        </w:tc>
        <w:tc>
          <w:tcPr>
            <w:tcW w:type="dxa" w:w="2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QA</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Repo layout, FastAPI skeleton, Alembic init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Azure subscription, Terraform state, network</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Vite + React + TS project, router</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Test plan; pytest and Playwright setup</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2</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DB base: tenant_id, audit columns, version, money / qty types</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Postgres, Redis, Key Vault</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 shell layout; design tokens from prototype</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CI test jobs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Row-level security policies, tenant context middleware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Container Apps, ACR, Service Bus, Blob</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Login page, nav skeleton</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Fixture loader skeleton</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service scaffold, Postgres adapter, auth schema</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GitHub Actions: lint, type check, tests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client, login form wired</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Fixtures from prototype seed()</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Email / password, Argon2id hasher, cookie config, lockout after 5 failures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OIDC to Azure; deploy-to-dev pipeline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 handling, protected routes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Auth test cases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6</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plugin: deactivate, reset password</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Alembic check, CodeQL, Trivy in PR pipeline</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Role-aware nav from modules</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 login flow</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7</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FastAPI session validation, GET /me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auth service to dev</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and empty states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test harness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8</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Org tables: unit, store, department, role, permission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api + auth + web to dev; smoke tests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users list screen</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 screen sweep skeleton</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9</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Permission guard; seed 12 roles and permission map</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business_setting table and API</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Create / edit user form</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403 matrix generator</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10</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Plant-scope filter in queries</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admin endpoints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and plant pickers; deactivate, reset</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Permission guard tests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Append-only audit_log middleware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Deploy qa environment</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screen</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 tests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12</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Audit hooks for sign-in / sign-out</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App Insights, logs, health checks</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PWA basics: manifest, service worker</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sweep for all 12 roles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13</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Session revocation on deactivation verified</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Secrets in Key Vault; managed identity</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Accessibility pass on shell and forms</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Regression run on qa</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14</w:t>
            </w:r>
          </w:p>
        </w:tc>
        <w:tc>
          <w:tcPr>
            <w:tcW w:type="dxa" w:w="2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Bug fixes from QA run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Runbook and README</w:t>
            </w:r>
          </w:p>
        </w:tc>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Bug fixes</w:t>
            </w:r>
          </w:p>
        </w:tc>
        <w:tc>
          <w:tcPr>
            <w:tcW w:type="dxa" w:w="2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Re-test; gate checklist</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15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 and retrospective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Exit-gate demo</w:t>
            </w:r>
          </w:p>
        </w:tc>
        <w:tc>
          <w:tcPr>
            <w:tcW w:type="dxa" w:w="2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Sign-off; Phase 2 backlog grooming</w:t>
            </w:r>
          </w:p>
        </w:tc>
      </w:tr>
    </w:tbl>
    <w:p>
      <w:pPr>
        <w:spacing w:after="100"/>
      </w:pPr>
    </w:p>
    <w:p>
      <w:pPr>
        <w:spacing w:after="120" w:line="276"/>
      </w:pPr>
      <w:r>
        <w:rPr>
          <w:rFonts w:ascii="Arial" w:cs="Arial" w:eastAsia="Arial" w:hAnsi="Arial"/>
          <w:color w:val="1F2937"/>
          <w:sz w:val="20"/>
          <w:szCs w:val="20"/>
        </w:rPr>
        <w:t xml:space="preserve">Phases 2–7 get the same day-by-day breakdown at the start of each phase, once the previous phase’s actual velocity is known.</w:t>
      </w:r>
    </w:p>
    <w:p>
      <w:pPr>
        <w:pStyle w:val="Heading1"/>
      </w:pPr>
      <w:bookmarkStart w:name="_Toc29" w:id="29"/>
      <w:r>
        <w:rPr>
          <w:rFonts w:ascii="Arial" w:cs="Arial" w:eastAsia="Arial" w:hAnsi="Arial"/>
        </w:rPr>
        <w:t xml:space="preserve">5. Environments, CI/CD and testing</w:t>
      </w:r>
      <w:bookmarkEnd w:id="29"/>
    </w:p>
    <w:p>
      <w:pPr>
        <w:pStyle w:val="Heading2"/>
      </w:pPr>
      <w:bookmarkStart w:name="_Toc30" w:id="30"/>
      <w:r>
        <w:rPr>
          <w:rFonts w:ascii="Arial" w:cs="Arial" w:eastAsia="Arial" w:hAnsi="Arial"/>
        </w:rPr>
        <w:t xml:space="preserve">5.1 Environments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638"/>
      </w:tblGrid>
      <w:tr>
        <w:trPr>
          <w:tblHeader/>
        </w:trPr>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Env</w:t>
            </w:r>
          </w:p>
        </w:tc>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Purpose</w:t>
            </w:r>
          </w:p>
        </w:tc>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Data</w:t>
            </w:r>
          </w:p>
        </w:tc>
        <w:tc>
          <w:tcPr>
            <w:tcW w:type="dxa" w:w="26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Deploy trigger</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Developer integration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fixtures from prototype</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merge to main</w:t>
            </w:r>
          </w:p>
        </w:tc>
      </w:tr>
      <w:tr>
        <w:trPr>
          <w:cantSplit/>
        </w:trPr>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qa</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Automated and manual testing</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Seed + generated volume</w:t>
            </w:r>
          </w:p>
        </w:tc>
        <w:tc>
          <w:tcPr>
            <w:tcW w:type="dxa" w:w="2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Nightly / on demand</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key users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Migrated masters (masked where needed)</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Release candidate tag</w:t>
            </w:r>
          </w:p>
        </w:tc>
      </w:tr>
      <w:tr>
        <w:trPr>
          <w:cantSplit/>
        </w:trPr>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prod</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Live</w:t>
            </w:r>
          </w:p>
        </w:tc>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Live</w:t>
            </w:r>
          </w:p>
        </w:tc>
        <w:tc>
          <w:tcPr>
            <w:tcW w:type="dxa" w:w="2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Manual approval after UAT sign-off</w:t>
            </w:r>
          </w:p>
        </w:tc>
      </w:tr>
      <w:tr>
        <w:trPr>
          <w:cantSplit/>
        </w:trPr>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dr</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Warm standby, South India</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Geo-replica</w:t>
            </w:r>
          </w:p>
        </w:tc>
        <w:tc>
          <w:tcPr>
            <w:tcW w:type="dxa" w:w="26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Terraform; failover runbook</w:t>
            </w:r>
          </w:p>
        </w:tc>
      </w:tr>
    </w:tbl>
    <w:p>
      <w:pPr>
        <w:spacing w:after="100"/>
      </w:pPr>
    </w:p>
    <w:p>
      <w:pPr>
        <w:pStyle w:val="Heading2"/>
      </w:pPr>
      <w:bookmarkStart w:name="_Toc31" w:id="31"/>
      <w:r>
        <w:rPr>
          <w:rFonts w:ascii="Arial" w:cs="Arial" w:eastAsia="Arial" w:hAnsi="Arial"/>
        </w:rPr>
        <w:t xml:space="preserve">5.2 Pipeline</w:t>
      </w:r>
      <w:bookmarkEnd w:id="31"/>
    </w:p>
    <w:p>
      <w:pPr>
        <w:pStyle w:val="ListParagraph"/>
        <w:numPr>
          <w:ilvl w:val="0"/>
          <w:numId w:val="2"/>
        </w:numPr>
        <w:spacing w:after="60" w:line="276"/>
      </w:pPr>
      <w:r>
        <w:rPr>
          <w:rFonts w:ascii="Arial" w:cs="Arial" w:eastAsia="Arial" w:hAnsi="Arial"/>
          <w:color w:val="1F2937"/>
          <w:sz w:val="20"/>
          <w:szCs w:val="20"/>
        </w:rPr>
        <w:t xml:space="preserve">Pull request: ruff, eslint, mypy, tsc, unit tests, Alembic migration check, CodeQL / Semgrep, Trivy.</w:t>
      </w:r>
    </w:p>
    <w:p>
      <w:pPr>
        <w:pStyle w:val="ListParagraph"/>
        <w:numPr>
          <w:ilvl w:val="0"/>
          <w:numId w:val="2"/>
        </w:numPr>
        <w:spacing w:after="60" w:line="276"/>
      </w:pPr>
      <w:r>
        <w:rPr>
          <w:rFonts w:ascii="Arial" w:cs="Arial" w:eastAsia="Arial" w:hAnsi="Arial"/>
          <w:color w:val="1F2937"/>
          <w:sz w:val="20"/>
          <w:szCs w:val="20"/>
        </w:rPr>
        <w:t xml:space="preserve">Merge to main: build and sign images, push to ACR, deploy to dev, run smoke and API contract tests.</w:t>
      </w:r>
    </w:p>
    <w:p>
      <w:pPr>
        <w:pStyle w:val="ListParagraph"/>
        <w:numPr>
          <w:ilvl w:val="0"/>
          <w:numId w:val="2"/>
        </w:numPr>
        <w:spacing w:after="60" w:line="276"/>
      </w:pPr>
      <w:r>
        <w:rPr>
          <w:rFonts w:ascii="Arial" w:cs="Arial" w:eastAsia="Arial" w:hAnsi="Arial"/>
          <w:color w:val="1F2937"/>
          <w:sz w:val="20"/>
          <w:szCs w:val="20"/>
        </w:rPr>
        <w:t xml:space="preserve">Release tag: deploy to qa then uat; run the full Playwright suite including role × screen and multi-user hand-offs.</w:t>
      </w:r>
    </w:p>
    <w:p>
      <w:pPr>
        <w:pStyle w:val="ListParagraph"/>
        <w:numPr>
          <w:ilvl w:val="0"/>
          <w:numId w:val="2"/>
        </w:numPr>
        <w:spacing w:after="60" w:line="276"/>
      </w:pPr>
      <w:r>
        <w:rPr>
          <w:rFonts w:ascii="Arial" w:cs="Arial" w:eastAsia="Arial" w:hAnsi="Arial"/>
          <w:color w:val="1F2937"/>
          <w:sz w:val="20"/>
          <w:szCs w:val="20"/>
        </w:rPr>
        <w:t xml:space="preserve">Production: manual approval, blue / green revision swap, expand-then-contract DB migrations, automatic rollback on failed health checks.</w:t>
      </w:r>
    </w:p>
    <w:p>
      <w:pPr>
        <w:spacing w:after="120" w:line="276"/>
      </w:pPr>
      <w:r>
        <w:rPr>
          <w:rFonts w:ascii="Arial" w:cs="Arial" w:eastAsia="Arial" w:hAnsi="Arial"/>
          <w:color w:val="1F2937"/>
          <w:sz w:val="20"/>
          <w:szCs w:val="20"/>
        </w:rPr>
        <w:t xml:space="preserve">GitHub Actions uses OIDC federation to Azure; no long-lived cloud secrets in CI.</w:t>
      </w:r>
    </w:p>
    <w:p>
      <w:pPr>
        <w:pStyle w:val="Heading2"/>
      </w:pPr>
      <w:bookmarkStart w:name="_Toc32" w:id="32"/>
      <w:r>
        <w:rPr>
          <w:rFonts w:ascii="Arial" w:cs="Arial" w:eastAsia="Arial" w:hAnsi="Arial"/>
        </w:rPr>
        <w:t xml:space="preserve">5.3 Test strategy</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838"/>
      </w:tblGrid>
      <w:tr>
        <w:trPr>
          <w:tblHeader/>
        </w:trPr>
        <w:tc>
          <w:tcPr>
            <w:tcW w:type="dxa" w:w="18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Level</w:t>
            </w:r>
          </w:p>
        </w:tc>
        <w:tc>
          <w:tcPr>
            <w:tcW w:type="dxa" w:w="4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Scope</w:t>
            </w:r>
          </w:p>
        </w:tc>
        <w:tc>
          <w:tcPr>
            <w:tcW w:type="dxa" w:w="38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Tooling</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Unit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FEFO, fifoAlloc, batch status, rule matching, period lock, tolerances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pytest, Hypothesis property tests</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API / contract</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Every endpoint, including 403 for each role lacking the permission</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pytest + schemathesis on OpenAPI</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End-to-end</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Role × screen sweep; hand-offs: indent → PO → GRN → QA → store; batch → mature → QA → mould → pack → dispatch</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Playwright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Concurrency</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Two users approving the same step; two issues on the last lot</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Locust + targeted race tests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Performance</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NFR-02 to NFR-06 at 150 users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k6 / Locust</w:t>
            </w:r>
          </w:p>
        </w:tc>
      </w:tr>
      <w:tr>
        <w:trPr>
          <w:cantSplit/>
        </w:trPr>
        <w:tc>
          <w:tcPr>
            <w:tcW w:type="dxa" w:w="1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Security</w:t>
            </w:r>
          </w:p>
        </w:tc>
        <w:tc>
          <w:tcPr>
            <w:tcW w:type="dxa" w:w="4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OWASP ZAP, dependency and container scans, pen test before go-live</w:t>
            </w:r>
          </w:p>
        </w:tc>
        <w:tc>
          <w:tcPr>
            <w:tcW w:type="dxa" w:w="38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ZAP, Trivy, external tester</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w:t>
            </w:r>
          </w:p>
        </w:tc>
        <w:tc>
          <w:tcPr>
            <w:tcW w:type="dxa" w:w="4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Business scenarios per module signed by key users</w:t>
            </w:r>
          </w:p>
        </w:tc>
        <w:tc>
          <w:tcPr>
            <w:tcW w:type="dxa" w:w="38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scripts</w:t>
            </w:r>
          </w:p>
        </w:tc>
      </w:tr>
    </w:tbl>
    <w:p>
      <w:pPr>
        <w:pStyle w:val="Heading1"/>
      </w:pPr>
      <w:bookmarkStart w:name="_Toc33" w:id="33"/>
      <w:r>
        <w:rPr>
          <w:rFonts w:ascii="Arial" w:cs="Arial" w:eastAsia="Arial" w:hAnsi="Arial"/>
        </w:rPr>
        <w:t xml:space="preserve">6. Data migration and rollout</w:t>
      </w:r>
      <w:bookmarkEnd w:id="33"/>
    </w:p>
    <w:p>
      <w:pPr>
        <w:spacing w:after="120" w:line="276"/>
      </w:pPr>
      <w:r>
        <w:rPr>
          <w:rFonts w:ascii="Arial" w:cs="Arial" w:eastAsia="Arial" w:hAnsi="Arial"/>
          <w:color w:val="1F2937"/>
          <w:sz w:val="20"/>
          <w:szCs w:val="20"/>
        </w:rPr>
        <w:t xml:space="preserve">Go-live is planned 14 weeks after kick-off in the BRD, followed by 30 days of hyper-care. This document recommends re-baselining that date after the Phase 1 velocity is known. Cut-over happens at a month start so opening balances match a closed month in the old books, with a one-week parallel run on stores and dispatch.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38"/>
      </w:tblGrid>
      <w:tr>
        <w:trPr>
          <w:tblHeader/>
        </w:trPr>
        <w:tc>
          <w:tcPr>
            <w:tcW w:type="dxa" w:w="3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Object</w:t>
            </w:r>
          </w:p>
        </w:tc>
        <w:tc>
          <w:tcPr>
            <w:tcW w:type="dxa" w:w="26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Source</w:t>
            </w:r>
          </w:p>
        </w:tc>
        <w:tc>
          <w:tcPr>
            <w:tcW w:type="dxa" w:w="40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Validation</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Units, stores, GSTINs, departments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sheet 1</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Admin review</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Users and roles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sheet 2</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Each user signs in during UAT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Items, HSN, UoM, shelf life, ROP / ROQ</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Current item list</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No duplicate codes; HSN valid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Compounds, recipes, BOMs, routes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Process sheets</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Sample FG costed and approved</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Vendors, customers, price lists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GSTIN and PAN validated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 POs, open SOs, schedules</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Spreadsheets</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Line count and value tie-out</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Opening stock by lot and store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Physical count at cut-over</w:t>
            </w:r>
          </w:p>
        </w:tc>
        <w:tc>
          <w:tcPr>
            <w:tcW w:type="dxa" w:w="40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Count = ledger; value = books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Opening AR / AP, trial balance</w:t>
            </w:r>
          </w:p>
        </w:tc>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Accounting package</w:t>
            </w:r>
          </w:p>
        </w:tc>
        <w:tc>
          <w:tcPr>
            <w:tcW w:type="dxa" w:w="4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TB ties to last closed month</w:t>
            </w:r>
          </w:p>
        </w:tc>
      </w:tr>
    </w:tbl>
    <w:p>
      <w:pPr>
        <w:spacing w:after="100"/>
      </w:pPr>
    </w:p>
    <w:p>
      <w:pPr>
        <w:spacing w:after="120" w:line="276"/>
      </w:pPr>
      <w:r>
        <w:rPr>
          <w:rFonts w:ascii="Arial" w:cs="Arial" w:eastAsia="Arial" w:hAnsi="Arial"/>
          <w:color w:val="1F2937"/>
          <w:sz w:val="20"/>
          <w:szCs w:val="20"/>
        </w:rPr>
        <w:t xml:space="preserve">Loads go through the same API validations as user entry (no direct SQL inserts), with a dry-run report before each load.</w:t>
      </w:r>
    </w:p>
    <w:p>
      <w:pPr>
        <w:pStyle w:val="Heading1"/>
      </w:pPr>
      <w:bookmarkStart w:name="_Toc34" w:id="34"/>
      <w:r>
        <w:rPr>
          <w:rFonts w:ascii="Arial" w:cs="Arial" w:eastAsia="Arial" w:hAnsi="Arial"/>
        </w:rPr>
        <w:t xml:space="preserve">7. Risks and mitigations</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5238"/>
      </w:tblGrid>
      <w:tr>
        <w:trPr>
          <w:tblHeader/>
        </w:trPr>
        <w:tc>
          <w:tcPr>
            <w:tcW w:type="dxa" w:w="34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Risk</w:t>
            </w:r>
          </w:p>
        </w:tc>
        <w:tc>
          <w:tcPr>
            <w:tcW w:type="dxa" w:w="1000"/>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Impact</w:t>
            </w:r>
          </w:p>
        </w:tc>
        <w:tc>
          <w:tcPr>
            <w:tcW w:type="dxa" w:w="5238"/>
            <w:tcBorders>
              <w:top w:val="single" w:color="CBD5E1" w:sz="4"/>
              <w:left w:val="single" w:color="CBD5E1" w:sz="4"/>
              <w:bottom w:val="single" w:color="CBD5E1" w:sz="4"/>
              <w:right w:val="single" w:color="CBD5E1" w:sz="4"/>
            </w:tcBorders>
            <w:shd w:fill="1E3A8A"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Mitigation</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V-Rub has not returned workflow sheets 1–6 and 8; 9 business-rule questions open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Settings and rules are data, so answers change configuration, not code. Escalate to MD / Plant Head with dated deadlines.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GSP not selected; sandbox access delayed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Build against an adapter interface with a mock; select GSP before Phase 5 starts.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Finance and GST is the largest module and least developed in the prototype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Dedicated finance developer; start in Phase 4; early accountant review of postings.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Concurrency defects (negative stock, double approval)</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High</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Row locks, idempotency keys, CHECK constraints, race tests in CI.</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Month-start cut-over slips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UAT exit gate on Sev-1 / Sev-2; rehearse the load twice; agree a fallback month.</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Scope drift from prototype-only pages (go-live, benchmark, integrations)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Treat the BRD as scope; keep these pages out of the build.</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Better Auth (TypeScript) beside a Python API adds a second runtime and a session-sharing design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Keep it a small isolated service; spike session validation in week 1; fall back to FastAPI-native session auth if the spike fails.</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Shop-floor adoption (tablets, scanners, PIN sign-in)</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Medium</w:t>
            </w:r>
          </w:p>
        </w:tc>
        <w:tc>
          <w:tcPr>
            <w:tcW w:type="dxa" w:w="5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20"/>
            </w:pPr>
            <w:r>
              <w:rPr>
                <w:rFonts w:ascii="Arial" w:cs="Arial" w:eastAsia="Arial" w:hAnsi="Arial"/>
                <w:b w:val="false"/>
                <w:bCs w:val="false"/>
                <w:color w:val="1F2937"/>
                <w:sz w:val="18"/>
                <w:szCs w:val="18"/>
              </w:rPr>
              <w:t xml:space="preserve">Early pilot at one plant; PWA with offline tolerance; on-site training.</w:t>
            </w:r>
          </w:p>
        </w:tc>
      </w:tr>
    </w:tbl>
    <w:p>
      <w:pPr>
        <w:pStyle w:val="Heading1"/>
      </w:pPr>
      <w:bookmarkStart w:name="_Toc35" w:id="35"/>
      <w:r>
        <w:rPr>
          <w:rFonts w:ascii="Arial" w:cs="Arial" w:eastAsia="Arial" w:hAnsi="Arial"/>
        </w:rPr>
        <w:t xml:space="preserve">8. Open decisions</w:t>
      </w:r>
      <w:bookmarkEnd w:id="35"/>
    </w:p>
    <w:p>
      <w:pPr>
        <w:pStyle w:val="ListParagraph"/>
        <w:numPr>
          <w:ilvl w:val="0"/>
          <w:numId w:val="2"/>
        </w:numPr>
        <w:spacing w:after="60" w:line="276"/>
      </w:pPr>
      <w:r>
        <w:rPr>
          <w:rFonts w:ascii="Arial" w:cs="Arial" w:eastAsia="Arial" w:hAnsi="Arial"/>
          <w:color w:val="1F2937"/>
          <w:sz w:val="20"/>
          <w:szCs w:val="20"/>
        </w:rPr>
        <w:t xml:space="preserve">Team size and composition (the schedule assumes six people).</w:t>
      </w:r>
    </w:p>
    <w:p>
      <w:pPr>
        <w:pStyle w:val="ListParagraph"/>
        <w:numPr>
          <w:ilvl w:val="0"/>
          <w:numId w:val="2"/>
        </w:numPr>
        <w:spacing w:after="60" w:line="276"/>
      </w:pPr>
      <w:r>
        <w:rPr>
          <w:rFonts w:ascii="Arial" w:cs="Arial" w:eastAsia="Arial" w:hAnsi="Arial"/>
          <w:color w:val="1F2937"/>
          <w:sz w:val="20"/>
          <w:szCs w:val="20"/>
        </w:rPr>
        <w:t xml:space="preserve">Azure subscription and tenant ready before Phase 1 task 1.2.</w:t>
      </w:r>
    </w:p>
    <w:p>
      <w:pPr>
        <w:pStyle w:val="ListParagraph"/>
        <w:numPr>
          <w:ilvl w:val="0"/>
          <w:numId w:val="2"/>
        </w:numPr>
        <w:spacing w:after="60" w:line="276"/>
      </w:pPr>
      <w:r>
        <w:rPr>
          <w:rFonts w:ascii="Arial" w:cs="Arial" w:eastAsia="Arial" w:hAnsi="Arial"/>
          <w:color w:val="1F2937"/>
          <w:sz w:val="20"/>
          <w:szCs w:val="20"/>
        </w:rPr>
        <w:t xml:space="preserve">Confirm Better Auth as a separate TypeScript service beside FastAPI, and validate session sharing in a Phase 1 spike.</w:t>
      </w:r>
    </w:p>
    <w:p>
      <w:pPr>
        <w:pStyle w:val="ListParagraph"/>
        <w:numPr>
          <w:ilvl w:val="0"/>
          <w:numId w:val="2"/>
        </w:numPr>
        <w:spacing w:after="60" w:line="276"/>
      </w:pPr>
      <w:r>
        <w:rPr>
          <w:rFonts w:ascii="Arial" w:cs="Arial" w:eastAsia="Arial" w:hAnsi="Arial"/>
          <w:color w:val="1F2937"/>
          <w:sz w:val="20"/>
          <w:szCs w:val="20"/>
        </w:rPr>
        <w:t xml:space="preserve">Confirm the BRD stack (FastAPI, React, PostgreSQL, Azure) or provide alternatives.</w:t>
      </w:r>
    </w:p>
    <w:p>
      <w:pPr>
        <w:pStyle w:val="ListParagraph"/>
        <w:numPr>
          <w:ilvl w:val="0"/>
          <w:numId w:val="2"/>
        </w:numPr>
        <w:spacing w:after="60" w:line="276"/>
      </w:pPr>
      <w:r>
        <w:rPr>
          <w:rFonts w:ascii="Arial" w:cs="Arial" w:eastAsia="Arial" w:hAnsi="Arial"/>
          <w:color w:val="1F2937"/>
          <w:sz w:val="20"/>
          <w:szCs w:val="20"/>
        </w:rPr>
        <w:t xml:space="preserve">Which platform modules already exist, to reconcile the 14-week client plan with the 28-week product plan.</w:t>
      </w:r>
    </w:p>
    <w:p>
      <w:pPr>
        <w:pStyle w:val="ListParagraph"/>
        <w:numPr>
          <w:ilvl w:val="0"/>
          <w:numId w:val="2"/>
        </w:numPr>
        <w:spacing w:after="60" w:line="276"/>
      </w:pPr>
      <w:r>
        <w:rPr>
          <w:rFonts w:ascii="Arial" w:cs="Arial" w:eastAsia="Arial" w:hAnsi="Arial"/>
          <w:color w:val="1F2937"/>
          <w:sz w:val="20"/>
          <w:szCs w:val="20"/>
        </w:rPr>
        <w:t xml:space="preserve">Select the GSP for e-invoice and e-way bill; V-Rub to hold the contract.</w:t>
      </w:r>
    </w:p>
    <w:p>
      <w:pPr>
        <w:pStyle w:val="ListParagraph"/>
        <w:numPr>
          <w:ilvl w:val="0"/>
          <w:numId w:val="2"/>
        </w:numPr>
        <w:spacing w:after="60" w:line="276"/>
      </w:pPr>
      <w:r>
        <w:rPr>
          <w:rFonts w:ascii="Arial" w:cs="Arial" w:eastAsia="Arial" w:hAnsi="Arial"/>
          <w:color w:val="1F2937"/>
          <w:sz w:val="20"/>
          <w:szCs w:val="20"/>
        </w:rPr>
        <w:t xml:space="preserve">Whether the existing accounting package stays as books of record (drives FR-FIN-08).</w:t>
      </w:r>
    </w:p>
    <w:p>
      <w:pPr>
        <w:pStyle w:val="ListParagraph"/>
        <w:numPr>
          <w:ilvl w:val="0"/>
          <w:numId w:val="2"/>
        </w:numPr>
        <w:spacing w:after="60" w:line="276"/>
      </w:pPr>
      <w:r>
        <w:rPr>
          <w:rFonts w:ascii="Arial" w:cs="Arial" w:eastAsia="Arial" w:hAnsi="Arial"/>
          <w:color w:val="1F2937"/>
          <w:sz w:val="20"/>
          <w:szCs w:val="20"/>
        </w:rPr>
        <w:t xml:space="preserve">Replace the default approval matrix with V-Rub’s sheet 3; decide cash purchase limit, minimum quotes and margin needing MD approval.</w:t>
      </w:r>
    </w:p>
    <w:p>
      <w:pPr>
        <w:pStyle w:val="ListParagraph"/>
        <w:numPr>
          <w:ilvl w:val="0"/>
          <w:numId w:val="2"/>
        </w:numPr>
        <w:spacing w:after="60" w:line="276"/>
      </w:pPr>
      <w:r>
        <w:rPr>
          <w:rFonts w:ascii="Arial" w:cs="Arial" w:eastAsia="Arial" w:hAnsi="Arial"/>
          <w:color w:val="1F2937"/>
          <w:sz w:val="20"/>
          <w:szCs w:val="20"/>
        </w:rPr>
        <w:t xml:space="preserve">Confirm real GSTINs, plant names and the store list.</w:t>
      </w:r>
    </w:p>
    <w:p>
      <w:pPr>
        <w:pStyle w:val="ListParagraph"/>
        <w:numPr>
          <w:ilvl w:val="0"/>
          <w:numId w:val="2"/>
        </w:numPr>
        <w:spacing w:after="60" w:line="276"/>
      </w:pPr>
      <w:r>
        <w:rPr>
          <w:rFonts w:ascii="Arial" w:cs="Arial" w:eastAsia="Arial" w:hAnsi="Arial"/>
          <w:color w:val="1F2937"/>
          <w:sz w:val="20"/>
          <w:szCs w:val="20"/>
        </w:rPr>
        <w:t xml:space="preserve">Number of login accounts at go-live (billing basis).</w:t>
      </w:r>
    </w:p>
    <w:p>
      <w:r>
        <w:br w:type="page"/>
      </w:r>
    </w:p>
    <w:p>
      <w:pPr>
        <w:pStyle w:val="Heading1"/>
      </w:pPr>
      <w:r>
        <w:rPr>
          <w:color w:val="000000"/>
        </w:rPr>
        <w:t>9. Project modules and delivery sequence</w:t>
      </w:r>
    </w:p>
    <w:p>
      <w:r>
        <w:t>The product has 11 business modules in the BRD. The prototype breaks some of them into separate navigable areas, and the production architecture uses 12 domain packages so workflow, administration and AI have clear ownership. The map below makes those counts explicit and assigns each package to a delivery phase.</w:t>
      </w:r>
    </w:p>
    <w:tbl>
      <w:tblPr>
        <w:tblW w:type="auto" w:w="0"/>
        <w:jc w:val="center"/>
        <w:tblLayout w:type="fixed"/>
        <w:tblLook w:firstColumn="1" w:firstRow="1" w:lastColumn="0" w:lastRow="0" w:noHBand="0" w:noVBand="1" w:val="04A0"/>
      </w:tblPr>
      <w:tblGrid>
        <w:gridCol w:w="2232"/>
        <w:gridCol w:w="6408"/>
        <w:gridCol w:w="936"/>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Business module / domain package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Primary responsibility</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Delivery phase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Sales and dispatch / sales</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Customers, price lists, OEM schedules, sales orders, quotations, dispatch, invoices, challans, scrap sales and customer portal.</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5</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Procurement / procurement</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Vendor onboarding, indents, purchase orders, schedules, GRNs, returns, supplier bills and three-way match.</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3</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Inventory and stores / inventory</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Items, lots, stores, stock ledger, FEFO issues, FIFO cost layers, counts, transfers, reorder and labels.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2; extended in 3-4</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Production routes / production</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METAL, MOULD and EXTR routes, stages, WIP lots, movements and traceability.</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Manufacturing / production</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Compound recipes and batches, weighing, maturation, BOM, MRP, work orders, shift entries and packing.</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4</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Quality / quality</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Incoming and in-process inspections, QA queue, NCR/8D, PPAP, SPC and calibration.</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3-4</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Maintenance / maintenance</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Machines, moulds, PM, breakdowns, spares, fixed assets and depreciation.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6</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Finance and accounts / finance</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Chart of accounts, journals, AP/AR, supplier bills, payments, reconciliation, periods and consolidation.</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5</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GST / gst</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GST return data, e-invoice, IRN, e-way bill, GSTR-2B and TDS.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5</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HR and kaizen / hr</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Employees, leave, attendance, appraisals, kaizen and (phase 2) payroll/recruitment.</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6</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Approvals / workflow</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Rule-based approvals, steps, SLA, delegation, decisions and approval audit trail.</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2</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Administration and security / admin</w:t>
            </w:r>
          </w:p>
        </w:tc>
        <w:tc>
          <w:tcPr>
            <w:tcW w:type="dxa" w:w="640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Tenants, plants, users, roles, permissions, settings, audit and configuration.</w:t>
            </w:r>
          </w:p>
        </w:tc>
        <w:tc>
          <w:tcPr>
            <w:tcW w:type="dxa" w:w="93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1-2</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AI / ai</w:t>
            </w:r>
          </w:p>
        </w:tc>
        <w:tc>
          <w:tcPr>
            <w:tcW w:type="dxa" w:w="64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Permission-scoped copilot, reorder/supplier agents and OCR orchestration.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6</w:t>
            </w:r>
          </w:p>
        </w:tc>
      </w:tr>
    </w:tbl>
    <w:p>
      <w:pPr>
        <w:spacing w:after="40"/>
      </w:pPr>
    </w:p>
    <w:p>
      <w:r>
        <w:t>Reports and dashboards are cross-module capabilities delivered incrementally in every phase, with the shared report library completed in Phase 6. The phase numbers follow the delivery plan below; final sequencing depends on V-Rub decisions and data readiness.</w:t>
      </w:r>
    </w:p>
    <w:p>
      <w:pPr>
        <w:pStyle w:val="Heading1"/>
      </w:pPr>
      <w:r>
        <w:rPr>
          <w:color w:val="000000"/>
        </w:rPr>
        <w:t>10. Phase plan and backend handoff</w:t>
      </w:r>
    </w:p>
    <w:p>
      <w:r>
        <w:t>The normalized schema is the first backend design gate. Before implementation, the team should review the entity definitions, keys, constraints and unresolved choices with V-Rub, then baseline PostgreSQL migrations. API services should follow those approved domain boundaries.</w:t>
      </w:r>
    </w:p>
    <w:tbl>
      <w:tblPr>
        <w:tblW w:type="auto" w:w="0"/>
        <w:jc w:val="center"/>
        <w:tblLayout w:type="fixed"/>
        <w:tblLook w:firstColumn="1" w:firstRow="1" w:lastColumn="0" w:lastRow="0" w:noHBand="0" w:noVBand="1" w:val="04A0"/>
      </w:tblPr>
      <w:tblGrid>
        <w:gridCol w:w="1944"/>
        <w:gridCol w:w="3888"/>
        <w:gridCol w:w="3816"/>
        <w:gridCol w:w="1296"/>
      </w:tblGrid>
      <w:tr>
        <w:trPr>
          <w:tblHeader w:val="true"/>
        </w:trPr>
        <w:tc>
          <w:tcPr>
            <w:tcW w:type="dxa" w:w="245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Phase</w:t>
            </w:r>
          </w:p>
        </w:tc>
        <w:tc>
          <w:tcPr>
            <w:tcW w:type="dxa" w:w="245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Scope and modules</w:t>
            </w:r>
          </w:p>
        </w:tc>
        <w:tc>
          <w:tcPr>
            <w:tcW w:type="dxa" w:w="245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Key exit result</w:t>
            </w:r>
          </w:p>
        </w:tc>
        <w:tc>
          <w:tcPr>
            <w:tcW w:type="dxa" w:w="2458"/>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Indicative elapsed window</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Platform foundation</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Azure environments, monorepo, auth, tenant/unit structure, RBAC, audit, settings, CI/CD, React shell.</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Secure authenticated shell; each endpoint has server-side authorization and plant scope; migrations and deployment pipeline work.</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1-3</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2. Schema baseline, workflow and inventory</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Approved core schema, org/master foundations, approval engine, item/lot ledger, cost layers, FEFO/FIFO, counts, transfers.</w:t>
            </w:r>
          </w:p>
        </w:tc>
        <w:tc>
          <w:tcPr>
            <w:tcW w:type="dxa" w:w="381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 and stock posting are transactional; no negative stock; movement records are auditable and idempotent.</w:t>
            </w:r>
          </w:p>
        </w:tc>
        <w:tc>
          <w:tcPr>
            <w:tcW w:type="dxa" w:w="129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4-8</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3. Procure-to-pay and incoming quality</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Procurement, vendors, indents, POs, supplier schedules, GRN, returns, bill-match input, incoming QA.</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Indent to approved PO to GRN to QA to available stock works end-to-end.</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9-12</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4. Production and quality</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Production routes, compounds, batches, weighing, maturation, QA gates, BOM/MRP, work orders, shifts, packing and traceability.</w:t>
            </w:r>
          </w:p>
        </w:tc>
        <w:tc>
          <w:tcPr>
            <w:tcW w:type="dxa" w:w="381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Compound and metal lot requirements are enforced; finished goods remain traceable back to input lots.</w:t>
            </w:r>
          </w:p>
        </w:tc>
        <w:tc>
          <w:tcPr>
            <w:tcW w:type="dxa" w:w="129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13-17</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5. Order-to-cash, finance and GST</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Sales, OEM schedule import, dispatch, invoicing, finance postings, AP/AR, period locks, GST/GSP.</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Schedule through dispatch and invoice completes; financial posting and period controls reconcile.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18-23</w:t>
            </w:r>
          </w:p>
        </w:tc>
      </w:tr>
      <w:tr>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6. Supporting modules, AI and integrations</w:t>
            </w:r>
          </w:p>
        </w:tc>
        <w:tc>
          <w:tcPr>
            <w:tcW w:type="dxa" w:w="38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Maintenance, HR, kaizen, reports, copilot/agents, OCR, mailbox, WhatsApp, bank export and printer adapters.</w:t>
            </w:r>
          </w:p>
        </w:tc>
        <w:tc>
          <w:tcPr>
            <w:tcW w:type="dxa" w:w="381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Remaining must-have screens and selected integrations demo in QA; AI access respects user permissions.</w:t>
            </w:r>
          </w:p>
        </w:tc>
        <w:tc>
          <w:tcPr>
            <w:tcW w:type="dxa" w:w="129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24-28</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7. Migration, hardening and launch</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Master/opening balance loads, migration dry runs, security/performance tests, UAT, training, cutover and hypercare.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V-Rub sign-off, reconciled opening data, stable production release and 30-day hypercare.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Weeks 29-34 + 30 days</w:t>
            </w:r>
          </w:p>
        </w:tc>
      </w:tr>
    </w:tbl>
    <w:p>
      <w:pPr>
        <w:spacing w:after="40"/>
      </w:pPr>
    </w:p>
    <w:p>
      <w:r>
        <w:t>The BRD targets go-live at week 14, while the module scope and engineering estimate in the existing plan point to roughly 28-34 weeks depending on team size and overlap. Re-baseline the date after discovery, capacity confirmation, and the dependency on V-Rub master data and approval sheets.</w:t>
      </w:r>
    </w:p>
    <w:p>
      <w:pPr>
        <w:pStyle w:val="Heading2"/>
      </w:pPr>
      <w:r>
        <w:rPr>
          <w:color w:val="000000"/>
        </w:rPr>
        <w:t>10.1 Backend implementation order after schema approval</w:t>
      </w:r>
    </w:p>
    <w:p>
      <w:r>
        <w:t>Create the base PostgreSQL migration and enforce tenant_id, unit_id where relevant, audit columns, versioning, foreign keys, unique constraints and row-level security.</w:t>
      </w:r>
    </w:p>
    <w:p>
      <w:r>
        <w:t>Implement org/security and settings services; seed roles and permissions; enforce authorization and unit scope in every API.</w:t>
      </w:r>
    </w:p>
    <w:p>
      <w:r>
        <w:t>Implement workflow adapters and transactional approval decisions.</w:t>
      </w:r>
    </w:p>
    <w:p>
      <w:r>
        <w:t>Implement item, lot and immutable stock-ledger services, then FEFO plans, FIFO costing, transfers and counts.</w:t>
      </w:r>
    </w:p>
    <w:p>
      <w:r>
        <w:t>Add procurement and incoming QA, then production/quality/traceability, followed by sales/dispatch and finance/GST.</w:t>
      </w:r>
    </w:p>
    <w:p>
      <w:r>
        <w:t>Add worker-based integrations and AI after the core data access and permission contracts exist.</w:t>
      </w:r>
    </w:p>
    <w:p>
      <w:pPr>
        <w:pStyle w:val="Heading1"/>
      </w:pPr>
      <w:r>
        <w:rPr>
          <w:color w:val="000000"/>
        </w:rPr>
        <w:t>11. Normalization and relational design rules</w:t>
      </w:r>
    </w:p>
    <w:p>
      <w:r>
        <w:t>The schema separates stable master data from transactional documents and repeating line items. This follows practical 3NF principles: each fact is stored once in the table that owns it, repeated values become child rows, and derived balances/statuses are computed or materialized from their source records. JSONB is reserved for genuinely variable payloads such as imported source rows or inspection parameters; it is not used to hide core relationships.</w:t>
      </w:r>
    </w:p>
    <w:tbl>
      <w:tblPr>
        <w:tblW w:type="auto" w:w="0"/>
        <w:jc w:val="center"/>
        <w:tblLayout w:type="fixed"/>
        <w:tblLook w:firstColumn="1" w:firstRow="1" w:lastColumn="0" w:lastRow="0" w:noHBand="0" w:noVBand="1" w:val="04A0"/>
      </w:tblPr>
      <w:tblGrid>
        <w:gridCol w:w="2088"/>
        <w:gridCol w:w="8856"/>
      </w:tblGrid>
      <w:tr>
        <w:trPr>
          <w:tblHeader w:val="true"/>
        </w:trPr>
        <w:tc>
          <w:tcPr>
            <w:tcW w:type="dxa" w:w="491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6"/>
              </w:rPr>
              <w:t>Design concern</w:t>
            </w:r>
          </w:p>
        </w:tc>
        <w:tc>
          <w:tcPr>
            <w:tcW w:type="dxa" w:w="491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6"/>
              </w:rPr>
              <w:t>Normalized rule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Document headers and lines</w:t>
            </w:r>
          </w:p>
        </w:tc>
        <w:tc>
          <w:tcPr>
            <w:tcW w:type="dxa" w:w="88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Every document has a header row and separate line rows; line number is unique within its parent. Schedule rows, recipe lines, BOM lines and approval steps are child tables.</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Units and stores</w:t>
            </w:r>
          </w:p>
        </w:tc>
        <w:tc>
          <w:tcPr>
            <w:tcW w:type="dxa" w:w="88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A unit/plant owns stores and GSTIN; stock locations reference store_id. Plant scope comes through unit_id rather than duplicated plant names.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Users and access</w:t>
            </w:r>
          </w:p>
        </w:tc>
        <w:tc>
          <w:tcPr>
            <w:tcW w:type="dxa" w:w="88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Users, roles and permissions are separate. Many-to-many access uses role_permission, role_module and user/unit scope relation tables, not comma-separated lists.</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Stock and valuation</w:t>
            </w:r>
          </w:p>
        </w:tc>
        <w:tc>
          <w:tcPr>
            <w:tcW w:type="dxa" w:w="88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stock_ledger is append-only; on-hand is derived or held in a transactionally maintained balance projection. cost_layer captures receipt cost consumption; do not overwrite historical movements.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Batch/route lifecycle</w:t>
            </w:r>
          </w:p>
        </w:tc>
        <w:tc>
          <w:tcPr>
            <w:tcW w:type="dxa" w:w="88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Route templates/stages are separate from production lots/movements. Compound status is derived from times, QA outcome, and remaining quantity.</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Generic approvals</w:t>
            </w:r>
          </w:p>
        </w:tc>
        <w:tc>
          <w:tcPr>
            <w:tcW w:type="dxa" w:w="88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Approval instance/action rows reference document type and document id, with a typed adapter enforcing existence and final effects. Pin the matched rule/version and resolved steps at submission.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Traceability</w:t>
            </w:r>
          </w:p>
        </w:tc>
        <w:tc>
          <w:tcPr>
            <w:tcW w:type="dxa" w:w="88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lot_consumption and dispatch/invoice links form explicit many-to-many lineage; avoid storing a single source lot on a production lot.</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Tenant safety</w:t>
            </w:r>
          </w:p>
        </w:tc>
        <w:tc>
          <w:tcPr>
            <w:tcW w:type="dxa" w:w="88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Every tenant-owned row includes tenant_id; composite foreign keys include tenant_id where practical so a row cannot link across tenants.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Money and quantity</w:t>
            </w:r>
          </w:p>
        </w:tc>
        <w:tc>
          <w:tcPr>
            <w:tcW w:type="dxa" w:w="88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Use NUMERIC(18,2) for money and NUMERIC(18,3) for quantities; store currency/unit of measure references where multiple values are possible.</w:t>
            </w:r>
          </w:p>
        </w:tc>
      </w:tr>
      <w:tr>
        <w:tc>
          <w:tcPr>
            <w:tcW w:type="dxa" w:w="208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Audit/concurrency</w:t>
            </w:r>
          </w:p>
        </w:tc>
        <w:tc>
          <w:tcPr>
            <w:tcW w:type="dxa" w:w="885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created_at/by, updated_at/by and version are standard; audit_log and stock_ledger are append-only; writes use row locks/idempotency keys where specified.</w:t>
            </w:r>
          </w:p>
        </w:tc>
      </w:tr>
    </w:tbl>
    <w:p>
      <w:pPr>
        <w:spacing w:after="40"/>
      </w:pPr>
    </w:p>
    <w:p>
      <w:pPr>
        <w:pStyle w:val="Heading1"/>
      </w:pPr>
      <w:r>
        <w:rPr>
          <w:color w:val="000000"/>
        </w:rPr>
        <w:t>12. Normalized schema catalogue</w:t>
      </w:r>
    </w:p>
    <w:p>
      <w:r>
        <w:t>Notation: PK = primary key; FK = foreign key; UQ = unique constraint. Unless a table is explicitly global, every table is tenant-scoped. Plant-owned transactional and stock records also carry unit_id. Use UUID primary keys internally and retain human-readable document numbers as unique business keys scoped to tenant and document type.</w:t>
      </w:r>
    </w:p>
    <w:p>
      <w:pPr>
        <w:pStyle w:val="Heading2"/>
      </w:pPr>
      <w:r>
        <w:rPr>
          <w:color w:val="000000"/>
        </w:rPr>
        <w:t>Organization and access</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tenant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tenant_id; name; status; created_at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Root customer tenant.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unit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unit_id; FK tenant_id; name; gstin; state_code; UQ(tenant_id,gstin)</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Plant/legal GST registration; demo GSTINs must be replaced.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store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store_id; FK tenant_id,unit_id; code; name; store_type; active; UQ(unit_id,code)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Store belongs to one unit.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department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department_id; FK tenant_id,unit_id nullable; code; name; parent_department_id nullable FK department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Department hierarchy and approver resolution.</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app_user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user_id; FK tenant_id; auth_subject; role_id FK role; department_id FK department; status; UQ(tenant_id,auth_subject)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ERP profile mapped to authentication identity.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user_unit_scope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PK(user_id,unit_id); FKs app_user,unit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Many-to-many allowed plant scope; replaces array field.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role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role_id; FK tenant_id; code; name; is_system; active; UQ(tenant_id,code)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Standard/custom role.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permission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permission_id; code; description; UQ(code)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Permission catalogue.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role_permission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PK(role_id,permission_id); FKs role,permission</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Role-to-permission many-to-many.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role_module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PK(role_id,module_code); FK role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Role-to-module access mapping.</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business_setting</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setting_id; FK tenant_id; key; value_json; effective_from/to; UQ(tenant_id,key,effective_from)</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Versioned configurable business rule.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audit_log</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audit_id; FK tenant_id; actor_user_id FK nullable; action; entity_type/id; occurred_at; details_json</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Append-only; no update/delete for application role.</w:t>
            </w:r>
          </w:p>
        </w:tc>
      </w:tr>
    </w:tbl>
    <w:p>
      <w:pPr>
        <w:spacing w:after="40"/>
      </w:pPr>
    </w:p>
    <w:p>
      <w:pPr>
        <w:pStyle w:val="Heading2"/>
      </w:pPr>
      <w:r>
        <w:rPr>
          <w:color w:val="000000"/>
        </w:rPr>
        <w:t>Workflow and approvals</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approval_rule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rule_id; FK tenant_id; document_type; amount_min/max; active_from/to; priority; sla_policy_id FK; version</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Effective-dated rule; define inclusive/exclusive band boundaries explicitly.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approval_rule_step</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rule_step_id; FK rule_id; sequence_no; approver_kind; role_id/dept resolver; UQ(rule_id,sequence_no)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Ordered rule steps.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approval_instance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approval_id; FK tenant_id; rule_id FK; document_type; document_id; status; current_step; route_snapshot_json; version; UQ(document_type,document_id)</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One instance per approvable document; generic document ref validated by adapter.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approval_action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approval_action_id; FK approval_id,actor_user_id; step_no; decision; note; acting_as_role; override; decided_at; idempotency_key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Append-only decision history; unique per approval/step final decision.</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approval_delegation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delegation_id; FK tenant_id,from_user_id,to_user_id; role_id; valid_from/to; active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Date-bounded delegated approvals.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sla_policy</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sla_policy_id; FK tenant_id; name; hours; reminder/escalation configuration</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Separate SLA/reminder policy for maintainable routing.</w:t>
            </w:r>
          </w:p>
        </w:tc>
      </w:tr>
    </w:tbl>
    <w:p>
      <w:pPr>
        <w:spacing w:after="40"/>
      </w:pPr>
    </w:p>
    <w:p>
      <w:pPr>
        <w:pStyle w:val="Heading2"/>
      </w:pPr>
      <w:r>
        <w:rPr>
          <w:color w:val="000000"/>
        </w:rPr>
        <w:t>Items, lots and inventory</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uom</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uom_id; code; name; precision; UQ(code)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Controlled units of measure.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item_category</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category_id; FK tenant_id; parent_id FK nullable; code; name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Category hierarchy.</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item</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item_id; FK tenant_id,category_id,uom_id; code; name; item_type; hsn; shelf_life_days; rop; roq; active; UQ(tenant_id,code)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Item master; rate/pricing split to cost or price records.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item_unit_policy</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PK(item_id,unit_id); FKs item,unit; default_store_id FK; min/max settings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Unit-specific stocking policy.</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lot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lot_id; FK tenant_id,item_id,store_id,unit_id; lot_no; received_at; expiry_at; status; UQ(item_id,store_id,lot_no)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Lot identity and QA/availability state.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stock_ledger</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ledger_id; FK tenant_id,item_id,lot_id,store_id,unit_id; qty_delta; ref_type/id; occurred_at; idempotency_key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Immutable source of stock balance.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cost_layer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cost_layer_id; FK tenant_id,item_id,lot_id; received_qty; remaining_qty; unit_cost; receipt_ref</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FIFO valuation layers.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cost_layer_consumption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consumption_id; FK cost_layer_id,stock_ledger_id; qty; value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Maps issue movements to consumed cost layers.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stock_count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count_id; FK tenant_id,unit_id,store_id; count_no; status; started_at; submitted_by</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Monthly count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stock_count_line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count_line_id; FK count_id,item_id,lot_id; system_qty; counted_qty; variance; UQ(count_id,lot_id)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Count detail; variance approval via workflow.</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stock_transfer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transfer_id; FK tenant_id,from_store_id,to_store_id; transfer_no; status; dispatched_at/received_at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Header for inter-store/unit transfer.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stock_transfer_line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transfer_line_id; FK transfer_id,item_id,lot_id; 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Transfer details; inter-unit invoicing linked separately.</w:t>
            </w:r>
          </w:p>
        </w:tc>
      </w:tr>
    </w:tbl>
    <w:p>
      <w:pPr>
        <w:spacing w:after="40"/>
      </w:pPr>
    </w:p>
    <w:p>
      <w:pPr>
        <w:pStyle w:val="Heading2"/>
      </w:pPr>
      <w:r>
        <w:rPr>
          <w:color w:val="000000"/>
        </w:rPr>
        <w:t>Procurement and payables</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vendor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vendor_id; FK tenant_id; code; name; gstin; pan; msme_status; payment_term_id FK; status; UQ(tenant_id,code)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Vendor master; sensitive values encrypted as required.</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vendor_rating</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rating_id; FK vendor_id; period; quality_score; delivery_score; price_score; UQ(vendor_id,period)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Periodic evaluation instead of overwriting history.</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indent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indent_id; FK tenant_id,unit_id,department_id,requester_id; indent_no; type; status; needed_by; UQ(tenant_id,indent_no)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Purchase request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indent_line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indent_line_id; FK indent_id,item_id; qty; purpose; capital_description/value nullable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Repeated requested items.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purchase_order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po_id; FK tenant_id,unit_id,vendor_id,created_by; po_no; status; currency; terms; UQ(tenant_id,po_no)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po_indent_link</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PK(po_id,indent_id); FKs purchase_order,indent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 may combine approved indents.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po_line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po_line_id; FK po_id,item_id; line_no; qty; unit_price; tax_code; UQ(po_id,line_no)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 items and price.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po_schedule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po_schedule_id; FK po_line_id; due_date; qty; received_qty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Delivery schedule per PO line.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grn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grn_id; FK tenant_id,unit_id,po_id,posted_by; grn_no; supplier_dc_no; status; received_at; UQ(tenant_id,grn_no)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Goods receipt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grn_line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grn_line_id; FK grn_id,po_line_id,item_id,store_id,lot_id; received_qty; accepted_qty; rejected_qty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Receipt creates lot in QA hold; accepted qty becomes available.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purchase_return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return_id; FK tenant_id,grn_id,vendor_id; return_no; status; debit_note_no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Return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purchase_return_line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return_line_id; FK return_id,grn_line_id,lot_id; qty; reason</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Return detail.</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supplier_bill</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bill_id; FK tenant_id,vendor_id,unit_id; invoice_no; invoice_date; taxable_amount; tax_amount; status; UQ(vendor_id,invoice_no)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Supplier invoice.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bill_match</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bill_match_id; FK bill_id,po_line_id,grn_line_id; billed_qty/rate; variance; exception_status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Three-way match detail and exception routing.</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cash_purchase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cash_purchase_id; FK tenant_id,unit_id,store_id,created_by; voucher_no; amount; bill_ref;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Cash purchase with configurable limit behavior.</w:t>
            </w:r>
          </w:p>
        </w:tc>
      </w:tr>
    </w:tbl>
    <w:p>
      <w:pPr>
        <w:spacing w:after="40"/>
      </w:pPr>
    </w:p>
    <w:p>
      <w:pPr>
        <w:pStyle w:val="Heading2"/>
      </w:pPr>
      <w:r>
        <w:rPr>
          <w:color w:val="000000"/>
        </w:rPr>
        <w:t>Sales and dispatch</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customer_id; FK tenant_id; code; name; gstin; payment_term_id FK; credit_limit; active; UQ(tenant_id,code)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 master.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customer_part_xref</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xref_id; FK customer_id,item_id; customer_part_no; UQ(customer_id,customer_part_no)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OEM/customer part number mapping.</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price_list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price_list_id; FK tenant_id,customer_id; valid_from/to; currency;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Effective dated customer prices.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price_list_line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price_line_id; FK price_list_id,item_id; unit_price; UQ(price_list_id,item_id)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Price per part.</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sales_order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so_id; FK tenant_id,unit_id,customer_id; so_no; customer_po; status; order_date; UQ(tenant_id,so_no)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Sales order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so_line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so_line_id; FK so_id,item_id; line_no; qty; unit_price; tax_code; UQ(so_id,line_no)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Order lines.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so_schedule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so_schedule_id; FK so_line_id; due_date; qty; source_import_id FK nullable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 delivery schedule.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schedule_import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import_id; FK tenant_id,uploaded_by; source_file_id; status; parsed_payload; created_at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Import batch and preview state; raw rows retained with provenance.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dispatch</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dispatch_id; FK tenant_id,unit_id,so_id; dispatch_no; status; dispatched_at; UQ(tenant_id,dispatch_no)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Dispatch header.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dispatch_line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dispatch_line_id; FK dispatch_id,so_line_id,lot_id; 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FG lot allocation by dispatch.</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customer_invoice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invoice_id; FK tenant_id,unit_id,customer_id,dispatch_id; invoice_no; issue_date; totals; irn; ewb_no; status; UQ(tenant_id,invoice_no)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Customer tax invoice; GSP refs and state.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invoice_line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invoice_line_id; FK invoice_id,so_line_id,item_id; qty; unit_price; tax amounts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Invoice detail.</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challan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challan_id; FK tenant_id,unit_id,customer_id; challan_no; type; due_back;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Returnable, non-returnable, FOC, job-work challan.</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challan_line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challan_line_id; FK challan_id,item_id,lot_id nullable; qty; returned_qty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Challan items and due-back tracking.</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scrap_sale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scrap_sale_id; FK tenant_id,unit_id,customer_id nullable; sale_no; status; amount; approval_id nullable FK</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Scrap/asset sale header and approval.</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inter_unit_invoice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inter_unit_invoice_id; FK tenant_id,from_unit_id,to_unit_id,transfer_id; invoice_no; irn; ewb_no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Tax documents for cross-GSTIN movement.</w:t>
            </w:r>
          </w:p>
        </w:tc>
      </w:tr>
    </w:tbl>
    <w:p>
      <w:pPr>
        <w:spacing w:after="40"/>
      </w:pPr>
    </w:p>
    <w:p>
      <w:pPr>
        <w:pStyle w:val="Heading2"/>
      </w:pPr>
      <w:r>
        <w:rPr>
          <w:color w:val="000000"/>
        </w:rPr>
        <w:t>Production and manufacturing</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4"/>
              </w:rP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compound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compound_id; FK tenant_id; code; name; lane; mature_hours; max_hours; hardness_min/max; UQ(tenant_id,code)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Compound specification.</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compound_recipe_line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recipe_line_id; FK compound_id,item_id; phr; line_no; UQ(compound_id,item_id)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Recipe ingredients and quantities.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compound_batch</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batch_id; FK tenant_id,unit_id,compound_id; batch_no; mixed_at; total_kg; qa_status; hardness; UQ(tenant_id,batch_no)</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Batch facts; usable/expiry status derived.</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batch_weighing_line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weighing_line_id; FK batch_id,item_id,source_lot_id; target_qty; actual_qty</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Actual FEFO RM draw and weighing record.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route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route_id; FK tenant_id; code; name; item_type; version; active; UQ(tenant_id,code,version)</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Versioned process route.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route_stage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route_stage_id; FK route_id; sequence_no; stage_code; is_qa_gate; is_end; UQ(route_id,sequence_no)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Ordered route stages.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bom</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bom_id; FK tenant_id,item_id; version; valid_from/to; status; UQ(tenant_id,item_id,version)</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Versioned finished-goods bill of material.</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bom_line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bom_line_id; FK bom_id,component_item_id; qty_per; scrap_factor; UQ(bom_id,component_item_id)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Required compound, metal, packing or other components.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work_order</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work_order_id; FK tenant_id,unit_id,item_id,bom_id,route_id,source_so_line_id nullable; wo_no; planned_qty;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Production requirement and source.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prod_lot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prod_lot_id; FK work_order_id,route_id,current_stage_id; lot_no; item_id; qty; status; UQ(tenant_id,lot_no)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Production/WIP/FG lot.</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prod_lot_move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move_id; FK prod_lot_id,from_stage_id,to_stage_id,actor_user_id; qty_in/out; rejects; moved_at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Stage-by-stage quantity and operator history.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lot_consumption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consumption_id; FK prod_lot_id; source_type/source_id; source_lot_id; qty; consumed_at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Polymorphic source validated by domain service; use source-specific link tables if strict FK enforcement is required.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shift_production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shift_entry_id; FK tenant_id,unit_id,work_order_id,machine_id,operator_id; work_date; shift_code; good_qty; reject_qty; downtime_minutes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Per-shift production and OEE input.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packing</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packing_id; FK prod_lot_id,actor_user_id; packed_qty; packed_at; fg_store_id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Books finished goods and triggers label event.</w:t>
            </w:r>
          </w:p>
        </w:tc>
      </w:tr>
    </w:tbl>
    <w:p>
      <w:pPr>
        <w:spacing w:after="40"/>
      </w:pPr>
    </w:p>
    <w:p>
      <w:pPr>
        <w:pStyle w:val="Heading2"/>
      </w:pPr>
      <w:r>
        <w:rPr>
          <w:color w:val="000000"/>
        </w:rPr>
        <w:t>Quality, maintenance, finance, HR</w:t>
      </w:r>
    </w:p>
    <w:tbl>
      <w:tblPr>
        <w:tblW w:type="auto" w:w="0"/>
        <w:jc w:val="center"/>
        <w:tblLayout w:type="fixed"/>
        <w:tblLook w:firstColumn="1" w:firstRow="1" w:lastColumn="0" w:lastRow="0" w:noHBand="0" w:noVBand="1" w:val="04A0"/>
      </w:tblPr>
      <w:tblGrid>
        <w:gridCol w:w="1843"/>
        <w:gridCol w:w="5328"/>
        <w:gridCol w:w="3773"/>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r>
              <w:t>Table</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r>
              <w:t>Key columns and relationships</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r>
              <w:t>Purpose / integrity note</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qa_inspection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inspection_id; FK tenant_id,inspector_id; subject_type/id; result; inspected_at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Use typed subject-link tables or validated adapters; params in JSONB for variable test readings.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ncr</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ncr_id; FK tenant_id; source_type/id; owner_id; status; opened_at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Nonconformance record linked to lot, supplier or complaint.</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ncr_step</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ncr_step_id; FK ncr_id; step_code; owner_id; due_at; completed_at; evidence_ref</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8D actions and evidence.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calibration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calibration_id; FK tenant_id,unit_id; instrument_code; due_at; result; status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Calibration schedule and outcomes; instrument master should be separate if maintained.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machine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machine_id; FK tenant_id,unit_id; code; name; active; UQ(unit_id,code)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Machine/press master.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mould</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mould_id; FK tenant_id,unit_id; code; part_item_id; shots_limit; active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Mould master.</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pm_plan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pm_plan_id; FK machine_id or mould_id; interval_days/shots; active</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Preventive maintenance plan.</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pm_task</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pm_task_id; FK pm_plan_id; due_at; status; completed_at; owner_id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Generated and completed PM work.</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breakdown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breakdown_id; FK machine_id,reported_by; cause; action; started_at; ended_at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Breakdown and MTTR/MTBF source.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spare_issue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spare_issue_id; FK breakdown_id,item_id,lot_id; qty; stock_ledger_id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Spare consumption link.</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fixed_asset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asset_id; FK tenant_id,unit_id; asset_code; acquisition_cost; useful_life;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Asset register.</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depreciation_run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depreciation_run_id; FK tenant_id,period_id; run_at; status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Run header; line items should hold asset-level depreciation.</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depreciation_line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depreciation_line_id; FK depreciation_run_id,asset_id; amount; accumulated_amount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Depreciation by asset.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account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account_id; FK tenant_id,unit_id; code; name; account_type; UQ(unit_id,code)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Chart of accounts per unit.</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journal</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journal_id; FK tenant_id,unit_id,period_id; journal_no; source_type/id; posted_at;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Journal header, posted from domain events.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journal_line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journal_line_id; FK journal_id,account_id; debit; credit; party_type/id nullable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Balanced debit/credit detail.</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period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period_id; FK tenant_id,unit_id; year_month; status; production_grace_days; UQ(unit_id,year_month)</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Period lock and production grace.</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payment</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payment_id; FK tenant_id,unit_id,vendor_id/customer_id nullable; payment_no; amount; status; paid_at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Payment transaction.</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payment_allocation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allocation_id; FK payment_id; bill_id/invoice_id; allocated_amount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Many-to-many payment settlement.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gst_return_data</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return_data_id; FK tenant_id,unit_id,period_id; return_type; status; source_ref</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Prepared filing/reconciliation data.</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tds_entry</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tds_entry_id; FK tenant_id,unit_id,party; period_id; section; base; deducted;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Withholding transactions.</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employee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employee_id; FK tenant_id,unit_id,department_id,manager_id nullable; employee_no; status; UQ(tenant_id,employee_no)</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Employee master with reporting lines.</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leave_type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leave_type_id; FK tenant_id; code; annual_default</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Leave policy.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leave_balance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PK(employee_id,leave_type_id,fiscal_year); opening; accrued; used; adjusted</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Balance projection/ledger, transactionally updated.</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leave_request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leave_request_id; FK employee_id,leave_type_id; from/to; status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Leave request; approval instance references it.</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attendance</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attendance_id; FK employee_id; work_date; in/out; source; UQ(employee_id,work_date,shift_code)</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Attendance import/entry.</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appraisal</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appraisal_id; FK employee_id,reviewer_id; fiscal_year; scores; status; UQ(employee_id,fiscal_year)</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Annual performance review.</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kaizen</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kaizen_id; FK tenant_id,submitter_id,department_id; title; baseline; saving; score; status</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Improvement suggestion and evaluation.</w:t>
            </w:r>
          </w:p>
        </w:tc>
      </w:tr>
      <w:tr>
        <w:tc>
          <w:tcPr>
            <w:tcW w:type="dxa" w:w="184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outbox_event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 event_id; FK tenant_id; event_type; aggregate_type/id; payload; created_at; published_at; attempts</w:t>
            </w:r>
          </w:p>
        </w:tc>
        <w:tc>
          <w:tcPr>
            <w:tcW w:type="dxa" w:w="3773"/>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Transactional outbox for reliable integration/event delivery.</w:t>
            </w:r>
          </w:p>
        </w:tc>
      </w:tr>
      <w:tr>
        <w:tc>
          <w:tcPr>
            <w:tcW w:type="dxa" w:w="184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idempotency_record</w:t>
            </w:r>
          </w:p>
        </w:tc>
        <w:tc>
          <w:tcPr>
            <w:tcW w:type="dxa" w:w="5328"/>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PK(tenant_id,key); request_hash; response_ref; created_at; expires_at</w:t>
            </w:r>
          </w:p>
        </w:tc>
        <w:tc>
          <w:tcPr>
            <w:tcW w:type="dxa" w:w="3773"/>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4"/>
              </w:rPr>
              <w:t>Prevents duplicate stock/money POST effects.</w:t>
            </w:r>
          </w:p>
        </w:tc>
      </w:tr>
    </w:tbl>
    <w:p>
      <w:pPr>
        <w:spacing w:after="40"/>
      </w:pPr>
    </w:p>
    <w:p>
      <w:pPr>
        <w:pStyle w:val="Heading1"/>
      </w:pPr>
      <w:r>
        <w:rPr>
          <w:color w:val="000000"/>
        </w:rPr>
        <w:t>13. Relationship map and traceability</w:t>
      </w:r>
    </w:p>
    <w:p>
      <w:r>
        <w:t>The entity relationships below describe the primary flow. All edges are enforced by foreign keys where the relationship is stable and typed. Generic approval and inspection references are protected by module adapters because one table serves multiple document types.</w:t>
      </w:r>
    </w:p>
    <w:tbl>
      <w:tblPr>
        <w:tblW w:type="auto" w:w="0"/>
        <w:jc w:val="center"/>
        <w:tblLayout w:type="fixed"/>
        <w:tblLook w:firstColumn="1" w:firstRow="1" w:lastColumn="0" w:lastRow="0" w:noHBand="0" w:noVBand="1" w:val="04A0"/>
      </w:tblPr>
      <w:tblGrid>
        <w:gridCol w:w="2376"/>
        <w:gridCol w:w="1944"/>
        <w:gridCol w:w="6624"/>
      </w:tblGrid>
      <w:tr>
        <w:trPr>
          <w:tblHeader w:val="true"/>
        </w:trPr>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From</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Relationship</w:t>
            </w:r>
          </w:p>
        </w:tc>
        <w:tc>
          <w:tcPr>
            <w:tcW w:type="dxa" w:w="3277"/>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5"/>
              </w:rPr>
              <w:t>To</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tenant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unit, role, user, settings, approval rules, master and transaction rows</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unit</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store, unit-scoped users, inventory, production, finance and GST documents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vendor</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indent-linked purchase orders, supplier bills, ratings</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indent</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many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purchase_order through po_indent_link</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purchase_order</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po_line; each PO line 1 to many po_schedule and grn_line</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grn_line</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1 or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lot (split lots allowed); GRN receipt lots begin QA_HOLD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lot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stock_ledger movements; can be consumed by multiple production inputs</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compound</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compound_recipe_line and compound_batch</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compound_batch</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batch_weighing_line and lot_consumption draw records</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item</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BOM, inventory lots, procurement/sales lines and price-list lines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route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route_stage; each prod_lot references a route version</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work_order</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prod_lot and shift_production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prod_lot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prod_lot_move, lot_consumption, dispatch_line when packed as FG</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sales_order</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so_line; each line 1 to many so_schedule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dispatch</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dispatch_line; dispatch lines allocate FG lots</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dispatch</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1 or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customer_invoice according to partial invoicing policy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approval_rule</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approval_rule_step; each submitted document pins one resolved approval_instance</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approval_instance</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approval_action history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accounting source event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journal; each journal 1 to many journal_line</w:t>
            </w:r>
          </w:p>
        </w:tc>
      </w:tr>
      <w:tr>
        <w:tc>
          <w:tcPr>
            <w:tcW w:type="dxa" w:w="2376"/>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all transactional domains</w:t>
            </w:r>
          </w:p>
        </w:tc>
        <w:tc>
          <w:tcPr>
            <w:tcW w:type="dxa" w:w="194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1 to many</w:t>
            </w:r>
          </w:p>
        </w:tc>
        <w:tc>
          <w:tcPr>
            <w:tcW w:type="dxa" w:w="6624"/>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5"/>
              </w:rPr>
              <w:t>outbox_event and audit_log events, tenant-scoped</w:t>
            </w:r>
          </w:p>
        </w:tc>
      </w:tr>
    </w:tbl>
    <w:p>
      <w:pPr>
        <w:spacing w:after="40"/>
      </w:pPr>
    </w:p>
    <w:p>
      <w:pPr>
        <w:pStyle w:val="Heading2"/>
      </w:pPr>
      <w:r>
        <w:rPr>
          <w:color w:val="000000"/>
        </w:rPr>
        <w:t>13.1 End-to-end material lineage</w:t>
      </w:r>
    </w:p>
    <w:p>
      <w:r>
        <w:t>Supplier receipt creates a GRN line and one or more lot records. Incoming QA accepts or rejects quantity. FEFO issues select available raw-material lots and create stock-ledger entries. Batch weighing records the exact raw-material source lots; compound batches then pass maturation and batch QA. Moulding consumes one or more Ready compound batches plus an eligible metal production lot. Production-lot moves preserve route and stage history. Packing creates finished-goods stock in a store. Dispatch lines allocate finished-goods lots to sales-order lines, and invoice lines link to the dispatch. This preserves the required RM lot → compound batch → metal lot → moulded lot → FG lot → invoice trace.</w:t>
      </w:r>
    </w:p>
    <w:p>
      <w:r>
        <w:t>For manufacturing, model actual consumptions as typed link tables (for example batch_input_lot, moulding_compound_draw, moulding_metal_draw, extrusion_compound_draw) if strict foreign-key enforcement is preferred over a polymorphic source_type/source_id design. This is the recommended choice for traceability-critical paths.</w:t>
      </w:r>
    </w:p>
    <w:p>
      <w:pPr>
        <w:pStyle w:val="Heading1"/>
      </w:pPr>
      <w:r>
        <w:rPr>
          <w:color w:val="000000"/>
        </w:rPr>
        <w:t>14. Normal forms and integrity constraints</w:t>
      </w:r>
    </w:p>
    <w:tbl>
      <w:tblPr>
        <w:tblW w:type="auto" w:w="0"/>
        <w:jc w:val="center"/>
        <w:tblLayout w:type="fixed"/>
        <w:tblLook w:firstColumn="1" w:firstRow="1" w:lastColumn="0" w:lastRow="0" w:noHBand="0" w:noVBand="1" w:val="04A0"/>
      </w:tblPr>
      <w:tblGrid>
        <w:gridCol w:w="2232"/>
        <w:gridCol w:w="8712"/>
      </w:tblGrid>
      <w:tr>
        <w:trPr>
          <w:tblHeader w:val="true"/>
        </w:trPr>
        <w:tc>
          <w:tcPr>
            <w:tcW w:type="dxa" w:w="491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6"/>
              </w:rPr>
              <w:t>Normal form / safeguard</w:t>
            </w:r>
          </w:p>
        </w:tc>
        <w:tc>
          <w:tcPr>
            <w:tcW w:type="dxa" w:w="4916"/>
            <w:shd w:fill="17365D"/>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pPr>
            <w:r>
              <w:rPr>
                <w:b/>
                <w:color w:val="FFFFFF"/>
                <w:sz w:val="16"/>
              </w:rPr>
              <w:t>Application in this schema</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1NF</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One atomic value per field; multi-valued plant scope, document lines, recipe ingredients, approval steps and schedules are rows in child/junction tables.</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2NF</w:t>
            </w:r>
          </w:p>
        </w:tc>
        <w:tc>
          <w:tcPr>
            <w:tcW w:type="dxa" w:w="87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Every non-key field in composite-key tables depends on the whole key; junction tables contain only relationship attributes and facts about that relationship.</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3NF</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Vendor/customer/role/UoM names live in master tables; transaction rows store references, not repeated master attributes. Derived compound status and inventory balances are not copied as independent truth.</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Referential integrity</w:t>
            </w:r>
          </w:p>
        </w:tc>
        <w:tc>
          <w:tcPr>
            <w:tcW w:type="dxa" w:w="87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FKs for stable parent-child links; tenant-aware composite FKs where feasible. Restrict deletes for financial, stock, approval and audit history.</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Uniqueness</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Unique business numbers per tenant/unit and unique line numbers per parent. Unique supplier invoice identity to detect duplicates.</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Stock safety</w:t>
            </w:r>
          </w:p>
        </w:tc>
        <w:tc>
          <w:tcPr>
            <w:tcW w:type="dxa" w:w="87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All movements append to stock_ledger. Row-lock affected lot balances; reject any posting that makes available quantity negative; constrain numeric precision.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Concurrency and retries</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Optimistic version checks on editable records; row locks for stock/approval decisions; idempotency keys on all stock or money movement POSTs.</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Status history</w:t>
            </w:r>
          </w:p>
        </w:tc>
        <w:tc>
          <w:tcPr>
            <w:tcW w:type="dxa" w:w="87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Store immutable approval_action and prod_lot_move rows; current status is a controlled projection/state updated with its history in one transaction.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Security scope</w:t>
            </w:r>
          </w:p>
        </w:tc>
        <w:tc>
          <w:tcPr>
            <w:tcW w:type="dxa" w:w="87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RLS uses tenant_id. API additionally filters user_unit_scope; foreign keys must not allow cross-tenant or unauthorized unit associations.</w:t>
            </w:r>
          </w:p>
        </w:tc>
      </w:tr>
      <w:tr>
        <w:tc>
          <w:tcPr>
            <w:tcW w:type="dxa" w:w="223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Effective dating</w:t>
            </w:r>
          </w:p>
        </w:tc>
        <w:tc>
          <w:tcPr>
            <w:tcW w:type="dxa" w:w="8712"/>
            <w:vAlign w:val="center"/>
            <w:shd w:fill="F2F6FA"/>
            <w:tcBorders>
              <w:top w:val="single" w:sz="6" w:color="D9D9D9"/>
              <w:left w:val="single" w:sz="6" w:color="D9D9D9"/>
              <w:bottom w:val="single" w:sz="6" w:color="D9D9D9"/>
              <w:right w:val="single" w:sz="6" w:color="D9D9D9"/>
              <w:insideH w:val="single" w:sz="6" w:color="D9D9D9"/>
              <w:insideV w:val="single" w:sz="6" w:color="D9D9D9"/>
            </w:tcBorders>
          </w:tcPr>
          <w:p>
            <w:pPr>
              <w:spacing w:after="20" w:line="252" w:lineRule="auto"/>
            </w:pPr>
            <w:r>
              <w:rPr>
                <w:sz w:val="16"/>
              </w:rPr>
              <w:t>Approval rules, price lists, recipes, BOMs and settings retain effective dates/versions for historical reproducibility.</w:t>
            </w:r>
          </w:p>
        </w:tc>
      </w:tr>
    </w:tbl>
    <w:p>
      <w:pPr>
        <w:spacing w:after="40"/>
      </w:pPr>
    </w:p>
    <w:p>
      <w:pPr>
        <w:pStyle w:val="Heading1"/>
      </w:pPr>
      <w:r>
        <w:rPr>
          <w:color w:val="000000"/>
        </w:rPr>
        <w:t>15. Schema decisions to close before backend migrations</w:t>
      </w:r>
    </w:p>
    <w:p>
      <w:r>
        <w:t>Replace placeholder GSTINs, unit names and store list with the signed company-setup sheet.</w:t>
      </w:r>
    </w:p>
    <w:p>
      <w:r>
        <w:t>Confirm whether data isolation is single-company multi-unit now and multi-tenant SaaS from day one; this design supports tenant_id throughout.</w:t>
      </w:r>
    </w:p>
    <w:p>
      <w:r>
        <w:t>Confirm standard document numbering, amount-band boundaries, value basis including GST, and which approver rules apply to each document.</w:t>
      </w:r>
    </w:p>
    <w:p>
      <w:r>
        <w:t>Confirm payment terms, MSME due-date logic, customer credit-limit behavior, cash-purchase limit, minimum quotes, and margin approval.</w:t>
      </w:r>
    </w:p>
    <w:p>
      <w:r>
        <w:t>Confirm accounting package as books of record, chart of accounts per GSTIN, inter-unit pricing/tax treatment, and GSP selection.</w:t>
      </w:r>
    </w:p>
    <w:p>
      <w:r>
        <w:t>Confirm whether invoice-to-dispatch is one-to-one or supports multiple invoices/dispatches; schema permits partial dispatch and configurable invoice cardinality.</w:t>
      </w:r>
    </w:p>
    <w:p>
      <w:r>
        <w:t>Confirm item UoMs/conversions, lot splitting/merging rules, shelf-life source, compound consumption rounding and scrap/backflush policy.</w:t>
      </w:r>
    </w:p>
    <w:p>
      <w:r>
        <w:t>Resolve the 14-week BRD launch target versus the 28-34 week delivery estimate after team capacity, data readiness, and prototype/module readiness are assessed.</w:t>
      </w:r>
    </w:p>
    <w:p>
      <w:r>
        <w:t>Review polymorphic references. Use dedicated typed link tables on critical QA and traceability paths where database-enforced foreign keys are required.</w:t>
      </w:r>
    </w:p>
    <w:p>
      <w:pPr>
        <w:pStyle w:val="Heading1"/>
      </w:pPr>
      <w:r>
        <w:rPr>
          <w:color w:val="000000"/>
        </w:rPr>
        <w:t>16. Backend build gate</w:t>
      </w:r>
    </w:p>
    <w:p>
      <w:r>
        <w:t>Backend implementation begins after V-Rub/product review of this schema. The first backend milestone is a migration package for tenant, organization, users/roles/permissions, settings, audit and the core document identifiers. Next, build service boundaries and transactional rules for approvals and inventory. Keep each migration reviewed, reversible where practical, seeded with synthetic fixtures, and covered by domain/API tests. Do not load prototype demo records as customer master data.</w:t>
      </w:r>
    </w:p>
    <w:sectPr>
      <w:headerReference w:type="default" r:id="rId6"/>
      <w:footerReference w:type="default" r:id="rId7"/>
      <w:pgSz w:w="11906" w:h="16838" w:orient="portrait"/>
      <w:pgMar w:top="979" w:right="1037" w:bottom="979" w:left="103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9737D"/>
        <w:sz w:val="16"/>
        <w:szCs w:val="16"/>
      </w:rPr>
      <w:t xml:space="preserve">Page </w:t>
    </w:r>
    <w:r>
      <w:rPr>
        <w:rFonts w:ascii="Arial" w:cs="Arial" w:eastAsia="Arial" w:hAnsi="Arial"/>
        <w:color w:val="69737D"/>
        <w:sz w:val="16"/>
        <w:szCs w:val="16"/>
      </w:rPr>
      <w:fldChar w:fldCharType="begin"/>
    </w:r>
    <w:r>
      <w:rPr>
        <w:rFonts w:ascii="Arial" w:cs="Arial" w:eastAsia="Arial" w:hAnsi="Arial"/>
        <w:color w:val="69737D"/>
        <w:sz w:val="16"/>
        <w:szCs w:val="16"/>
      </w:rPr>
      <w:instrText xml:space="preserve">PAGE</w:instrText>
    </w:r>
    <w:r>
      <w:rPr>
        <w:rFonts w:ascii="Arial" w:cs="Arial" w:eastAsia="Arial" w:hAnsi="Arial"/>
        <w:color w:val="69737D"/>
        <w:sz w:val="16"/>
        <w:szCs w:val="16"/>
      </w:rPr>
      <w:fldChar w:fldCharType="separate"/>
    </w:r>
    <w:r>
      <w:rPr>
        <w:rFonts w:ascii="Arial" w:cs="Arial" w:eastAsia="Arial" w:hAnsi="Arial"/>
        <w:color w:val="69737D"/>
        <w:sz w:val="16"/>
        <w:szCs w:val="16"/>
      </w:rPr>
      <w:fldChar w:fldCharType="end"/>
    </w:r>
    <w:r>
      <w:rPr>
        <w:rFonts w:ascii="Arial" w:cs="Arial" w:eastAsia="Arial" w:hAnsi="Arial"/>
        <w:color w:val="69737D"/>
        <w:sz w:val="16"/>
        <w:szCs w:val="16"/>
      </w:rPr>
      <w:t xml:space="preserve"> of </w:t>
    </w:r>
    <w:r>
      <w:rPr>
        <w:rFonts w:ascii="Arial" w:cs="Arial" w:eastAsia="Arial" w:hAnsi="Arial"/>
        <w:color w:val="69737D"/>
        <w:sz w:val="16"/>
        <w:szCs w:val="16"/>
      </w:rPr>
      <w:fldChar w:fldCharType="begin"/>
    </w:r>
    <w:r>
      <w:rPr>
        <w:rFonts w:ascii="Arial" w:cs="Arial" w:eastAsia="Arial" w:hAnsi="Arial"/>
        <w:color w:val="69737D"/>
        <w:sz w:val="16"/>
        <w:szCs w:val="16"/>
      </w:rPr>
      <w:instrText xml:space="preserve">NUMPAGES</w:instrText>
    </w:r>
    <w:r>
      <w:rPr>
        <w:rFonts w:ascii="Arial" w:cs="Arial" w:eastAsia="Arial" w:hAnsi="Arial"/>
        <w:color w:val="69737D"/>
        <w:sz w:val="16"/>
        <w:szCs w:val="16"/>
      </w:rPr>
      <w:fldChar w:fldCharType="separate"/>
    </w:r>
    <w:r>
      <w:rPr>
        <w:rFonts w:ascii="Arial" w:cs="Arial" w:eastAsia="Arial" w:hAnsi="Arial"/>
        <w:color w:val="69737D"/>
        <w:sz w:val="16"/>
        <w:szCs w:val="16"/>
      </w:rPr>
      <w:fldChar w:fldCharType="end"/>
    </w:r>
    <w:r>
      <w:rPr>
        <w:color w:val="69737D"/>
        <w:sz w:val="16"/>
      </w:rPr>
      <w:t xml:space="preserve">heyyERP for V-Rub  |  Project and database design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heyyERP for V-Rub |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Normal" w:default="1">
    <w:name w:val="Normal"/>
    <w:qFormat/>
    <w:pPr>
      <w:spacing w:after="100"/>
    </w:pPr>
    <w:rPr>
      <w:rFonts w:ascii="Aptos" w:hAnsi="Aptos"/>
      <w:color w:val="232B34"/>
      <w:sz w:val="19"/>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pPr>
      <w:spacing w:after="100"/>
    </w:pPr>
    <w:rPr>
      <w:rFonts w:ascii="Aptos" w:hAnsi="Aptos"/>
      <w:color w:val="232B34"/>
      <w:sz w:val="19"/>
    </w:rPr>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60"/>
      <w:outlineLvl w:val="0"/>
    </w:pPr>
    <w:rPr>
      <w:rFonts w:ascii="Aptos Display" w:cs="Arial" w:eastAsia="Arial" w:hAnsi="Aptos Display"/>
      <w:b/>
      <w:bCs/>
      <w:color w:val="000000"/>
      <w:sz w:val="34"/>
      <w:szCs w:val="32"/>
    </w:rPr>
  </w:style>
  <w:style w:type="paragraph" w:styleId="Heading2">
    <w:name w:val="Heading 2"/>
    <w:basedOn w:val="Normal"/>
    <w:next w:val="Normal"/>
    <w:qFormat/>
    <w:pPr>
      <w:keepNext/>
      <w:spacing w:after="120" w:before="260"/>
      <w:outlineLvl w:val="1"/>
    </w:pPr>
    <w:rPr>
      <w:rFonts w:ascii="Aptos Display" w:cs="Arial" w:eastAsia="Arial" w:hAnsi="Aptos Display"/>
      <w:b/>
      <w:bCs/>
      <w:color w:val="000000"/>
      <w:sz w:val="26"/>
      <w:szCs w:val="25"/>
    </w:rPr>
  </w:style>
  <w:style w:type="paragraph" w:styleId="Heading3">
    <w:name w:val="Heading 3"/>
    <w:basedOn w:val="Normal"/>
    <w:next w:val="Normal"/>
    <w:qFormat/>
    <w:pPr>
      <w:keepNext/>
      <w:spacing w:after="80" w:before="200"/>
      <w:outlineLvl w:val="2"/>
    </w:pPr>
    <w:rPr>
      <w:rFonts w:ascii="Aptos Display" w:cs="Arial" w:eastAsia="Arial" w:hAnsi="Aptos Display"/>
      <w:b/>
      <w:bCs/>
      <w:color w:val="00000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heyyERP for V-Rub Project Phases and Normalized Database Design</dc:title>
  <dc:creator>HeyyBot Engineering</dc:creator>
  <cp:lastModifiedBy>Un-named</cp:lastModifiedBy>
  <cp:revision>1</cp:revision>
  <dcterms:created xsi:type="dcterms:W3CDTF">2026-10-23T16:37:06.599Z</dcterms:created>
  <dcterms:modified xsi:type="dcterms:W3CDTF">2026-10-23T16:37:06.600Z</dcterms:modified>
  <dc:subject>Business module plan, phased delivery, normalized PostgreSQL schema and relationship design</dc:subject>
</cp:coreProperties>
</file>

<file path=docProps/custom.xml><?xml version="1.0" encoding="utf-8"?>
<Properties xmlns="http://schemas.openxmlformats.org/officeDocument/2006/custom-properties" xmlns:vt="http://schemas.openxmlformats.org/officeDocument/2006/docPropsVTypes"/>
</file>