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heyyERP Backend Phases and Module Ownership</w:t>
      </w:r>
    </w:p>
    <w:p>
      <w:pPr>
        <w:spacing w:after="240"/>
      </w:pPr>
      <w:r>
        <w:rPr>
          <w:color w:val="5A6673"/>
          <w:sz w:val="20"/>
        </w:rPr>
        <w:t>V-Rub Suspensions  |  Team planning guide  |  27 October 2026</w:t>
      </w:r>
    </w:p>
    <w:p>
      <w:pPr>
        <w:pStyle w:val="Heading1"/>
      </w:pPr>
      <w:r>
        <w:t>Purpose and recommendation</w:t>
      </w:r>
    </w:p>
    <w:p>
      <w:r>
        <w:t>This guide turns the heyyERP backend into assignable phases and modules for the project team and senior reviewer. Build the platform foundation first, then deliver business workflows in dependency order. Keep each module behind agreed API and migration contracts so two developers can work in parallel without repeatedly colliding in shared files.</w:t>
      </w:r>
    </w:p>
    <w:p>
      <w:r>
        <w:t>Planning note: the current PostgreSQL schema file contains a broad logical blueprint (the team has observed about 126 tables in the applied database). That count is not a requirement or proof that every table is necessary. The senior reviewer should trace each table and workflow to the BRD, approve the tenant/security model, and trim or revise the schema before production migrations. This roadmap is a recommended delivery plan; final scope follows the approved BRD.</w:t>
      </w:r>
    </w:p>
    <w:p>
      <w:pPr>
        <w:pStyle w:val="Heading1"/>
      </w:pPr>
      <w:r>
        <w:t>How to use this plan</w:t>
      </w:r>
    </w:p>
    <w:p>
      <w:pPr>
        <w:pStyle w:val="ListBullet"/>
        <w:spacing w:after="40"/>
      </w:pPr>
      <w:r>
        <w:t>Assign one named owner and one reviewer for every module; do not assign the same files to both developers in the same sprint.</w:t>
      </w:r>
    </w:p>
    <w:p>
      <w:pPr>
        <w:pStyle w:val="ListBullet"/>
        <w:spacing w:after="40"/>
      </w:pPr>
      <w:r>
        <w:t>Complete the foundation gate before business modules depend on user identity, tenant context, permissions, audit, or migration conventions.</w:t>
      </w:r>
    </w:p>
    <w:p>
      <w:pPr>
        <w:pStyle w:val="ListBullet"/>
        <w:spacing w:after="40"/>
      </w:pPr>
      <w:r>
        <w:t>Treat every phase exit criterion as a review checklist, not as a promise that the module is already implemented.</w:t>
      </w:r>
    </w:p>
    <w:p>
      <w:pPr>
        <w:pStyle w:val="Heading1"/>
      </w:pPr>
      <w:r>
        <w:t>Backend module map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5760"/>
        <w:gridCol w:w="2088"/>
      </w:tblGrid>
      <w:tr>
        <w:trPr>
          <w:tblHeader w:val="true"/>
        </w:trPr>
        <w:tc>
          <w:tcPr>
            <w:tcW w:type="dxa" w:w="3389"/>
            <w:vAlign w:val="center"/>
            <w:shd w:fill="23466A"/>
          </w:tcPr>
          <w:p>
            <w:pPr>
              <w:spacing w:after="40" w:before="40"/>
            </w:pPr>
            <w:r/>
            <w:r>
              <w:rPr>
                <w:rFonts w:ascii="Aptos" w:hAnsi="Aptos"/>
                <w:b/>
                <w:color w:val="FFFFFF"/>
                <w:sz w:val="16"/>
              </w:rPr>
              <w:t>ID / module</w:t>
            </w:r>
          </w:p>
        </w:tc>
        <w:tc>
          <w:tcPr>
            <w:tcW w:type="dxa" w:w="3389"/>
            <w:vAlign w:val="center"/>
            <w:shd w:fill="23466A"/>
          </w:tcPr>
          <w:p>
            <w:pPr>
              <w:spacing w:after="40" w:before="40"/>
            </w:pPr>
            <w:r/>
            <w:r>
              <w:rPr>
                <w:rFonts w:ascii="Aptos" w:hAnsi="Aptos"/>
                <w:b/>
                <w:color w:val="FFFFFF"/>
                <w:sz w:val="16"/>
              </w:rPr>
              <w:t>Scope and ownership boundary</w:t>
            </w:r>
          </w:p>
        </w:tc>
        <w:tc>
          <w:tcPr>
            <w:tcW w:type="dxa" w:w="3389"/>
            <w:vAlign w:val="center"/>
            <w:shd w:fill="23466A"/>
          </w:tcPr>
          <w:p>
            <w:pPr>
              <w:spacing w:after="40" w:before="40"/>
            </w:pPr>
            <w:r/>
            <w:r>
              <w:rPr>
                <w:rFonts w:ascii="Aptos" w:hAnsi="Aptos"/>
                <w:b/>
                <w:color w:val="FFFFFF"/>
                <w:sz w:val="16"/>
              </w:rPr>
              <w:t>Primary dependency</w:t>
            </w:r>
          </w:p>
        </w:tc>
      </w:tr>
      <w:tr>
        <w:tc>
          <w:tcPr>
            <w:tcW w:type="dxa" w:w="2088"/>
            <w:vAlign w:val="center"/>
          </w:tcPr>
          <w:p>
            <w:pPr>
              <w:spacing w:after="40" w:before="40"/>
            </w:pPr>
            <w:r/>
            <w:r>
              <w:rPr>
                <w:rFonts w:ascii="Aptos" w:hAnsi="Aptos"/>
                <w:b w:val="0"/>
                <w:sz w:val="16"/>
              </w:rPr>
              <w:t>M0 Platform and database</w:t>
            </w:r>
          </w:p>
        </w:tc>
        <w:tc>
          <w:tcPr>
            <w:tcW w:type="dxa" w:w="5760"/>
            <w:vAlign w:val="center"/>
          </w:tcPr>
          <w:p>
            <w:pPr>
              <w:spacing w:after="40" w:before="40"/>
            </w:pPr>
            <w:r/>
            <w:r>
              <w:rPr>
                <w:rFonts w:ascii="Aptos" w:hAnsi="Aptos"/>
                <w:b w:val="0"/>
                <w:sz w:val="16"/>
              </w:rPr>
              <w:t>Repository workflow, API conventions, PostgreSQL connection, migration runner, configuration, logging, health checks, CI checks.</w:t>
            </w:r>
          </w:p>
        </w:tc>
        <w:tc>
          <w:tcPr>
            <w:tcW w:type="dxa" w:w="2088"/>
            <w:vAlign w:val="center"/>
          </w:tcPr>
          <w:p>
            <w:pPr>
              <w:spacing w:after="40" w:before="40"/>
            </w:pPr>
            <w:r/>
            <w:r>
              <w:rPr>
                <w:rFonts w:ascii="Aptos" w:hAnsi="Aptos"/>
                <w:b w:val="0"/>
                <w:sz w:val="16"/>
              </w:rPr>
              <w:t>None; establishes shared contracts.</w:t>
            </w:r>
          </w:p>
        </w:tc>
      </w:tr>
      <w:tr>
        <w:tc>
          <w:tcPr>
            <w:tcW w:type="dxa" w:w="2088"/>
            <w:vAlign w:val="center"/>
            <w:shd w:fill="F2F5F8"/>
          </w:tcPr>
          <w:p>
            <w:pPr>
              <w:spacing w:after="40" w:before="40"/>
            </w:pPr>
            <w:r/>
            <w:r>
              <w:rPr>
                <w:rFonts w:ascii="Aptos" w:hAnsi="Aptos"/>
                <w:b w:val="0"/>
                <w:sz w:val="16"/>
              </w:rPr>
              <w:t>M1 Identity and access</w:t>
            </w:r>
          </w:p>
        </w:tc>
        <w:tc>
          <w:tcPr>
            <w:tcW w:type="dxa" w:w="5760"/>
            <w:vAlign w:val="center"/>
            <w:shd w:fill="F2F5F8"/>
          </w:tcPr>
          <w:p>
            <w:pPr>
              <w:spacing w:after="40" w:before="40"/>
            </w:pPr>
            <w:r/>
            <w:r>
              <w:rPr>
                <w:rFonts w:ascii="Aptos" w:hAnsi="Aptos"/>
                <w:b w:val="0"/>
                <w:sz w:val="16"/>
              </w:rPr>
              <w:t>Better Auth integration, organization-level tenancy, invitations, email verification, sign-in, password recovery, MFA, sessions, roles/permissions, audit/security events.</w:t>
            </w:r>
          </w:p>
        </w:tc>
        <w:tc>
          <w:tcPr>
            <w:tcW w:type="dxa" w:w="2088"/>
            <w:vAlign w:val="center"/>
            <w:shd w:fill="F2F5F8"/>
          </w:tcPr>
          <w:p>
            <w:pPr>
              <w:spacing w:after="40" w:before="40"/>
            </w:pPr>
            <w:r/>
            <w:r>
              <w:rPr>
                <w:rFonts w:ascii="Aptos" w:hAnsi="Aptos"/>
                <w:b w:val="0"/>
                <w:sz w:val="16"/>
              </w:rPr>
              <w:t>M0; tenant design approval.</w:t>
            </w:r>
          </w:p>
        </w:tc>
      </w:tr>
      <w:tr>
        <w:tc>
          <w:tcPr>
            <w:tcW w:type="dxa" w:w="2088"/>
            <w:vAlign w:val="center"/>
          </w:tcPr>
          <w:p>
            <w:pPr>
              <w:spacing w:after="40" w:before="40"/>
            </w:pPr>
            <w:r/>
            <w:r>
              <w:rPr>
                <w:rFonts w:ascii="Aptos" w:hAnsi="Aptos"/>
                <w:b w:val="0"/>
                <w:sz w:val="16"/>
              </w:rPr>
              <w:t>M2 Organization and master data</w:t>
            </w:r>
          </w:p>
        </w:tc>
        <w:tc>
          <w:tcPr>
            <w:tcW w:type="dxa" w:w="5760"/>
            <w:vAlign w:val="center"/>
          </w:tcPr>
          <w:p>
            <w:pPr>
              <w:spacing w:after="40" w:before="40"/>
            </w:pPr>
            <w:r/>
            <w:r>
              <w:rPr>
                <w:rFonts w:ascii="Aptos" w:hAnsi="Aptos"/>
                <w:b w:val="0"/>
                <w:sz w:val="16"/>
              </w:rPr>
              <w:t>Organization/site/plant, departments, units, currencies, tax/configuration, numbering rules, customer/vendor/item categories and shared reference data.</w:t>
            </w:r>
          </w:p>
        </w:tc>
        <w:tc>
          <w:tcPr>
            <w:tcW w:type="dxa" w:w="2088"/>
            <w:vAlign w:val="center"/>
          </w:tcPr>
          <w:p>
            <w:pPr>
              <w:spacing w:after="40" w:before="40"/>
            </w:pPr>
            <w:r/>
            <w:r>
              <w:rPr>
                <w:rFonts w:ascii="Aptos" w:hAnsi="Aptos"/>
                <w:b w:val="0"/>
                <w:sz w:val="16"/>
              </w:rPr>
              <w:t>M0-M1.</w:t>
            </w:r>
          </w:p>
        </w:tc>
      </w:tr>
      <w:tr>
        <w:tc>
          <w:tcPr>
            <w:tcW w:type="dxa" w:w="2088"/>
            <w:vAlign w:val="center"/>
            <w:shd w:fill="F2F5F8"/>
          </w:tcPr>
          <w:p>
            <w:pPr>
              <w:spacing w:after="40" w:before="40"/>
            </w:pPr>
            <w:r/>
            <w:r>
              <w:rPr>
                <w:rFonts w:ascii="Aptos" w:hAnsi="Aptos"/>
                <w:b w:val="0"/>
                <w:sz w:val="16"/>
              </w:rPr>
              <w:t>M3 Product engineering</w:t>
            </w:r>
          </w:p>
        </w:tc>
        <w:tc>
          <w:tcPr>
            <w:tcW w:type="dxa" w:w="5760"/>
            <w:vAlign w:val="center"/>
            <w:shd w:fill="F2F5F8"/>
          </w:tcPr>
          <w:p>
            <w:pPr>
              <w:spacing w:after="40" w:before="40"/>
            </w:pPr>
            <w:r/>
            <w:r>
              <w:rPr>
                <w:rFonts w:ascii="Aptos" w:hAnsi="Aptos"/>
                <w:b w:val="0"/>
                <w:sz w:val="16"/>
              </w:rPr>
              <w:t>Item/product catalogue, revisions, BOM and BOM lines, routing/operations, drawings/specifications, engineering change control.</w:t>
            </w:r>
          </w:p>
        </w:tc>
        <w:tc>
          <w:tcPr>
            <w:tcW w:type="dxa" w:w="2088"/>
            <w:vAlign w:val="center"/>
            <w:shd w:fill="F2F5F8"/>
          </w:tcPr>
          <w:p>
            <w:pPr>
              <w:spacing w:after="40" w:before="40"/>
            </w:pPr>
            <w:r/>
            <w:r>
              <w:rPr>
                <w:rFonts w:ascii="Aptos" w:hAnsi="Aptos"/>
                <w:b w:val="0"/>
                <w:sz w:val="16"/>
              </w:rPr>
              <w:t>M2.</w:t>
            </w:r>
          </w:p>
        </w:tc>
      </w:tr>
      <w:tr>
        <w:tc>
          <w:tcPr>
            <w:tcW w:type="dxa" w:w="2088"/>
            <w:vAlign w:val="center"/>
          </w:tcPr>
          <w:p>
            <w:pPr>
              <w:spacing w:after="40" w:before="40"/>
            </w:pPr>
            <w:r/>
            <w:r>
              <w:rPr>
                <w:rFonts w:ascii="Aptos" w:hAnsi="Aptos"/>
                <w:b w:val="0"/>
                <w:sz w:val="16"/>
              </w:rPr>
              <w:t>M4 Procurement</w:t>
            </w:r>
          </w:p>
        </w:tc>
        <w:tc>
          <w:tcPr>
            <w:tcW w:type="dxa" w:w="5760"/>
            <w:vAlign w:val="center"/>
          </w:tcPr>
          <w:p>
            <w:pPr>
              <w:spacing w:after="40" w:before="40"/>
            </w:pPr>
            <w:r/>
            <w:r>
              <w:rPr>
                <w:rFonts w:ascii="Aptos" w:hAnsi="Aptos"/>
                <w:b w:val="0"/>
                <w:sz w:val="16"/>
              </w:rPr>
              <w:t>Purchase requisitions, supplier quote comparison, purchase orders, receipt interface and supplier records.</w:t>
            </w:r>
          </w:p>
        </w:tc>
        <w:tc>
          <w:tcPr>
            <w:tcW w:type="dxa" w:w="2088"/>
            <w:vAlign w:val="center"/>
          </w:tcPr>
          <w:p>
            <w:pPr>
              <w:spacing w:after="40" w:before="40"/>
            </w:pPr>
            <w:r/>
            <w:r>
              <w:rPr>
                <w:rFonts w:ascii="Aptos" w:hAnsi="Aptos"/>
                <w:b w:val="0"/>
                <w:sz w:val="16"/>
              </w:rPr>
              <w:t>M2-M3; inventory contract.</w:t>
            </w:r>
          </w:p>
        </w:tc>
      </w:tr>
      <w:tr>
        <w:tc>
          <w:tcPr>
            <w:tcW w:type="dxa" w:w="2088"/>
            <w:vAlign w:val="center"/>
            <w:shd w:fill="F2F5F8"/>
          </w:tcPr>
          <w:p>
            <w:pPr>
              <w:spacing w:after="40" w:before="40"/>
            </w:pPr>
            <w:r/>
            <w:r>
              <w:rPr>
                <w:rFonts w:ascii="Aptos" w:hAnsi="Aptos"/>
                <w:b w:val="0"/>
                <w:sz w:val="16"/>
              </w:rPr>
              <w:t>M5 Inventory and warehouse</w:t>
            </w:r>
          </w:p>
        </w:tc>
        <w:tc>
          <w:tcPr>
            <w:tcW w:type="dxa" w:w="5760"/>
            <w:vAlign w:val="center"/>
            <w:shd w:fill="F2F5F8"/>
          </w:tcPr>
          <w:p>
            <w:pPr>
              <w:spacing w:after="40" w:before="40"/>
            </w:pPr>
            <w:r/>
            <w:r>
              <w:rPr>
                <w:rFonts w:ascii="Aptos" w:hAnsi="Aptos"/>
                <w:b w:val="0"/>
                <w:sz w:val="16"/>
              </w:rPr>
              <w:t>Locations, stock ledger, receipts/issues/transfers, lot/serial traceability, reservations, cycle counts and stock valuation events.</w:t>
            </w:r>
          </w:p>
        </w:tc>
        <w:tc>
          <w:tcPr>
            <w:tcW w:type="dxa" w:w="2088"/>
            <w:vAlign w:val="center"/>
            <w:shd w:fill="F2F5F8"/>
          </w:tcPr>
          <w:p>
            <w:pPr>
              <w:spacing w:after="40" w:before="40"/>
            </w:pPr>
            <w:r/>
            <w:r>
              <w:rPr>
                <w:rFonts w:ascii="Aptos" w:hAnsi="Aptos"/>
                <w:b w:val="0"/>
                <w:sz w:val="16"/>
              </w:rPr>
              <w:t>M2-M4.</w:t>
            </w:r>
          </w:p>
        </w:tc>
      </w:tr>
      <w:tr>
        <w:tc>
          <w:tcPr>
            <w:tcW w:type="dxa" w:w="2088"/>
            <w:vAlign w:val="center"/>
          </w:tcPr>
          <w:p>
            <w:pPr>
              <w:spacing w:after="40" w:before="40"/>
            </w:pPr>
            <w:r/>
            <w:r>
              <w:rPr>
                <w:rFonts w:ascii="Aptos" w:hAnsi="Aptos"/>
                <w:b w:val="0"/>
                <w:sz w:val="16"/>
              </w:rPr>
              <w:t>M6 Production planning and execution</w:t>
            </w:r>
          </w:p>
        </w:tc>
        <w:tc>
          <w:tcPr>
            <w:tcW w:type="dxa" w:w="5760"/>
            <w:vAlign w:val="center"/>
          </w:tcPr>
          <w:p>
            <w:pPr>
              <w:spacing w:after="40" w:before="40"/>
            </w:pPr>
            <w:r/>
            <w:r>
              <w:rPr>
                <w:rFonts w:ascii="Aptos" w:hAnsi="Aptos"/>
                <w:b w:val="0"/>
                <w:sz w:val="16"/>
              </w:rPr>
              <w:t>Work orders, material issue/return, operations, WIP, production reporting, downtime/rework events.</w:t>
            </w:r>
          </w:p>
        </w:tc>
        <w:tc>
          <w:tcPr>
            <w:tcW w:type="dxa" w:w="2088"/>
            <w:vAlign w:val="center"/>
          </w:tcPr>
          <w:p>
            <w:pPr>
              <w:spacing w:after="40" w:before="40"/>
            </w:pPr>
            <w:r/>
            <w:r>
              <w:rPr>
                <w:rFonts w:ascii="Aptos" w:hAnsi="Aptos"/>
                <w:b w:val="0"/>
                <w:sz w:val="16"/>
              </w:rPr>
              <w:t>M3 and M5.</w:t>
            </w:r>
          </w:p>
        </w:tc>
      </w:tr>
      <w:tr>
        <w:tc>
          <w:tcPr>
            <w:tcW w:type="dxa" w:w="2088"/>
            <w:vAlign w:val="center"/>
            <w:shd w:fill="F2F5F8"/>
          </w:tcPr>
          <w:p>
            <w:pPr>
              <w:spacing w:after="40" w:before="40"/>
            </w:pPr>
            <w:r/>
            <w:r>
              <w:rPr>
                <w:rFonts w:ascii="Aptos" w:hAnsi="Aptos"/>
                <w:b w:val="0"/>
                <w:sz w:val="16"/>
              </w:rPr>
              <w:t>M7 Quality</w:t>
            </w:r>
          </w:p>
        </w:tc>
        <w:tc>
          <w:tcPr>
            <w:tcW w:type="dxa" w:w="5760"/>
            <w:vAlign w:val="center"/>
            <w:shd w:fill="F2F5F8"/>
          </w:tcPr>
          <w:p>
            <w:pPr>
              <w:spacing w:after="40" w:before="40"/>
            </w:pPr>
            <w:r/>
            <w:r>
              <w:rPr>
                <w:rFonts w:ascii="Aptos" w:hAnsi="Aptos"/>
                <w:b w:val="0"/>
                <w:sz w:val="16"/>
              </w:rPr>
              <w:t>Inspection plans, incoming/in-process/final inspection, non-conformance, corrective actions, disposition and quality evidence.</w:t>
            </w:r>
          </w:p>
        </w:tc>
        <w:tc>
          <w:tcPr>
            <w:tcW w:type="dxa" w:w="2088"/>
            <w:vAlign w:val="center"/>
            <w:shd w:fill="F2F5F8"/>
          </w:tcPr>
          <w:p>
            <w:pPr>
              <w:spacing w:after="40" w:before="40"/>
            </w:pPr>
            <w:r/>
            <w:r>
              <w:rPr>
                <w:rFonts w:ascii="Aptos" w:hAnsi="Aptos"/>
                <w:b w:val="0"/>
                <w:sz w:val="16"/>
              </w:rPr>
              <w:t>M3-M6.</w:t>
            </w:r>
          </w:p>
        </w:tc>
      </w:tr>
      <w:tr>
        <w:tc>
          <w:tcPr>
            <w:tcW w:type="dxa" w:w="2088"/>
            <w:vAlign w:val="center"/>
          </w:tcPr>
          <w:p>
            <w:pPr>
              <w:spacing w:after="40" w:before="40"/>
            </w:pPr>
            <w:r/>
            <w:r>
              <w:rPr>
                <w:rFonts w:ascii="Aptos" w:hAnsi="Aptos"/>
                <w:b w:val="0"/>
                <w:sz w:val="16"/>
              </w:rPr>
              <w:t>M8 Sales and dispatch</w:t>
            </w:r>
          </w:p>
        </w:tc>
        <w:tc>
          <w:tcPr>
            <w:tcW w:type="dxa" w:w="5760"/>
            <w:vAlign w:val="center"/>
          </w:tcPr>
          <w:p>
            <w:pPr>
              <w:spacing w:after="40" w:before="40"/>
            </w:pPr>
            <w:r/>
            <w:r>
              <w:rPr>
                <w:rFonts w:ascii="Aptos" w:hAnsi="Aptos"/>
                <w:b w:val="0"/>
                <w:sz w:val="16"/>
              </w:rPr>
              <w:t>Customer enquiries/quotes, sales orders, delivery planning, shipment/dispatch, invoice handoff and customer-facing status.</w:t>
            </w:r>
          </w:p>
        </w:tc>
        <w:tc>
          <w:tcPr>
            <w:tcW w:type="dxa" w:w="2088"/>
            <w:vAlign w:val="center"/>
          </w:tcPr>
          <w:p>
            <w:pPr>
              <w:spacing w:after="40" w:before="40"/>
            </w:pPr>
            <w:r/>
            <w:r>
              <w:rPr>
                <w:rFonts w:ascii="Aptos" w:hAnsi="Aptos"/>
                <w:b w:val="0"/>
                <w:sz w:val="16"/>
              </w:rPr>
              <w:t>M2, M5, M7; approval workflow.</w:t>
            </w:r>
          </w:p>
        </w:tc>
      </w:tr>
      <w:tr>
        <w:tc>
          <w:tcPr>
            <w:tcW w:type="dxa" w:w="2088"/>
            <w:vAlign w:val="center"/>
            <w:shd w:fill="F2F5F8"/>
          </w:tcPr>
          <w:p>
            <w:pPr>
              <w:spacing w:after="40" w:before="40"/>
            </w:pPr>
            <w:r/>
            <w:r>
              <w:rPr>
                <w:rFonts w:ascii="Aptos" w:hAnsi="Aptos"/>
                <w:b w:val="0"/>
                <w:sz w:val="16"/>
              </w:rPr>
              <w:t>M9 Approvals and workflow</w:t>
            </w:r>
          </w:p>
        </w:tc>
        <w:tc>
          <w:tcPr>
            <w:tcW w:type="dxa" w:w="5760"/>
            <w:vAlign w:val="center"/>
            <w:shd w:fill="F2F5F8"/>
          </w:tcPr>
          <w:p>
            <w:pPr>
              <w:spacing w:after="40" w:before="40"/>
            </w:pPr>
            <w:r/>
            <w:r>
              <w:rPr>
                <w:rFonts w:ascii="Aptos" w:hAnsi="Aptos"/>
                <w:b w:val="0"/>
                <w:sz w:val="16"/>
              </w:rPr>
              <w:t>Reusable approval policies, request/instance/step history, delegation, escalation and notifications.</w:t>
            </w:r>
          </w:p>
        </w:tc>
        <w:tc>
          <w:tcPr>
            <w:tcW w:type="dxa" w:w="2088"/>
            <w:vAlign w:val="center"/>
            <w:shd w:fill="F2F5F8"/>
          </w:tcPr>
          <w:p>
            <w:pPr>
              <w:spacing w:after="40" w:before="40"/>
            </w:pPr>
            <w:r/>
            <w:r>
              <w:rPr>
                <w:rFonts w:ascii="Aptos" w:hAnsi="Aptos"/>
                <w:b w:val="0"/>
                <w:sz w:val="16"/>
              </w:rPr>
              <w:t>M1; must be agreed before dependent transactions.</w:t>
            </w:r>
          </w:p>
        </w:tc>
      </w:tr>
      <w:tr>
        <w:tc>
          <w:tcPr>
            <w:tcW w:type="dxa" w:w="2088"/>
            <w:vAlign w:val="center"/>
          </w:tcPr>
          <w:p>
            <w:pPr>
              <w:spacing w:after="40" w:before="40"/>
            </w:pPr>
            <w:r/>
            <w:r>
              <w:rPr>
                <w:rFonts w:ascii="Aptos" w:hAnsi="Aptos"/>
                <w:b w:val="0"/>
                <w:sz w:val="16"/>
              </w:rPr>
              <w:t>M10 Finance and costing</w:t>
            </w:r>
          </w:p>
        </w:tc>
        <w:tc>
          <w:tcPr>
            <w:tcW w:type="dxa" w:w="5760"/>
            <w:vAlign w:val="center"/>
          </w:tcPr>
          <w:p>
            <w:pPr>
              <w:spacing w:after="40" w:before="40"/>
            </w:pPr>
            <w:r/>
            <w:r>
              <w:rPr>
                <w:rFonts w:ascii="Aptos" w:hAnsi="Aptos"/>
                <w:b w:val="0"/>
                <w:sz w:val="16"/>
              </w:rPr>
              <w:t>Finance integration boundary, tax/invoice references, production and inventory cost rollups, reconciliation exports.</w:t>
            </w:r>
          </w:p>
        </w:tc>
        <w:tc>
          <w:tcPr>
            <w:tcW w:type="dxa" w:w="2088"/>
            <w:vAlign w:val="center"/>
          </w:tcPr>
          <w:p>
            <w:pPr>
              <w:spacing w:after="40" w:before="40"/>
            </w:pPr>
            <w:r/>
            <w:r>
              <w:rPr>
                <w:rFonts w:ascii="Aptos" w:hAnsi="Aptos"/>
                <w:b w:val="0"/>
                <w:sz w:val="16"/>
              </w:rPr>
              <w:t>M2, M5, M6, M8; accounting policy decisions.</w:t>
            </w:r>
          </w:p>
        </w:tc>
      </w:tr>
      <w:tr>
        <w:tc>
          <w:tcPr>
            <w:tcW w:type="dxa" w:w="2088"/>
            <w:vAlign w:val="center"/>
            <w:shd w:fill="F2F5F8"/>
          </w:tcPr>
          <w:p>
            <w:pPr>
              <w:spacing w:after="40" w:before="40"/>
            </w:pPr>
            <w:r/>
            <w:r>
              <w:rPr>
                <w:rFonts w:ascii="Aptos" w:hAnsi="Aptos"/>
                <w:b w:val="0"/>
                <w:sz w:val="16"/>
              </w:rPr>
              <w:t>M11 Reporting and integrations</w:t>
            </w:r>
          </w:p>
        </w:tc>
        <w:tc>
          <w:tcPr>
            <w:tcW w:type="dxa" w:w="5760"/>
            <w:vAlign w:val="center"/>
            <w:shd w:fill="F2F5F8"/>
          </w:tcPr>
          <w:p>
            <w:pPr>
              <w:spacing w:after="40" w:before="40"/>
            </w:pPr>
            <w:r/>
            <w:r>
              <w:rPr>
                <w:rFonts w:ascii="Aptos" w:hAnsi="Aptos"/>
                <w:b w:val="0"/>
                <w:sz w:val="16"/>
              </w:rPr>
              <w:t>Operational reports, exports, external API/webhooks, background jobs, observability and release hardening.</w:t>
            </w:r>
          </w:p>
        </w:tc>
        <w:tc>
          <w:tcPr>
            <w:tcW w:type="dxa" w:w="2088"/>
            <w:vAlign w:val="center"/>
            <w:shd w:fill="F2F5F8"/>
          </w:tcPr>
          <w:p>
            <w:pPr>
              <w:spacing w:after="40" w:before="40"/>
            </w:pPr>
            <w:r/>
            <w:r>
              <w:rPr>
                <w:rFonts w:ascii="Aptos" w:hAnsi="Aptos"/>
                <w:b w:val="0"/>
                <w:sz w:val="16"/>
              </w:rPr>
              <w:t>Stable contracts from relevant modules.</w:t>
            </w:r>
          </w:p>
        </w:tc>
      </w:tr>
    </w:tbl>
    <w:p>
      <w:pPr>
        <w:spacing w:after="20"/>
      </w:pPr>
    </w:p>
    <w:p>
      <w:pPr>
        <w:pStyle w:val="Heading1"/>
      </w:pPr>
      <w:r>
        <w:t>Delivery phases and exit gates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5112"/>
        <w:gridCol w:w="2952"/>
      </w:tblGrid>
      <w:tr>
        <w:trPr>
          <w:tblHeader w:val="true"/>
        </w:trPr>
        <w:tc>
          <w:tcPr>
            <w:tcW w:type="dxa" w:w="3389"/>
            <w:vAlign w:val="center"/>
            <w:shd w:fill="23466A"/>
          </w:tcPr>
          <w:p>
            <w:pPr>
              <w:spacing w:after="40" w:before="40"/>
            </w:pPr>
            <w:r/>
            <w:r>
              <w:rPr>
                <w:rFonts w:ascii="Aptos" w:hAnsi="Aptos"/>
                <w:b/>
                <w:color w:val="FFFFFF"/>
                <w:sz w:val="16"/>
              </w:rPr>
              <w:t>Phase</w:t>
            </w:r>
          </w:p>
        </w:tc>
        <w:tc>
          <w:tcPr>
            <w:tcW w:type="dxa" w:w="3389"/>
            <w:vAlign w:val="center"/>
            <w:shd w:fill="23466A"/>
          </w:tcPr>
          <w:p>
            <w:pPr>
              <w:spacing w:after="40" w:before="40"/>
            </w:pPr>
            <w:r/>
            <w:r>
              <w:rPr>
                <w:rFonts w:ascii="Aptos" w:hAnsi="Aptos"/>
                <w:b/>
                <w:color w:val="FFFFFF"/>
                <w:sz w:val="16"/>
              </w:rPr>
              <w:t>Modules / work</w:t>
            </w:r>
          </w:p>
        </w:tc>
        <w:tc>
          <w:tcPr>
            <w:tcW w:type="dxa" w:w="3389"/>
            <w:vAlign w:val="center"/>
            <w:shd w:fill="23466A"/>
          </w:tcPr>
          <w:p>
            <w:pPr>
              <w:spacing w:after="40" w:before="40"/>
            </w:pPr>
            <w:r/>
            <w:r>
              <w:rPr>
                <w:rFonts w:ascii="Aptos" w:hAnsi="Aptos"/>
                <w:b/>
                <w:color w:val="FFFFFF"/>
                <w:sz w:val="16"/>
              </w:rPr>
              <w:t>Exit gate</w:t>
            </w:r>
          </w:p>
        </w:tc>
      </w:tr>
      <w:tr>
        <w:tc>
          <w:tcPr>
            <w:tcW w:type="dxa" w:w="1872"/>
            <w:vAlign w:val="center"/>
          </w:tcPr>
          <w:p>
            <w:pPr>
              <w:spacing w:after="40" w:before="40"/>
            </w:pPr>
            <w:r/>
            <w:r>
              <w:rPr>
                <w:rFonts w:ascii="Aptos" w:hAnsi="Aptos"/>
                <w:b w:val="0"/>
                <w:sz w:val="16"/>
              </w:rPr>
              <w:t>0. Scope and engineering setup</w:t>
            </w:r>
          </w:p>
        </w:tc>
        <w:tc>
          <w:tcPr>
            <w:tcW w:type="dxa" w:w="5112"/>
            <w:vAlign w:val="center"/>
          </w:tcPr>
          <w:p>
            <w:pPr>
              <w:spacing w:after="40" w:before="40"/>
            </w:pPr>
            <w:r/>
            <w:r>
              <w:rPr>
                <w:rFonts w:ascii="Aptos" w:hAnsi="Aptos"/>
                <w:b w:val="0"/>
                <w:sz w:val="16"/>
              </w:rPr>
              <w:t>M0 kickoff: BRD traceability, repository/Git workflow, module owners, API conventions, environment variables/secrets policy, migration and test standards. Audit current schema against BRD.</w:t>
            </w:r>
          </w:p>
        </w:tc>
        <w:tc>
          <w:tcPr>
            <w:tcW w:type="dxa" w:w="2952"/>
            <w:vAlign w:val="center"/>
          </w:tcPr>
          <w:p>
            <w:pPr>
              <w:spacing w:after="40" w:before="40"/>
            </w:pPr>
            <w:r/>
            <w:r>
              <w:rPr>
                <w:rFonts w:ascii="Aptos" w:hAnsi="Aptos"/>
                <w:b w:val="0"/>
                <w:sz w:val="16"/>
              </w:rPr>
              <w:t>Senior approves scope, tenant boundary, schema baseline, and first release slice; clean local setup documented.</w:t>
            </w:r>
          </w:p>
        </w:tc>
      </w:tr>
      <w:tr>
        <w:tc>
          <w:tcPr>
            <w:tcW w:type="dxa" w:w="1872"/>
            <w:vAlign w:val="center"/>
            <w:shd w:fill="F2F5F8"/>
          </w:tcPr>
          <w:p>
            <w:pPr>
              <w:spacing w:after="40" w:before="40"/>
            </w:pPr>
            <w:r/>
            <w:r>
              <w:rPr>
                <w:rFonts w:ascii="Aptos" w:hAnsi="Aptos"/>
                <w:b w:val="0"/>
                <w:sz w:val="16"/>
              </w:rPr>
              <w:t>1. Platform foundation</w:t>
            </w:r>
          </w:p>
        </w:tc>
        <w:tc>
          <w:tcPr>
            <w:tcW w:type="dxa" w:w="5112"/>
            <w:vAlign w:val="center"/>
            <w:shd w:fill="F2F5F8"/>
          </w:tcPr>
          <w:p>
            <w:pPr>
              <w:spacing w:after="40" w:before="40"/>
            </w:pPr>
            <w:r/>
            <w:r>
              <w:rPr>
                <w:rFonts w:ascii="Aptos" w:hAnsi="Aptos"/>
                <w:b w:val="0"/>
                <w:sz w:val="16"/>
              </w:rPr>
              <w:t>M0: API boot, PostgreSQL pool, migration tool, config validation, structured logs, health/readiness endpoints, CI lint/test and error format.</w:t>
            </w:r>
          </w:p>
        </w:tc>
        <w:tc>
          <w:tcPr>
            <w:tcW w:type="dxa" w:w="2952"/>
            <w:vAlign w:val="center"/>
            <w:shd w:fill="F2F5F8"/>
          </w:tcPr>
          <w:p>
            <w:pPr>
              <w:spacing w:after="40" w:before="40"/>
            </w:pPr>
            <w:r/>
            <w:r>
              <w:rPr>
                <w:rFonts w:ascii="Aptos" w:hAnsi="Aptos"/>
                <w:b w:val="0"/>
                <w:sz w:val="16"/>
              </w:rPr>
              <w:t>Fresh database can migrate reproducibly; health check and CI pass.</w:t>
            </w:r>
          </w:p>
        </w:tc>
      </w:tr>
      <w:tr>
        <w:tc>
          <w:tcPr>
            <w:tcW w:type="dxa" w:w="1872"/>
            <w:vAlign w:val="center"/>
          </w:tcPr>
          <w:p>
            <w:pPr>
              <w:spacing w:after="40" w:before="40"/>
            </w:pPr>
            <w:r/>
            <w:r>
              <w:rPr>
                <w:rFonts w:ascii="Aptos" w:hAnsi="Aptos"/>
                <w:b w:val="0"/>
                <w:sz w:val="16"/>
              </w:rPr>
              <w:t>2. Identity and tenant security</w:t>
            </w:r>
          </w:p>
        </w:tc>
        <w:tc>
          <w:tcPr>
            <w:tcW w:type="dxa" w:w="5112"/>
            <w:vAlign w:val="center"/>
          </w:tcPr>
          <w:p>
            <w:pPr>
              <w:spacing w:after="40" w:before="40"/>
            </w:pPr>
            <w:r/>
            <w:r>
              <w:rPr>
                <w:rFonts w:ascii="Aptos" w:hAnsi="Aptos"/>
                <w:b w:val="0"/>
                <w:sz w:val="16"/>
              </w:rPr>
              <w:t>M1 + M9 skeleton: Better Auth organizational model, tenant membership, email verification/password reset/MFA configuration, role and permission checks, API tenant context, security audit.</w:t>
            </w:r>
          </w:p>
        </w:tc>
        <w:tc>
          <w:tcPr>
            <w:tcW w:type="dxa" w:w="2952"/>
            <w:vAlign w:val="center"/>
          </w:tcPr>
          <w:p>
            <w:pPr>
              <w:spacing w:after="40" w:before="40"/>
            </w:pPr>
            <w:r/>
            <w:r>
              <w:rPr>
                <w:rFonts w:ascii="Aptos" w:hAnsi="Aptos"/>
                <w:b w:val="0"/>
                <w:sz w:val="16"/>
              </w:rPr>
              <w:t>Automated tests prove unauthenticated and cross-tenant requests are denied; auth email flows tested in configured test environment.</w:t>
            </w:r>
          </w:p>
        </w:tc>
      </w:tr>
      <w:tr>
        <w:tc>
          <w:tcPr>
            <w:tcW w:type="dxa" w:w="1872"/>
            <w:vAlign w:val="center"/>
            <w:shd w:fill="F2F5F8"/>
          </w:tcPr>
          <w:p>
            <w:pPr>
              <w:spacing w:after="40" w:before="40"/>
            </w:pPr>
            <w:r/>
            <w:r>
              <w:rPr>
                <w:rFonts w:ascii="Aptos" w:hAnsi="Aptos"/>
                <w:b w:val="0"/>
                <w:sz w:val="16"/>
              </w:rPr>
              <w:t>3. Shared master data</w:t>
            </w:r>
          </w:p>
        </w:tc>
        <w:tc>
          <w:tcPr>
            <w:tcW w:type="dxa" w:w="5112"/>
            <w:vAlign w:val="center"/>
            <w:shd w:fill="F2F5F8"/>
          </w:tcPr>
          <w:p>
            <w:pPr>
              <w:spacing w:after="40" w:before="40"/>
            </w:pPr>
            <w:r/>
            <w:r>
              <w:rPr>
                <w:rFonts w:ascii="Aptos" w:hAnsi="Aptos"/>
                <w:b w:val="0"/>
                <w:sz w:val="16"/>
              </w:rPr>
              <w:t>M2: organization/site/plant and reference records; validated identifiers, uniqueness and tenant scoping.</w:t>
            </w:r>
          </w:p>
        </w:tc>
        <w:tc>
          <w:tcPr>
            <w:tcW w:type="dxa" w:w="2952"/>
            <w:vAlign w:val="center"/>
            <w:shd w:fill="F2F5F8"/>
          </w:tcPr>
          <w:p>
            <w:pPr>
              <w:spacing w:after="40" w:before="40"/>
            </w:pPr>
            <w:r/>
            <w:r>
              <w:rPr>
                <w:rFonts w:ascii="Aptos" w:hAnsi="Aptos"/>
                <w:b w:val="0"/>
                <w:sz w:val="16"/>
              </w:rPr>
              <w:t>CRUD and access tests pass; seed/reference data is reproducible.</w:t>
            </w:r>
          </w:p>
        </w:tc>
      </w:tr>
      <w:tr>
        <w:tc>
          <w:tcPr>
            <w:tcW w:type="dxa" w:w="1872"/>
            <w:vAlign w:val="center"/>
          </w:tcPr>
          <w:p>
            <w:pPr>
              <w:spacing w:after="40" w:before="40"/>
            </w:pPr>
            <w:r/>
            <w:r>
              <w:rPr>
                <w:rFonts w:ascii="Aptos" w:hAnsi="Aptos"/>
                <w:b w:val="0"/>
                <w:sz w:val="16"/>
              </w:rPr>
              <w:t>4. Product definition</w:t>
            </w:r>
          </w:p>
        </w:tc>
        <w:tc>
          <w:tcPr>
            <w:tcW w:type="dxa" w:w="5112"/>
            <w:vAlign w:val="center"/>
          </w:tcPr>
          <w:p>
            <w:pPr>
              <w:spacing w:after="40" w:before="40"/>
            </w:pPr>
            <w:r/>
            <w:r>
              <w:rPr>
                <w:rFonts w:ascii="Aptos" w:hAnsi="Aptos"/>
                <w:b w:val="0"/>
                <w:sz w:val="16"/>
              </w:rPr>
              <w:t>M3: items, revisions, BOM, routing, engineering change approval.</w:t>
            </w:r>
          </w:p>
        </w:tc>
        <w:tc>
          <w:tcPr>
            <w:tcW w:type="dxa" w:w="2952"/>
            <w:vAlign w:val="center"/>
          </w:tcPr>
          <w:p>
            <w:pPr>
              <w:spacing w:after="40" w:before="40"/>
            </w:pPr>
            <w:r/>
            <w:r>
              <w:rPr>
                <w:rFonts w:ascii="Aptos" w:hAnsi="Aptos"/>
                <w:b w:val="0"/>
                <w:sz w:val="16"/>
              </w:rPr>
              <w:t>BOM/revision integrity and effective-change rules tested; approval transitions auditable.</w:t>
            </w:r>
          </w:p>
        </w:tc>
      </w:tr>
      <w:tr>
        <w:tc>
          <w:tcPr>
            <w:tcW w:type="dxa" w:w="1872"/>
            <w:vAlign w:val="center"/>
            <w:shd w:fill="F2F5F8"/>
          </w:tcPr>
          <w:p>
            <w:pPr>
              <w:spacing w:after="40" w:before="40"/>
            </w:pPr>
            <w:r/>
            <w:r>
              <w:rPr>
                <w:rFonts w:ascii="Aptos" w:hAnsi="Aptos"/>
                <w:b w:val="0"/>
                <w:sz w:val="16"/>
              </w:rPr>
              <w:t>5. Buy and stock</w:t>
            </w:r>
          </w:p>
        </w:tc>
        <w:tc>
          <w:tcPr>
            <w:tcW w:type="dxa" w:w="5112"/>
            <w:vAlign w:val="center"/>
            <w:shd w:fill="F2F5F8"/>
          </w:tcPr>
          <w:p>
            <w:pPr>
              <w:spacing w:after="40" w:before="40"/>
            </w:pPr>
            <w:r/>
            <w:r>
              <w:rPr>
                <w:rFonts w:ascii="Aptos" w:hAnsi="Aptos"/>
                <w:b w:val="0"/>
                <w:sz w:val="16"/>
              </w:rPr>
              <w:t>M4 + M5: procurement documents and receiving; stock ledger, transfers, reservations and traceability.</w:t>
            </w:r>
          </w:p>
        </w:tc>
        <w:tc>
          <w:tcPr>
            <w:tcW w:type="dxa" w:w="2952"/>
            <w:vAlign w:val="center"/>
            <w:shd w:fill="F2F5F8"/>
          </w:tcPr>
          <w:p>
            <w:pPr>
              <w:spacing w:after="40" w:before="40"/>
            </w:pPr>
            <w:r/>
            <w:r>
              <w:rPr>
                <w:rFonts w:ascii="Aptos" w:hAnsi="Aptos"/>
                <w:b w:val="0"/>
                <w:sz w:val="16"/>
              </w:rPr>
              <w:t>Receipt-to-stock and issue/transfer flows reconcile; ledger rules and concurrent update behavior tested.</w:t>
            </w:r>
          </w:p>
        </w:tc>
      </w:tr>
      <w:tr>
        <w:tc>
          <w:tcPr>
            <w:tcW w:type="dxa" w:w="1872"/>
            <w:vAlign w:val="center"/>
          </w:tcPr>
          <w:p>
            <w:pPr>
              <w:spacing w:after="40" w:before="40"/>
            </w:pPr>
            <w:r/>
            <w:r>
              <w:rPr>
                <w:rFonts w:ascii="Aptos" w:hAnsi="Aptos"/>
                <w:b w:val="0"/>
                <w:sz w:val="16"/>
              </w:rPr>
              <w:t>6. Make and assure quality</w:t>
            </w:r>
          </w:p>
        </w:tc>
        <w:tc>
          <w:tcPr>
            <w:tcW w:type="dxa" w:w="5112"/>
            <w:vAlign w:val="center"/>
          </w:tcPr>
          <w:p>
            <w:pPr>
              <w:spacing w:after="40" w:before="40"/>
            </w:pPr>
            <w:r/>
            <w:r>
              <w:rPr>
                <w:rFonts w:ascii="Aptos" w:hAnsi="Aptos"/>
                <w:b w:val="0"/>
                <w:sz w:val="16"/>
              </w:rPr>
              <w:t>M6 + M7: work orders, material consumption, output, WIP, inspections, non-conformance and disposition.</w:t>
            </w:r>
          </w:p>
        </w:tc>
        <w:tc>
          <w:tcPr>
            <w:tcW w:type="dxa" w:w="2952"/>
            <w:vAlign w:val="center"/>
          </w:tcPr>
          <w:p>
            <w:pPr>
              <w:spacing w:after="40" w:before="40"/>
            </w:pPr>
            <w:r/>
            <w:r>
              <w:rPr>
                <w:rFonts w:ascii="Aptos" w:hAnsi="Aptos"/>
                <w:b w:val="0"/>
                <w:sz w:val="16"/>
              </w:rPr>
              <w:t>A representative work order is traceable from BOM/material lots through output and inspection.</w:t>
            </w:r>
          </w:p>
        </w:tc>
      </w:tr>
      <w:tr>
        <w:tc>
          <w:tcPr>
            <w:tcW w:type="dxa" w:w="1872"/>
            <w:vAlign w:val="center"/>
            <w:shd w:fill="F2F5F8"/>
          </w:tcPr>
          <w:p>
            <w:pPr>
              <w:spacing w:after="40" w:before="40"/>
            </w:pPr>
            <w:r/>
            <w:r>
              <w:rPr>
                <w:rFonts w:ascii="Aptos" w:hAnsi="Aptos"/>
                <w:b w:val="0"/>
                <w:sz w:val="16"/>
              </w:rPr>
              <w:t>7. Sell, ship and financial handoff</w:t>
            </w:r>
          </w:p>
        </w:tc>
        <w:tc>
          <w:tcPr>
            <w:tcW w:type="dxa" w:w="5112"/>
            <w:vAlign w:val="center"/>
            <w:shd w:fill="F2F5F8"/>
          </w:tcPr>
          <w:p>
            <w:pPr>
              <w:spacing w:after="40" w:before="40"/>
            </w:pPr>
            <w:r/>
            <w:r>
              <w:rPr>
                <w:rFonts w:ascii="Aptos" w:hAnsi="Aptos"/>
                <w:b w:val="0"/>
                <w:sz w:val="16"/>
              </w:rPr>
              <w:t>M8 + M10: quote/order, availability, dispatch, invoice/accounting boundary, cost/export reports.</w:t>
            </w:r>
          </w:p>
        </w:tc>
        <w:tc>
          <w:tcPr>
            <w:tcW w:type="dxa" w:w="2952"/>
            <w:vAlign w:val="center"/>
            <w:shd w:fill="F2F5F8"/>
          </w:tcPr>
          <w:p>
            <w:pPr>
              <w:spacing w:after="40" w:before="40"/>
            </w:pPr>
            <w:r/>
            <w:r>
              <w:rPr>
                <w:rFonts w:ascii="Aptos" w:hAnsi="Aptos"/>
                <w:b w:val="0"/>
                <w:sz w:val="16"/>
              </w:rPr>
              <w:t>Order-to-dispatch flow reconciles to inventory; finance policy and integration ownership approved.</w:t>
            </w:r>
          </w:p>
        </w:tc>
      </w:tr>
      <w:tr>
        <w:tc>
          <w:tcPr>
            <w:tcW w:type="dxa" w:w="1872"/>
            <w:vAlign w:val="center"/>
          </w:tcPr>
          <w:p>
            <w:pPr>
              <w:spacing w:after="40" w:before="40"/>
            </w:pPr>
            <w:r/>
            <w:r>
              <w:rPr>
                <w:rFonts w:ascii="Aptos" w:hAnsi="Aptos"/>
                <w:b w:val="0"/>
                <w:sz w:val="16"/>
              </w:rPr>
              <w:t>8. Reporting and release readiness</w:t>
            </w:r>
          </w:p>
        </w:tc>
        <w:tc>
          <w:tcPr>
            <w:tcW w:type="dxa" w:w="5112"/>
            <w:vAlign w:val="center"/>
          </w:tcPr>
          <w:p>
            <w:pPr>
              <w:spacing w:after="40" w:before="40"/>
            </w:pPr>
            <w:r/>
            <w:r>
              <w:rPr>
                <w:rFonts w:ascii="Aptos" w:hAnsi="Aptos"/>
                <w:b w:val="0"/>
                <w:sz w:val="16"/>
              </w:rPr>
              <w:t>M11: reports, integrations, performance/security review, backup/restore rehearsal, monitoring, deployment/runbooks.</w:t>
            </w:r>
          </w:p>
        </w:tc>
        <w:tc>
          <w:tcPr>
            <w:tcW w:type="dxa" w:w="2952"/>
            <w:vAlign w:val="center"/>
          </w:tcPr>
          <w:p>
            <w:pPr>
              <w:spacing w:after="40" w:before="40"/>
            </w:pPr>
            <w:r/>
            <w:r>
              <w:rPr>
                <w:rFonts w:ascii="Aptos" w:hAnsi="Aptos"/>
                <w:b w:val="0"/>
                <w:sz w:val="16"/>
              </w:rPr>
              <w:t>Release checklist signed; critical workflows tested end-to-end; rollback and support ownership documented.</w:t>
            </w:r>
          </w:p>
        </w:tc>
      </w:tr>
    </w:tbl>
    <w:p>
      <w:pPr>
        <w:spacing w:after="20"/>
      </w:pPr>
    </w:p>
    <w:p>
      <w:pPr>
        <w:pStyle w:val="Heading1"/>
      </w:pPr>
      <w:r>
        <w:t>Suggested split for two developers</w:t>
      </w:r>
    </w:p>
    <w:p>
      <w:r>
        <w:t>Use a lead/reviewer role for shared design decisions; module ownership below is a starting split, not a hard org chart. In Phase 0, both developers review the BRD/schema, while one person records decisions and the other validates the DB/API setup.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12"/>
        <w:gridCol w:w="4392"/>
        <w:gridCol w:w="4032"/>
      </w:tblGrid>
      <w:tr>
        <w:trPr>
          <w:tblHeader w:val="true"/>
        </w:trPr>
        <w:tc>
          <w:tcPr>
            <w:tcW w:type="dxa" w:w="3389"/>
            <w:vAlign w:val="center"/>
            <w:shd w:fill="23466A"/>
          </w:tcPr>
          <w:p>
            <w:pPr>
              <w:spacing w:after="40" w:before="40"/>
            </w:pPr>
            <w:r/>
            <w:r>
              <w:rPr>
                <w:rFonts w:ascii="Aptos" w:hAnsi="Aptos"/>
                <w:b/>
                <w:color w:val="FFFFFF"/>
                <w:sz w:val="16"/>
              </w:rPr>
              <w:t>Work period</w:t>
            </w:r>
          </w:p>
        </w:tc>
        <w:tc>
          <w:tcPr>
            <w:tcW w:type="dxa" w:w="3389"/>
            <w:vAlign w:val="center"/>
            <w:shd w:fill="23466A"/>
          </w:tcPr>
          <w:p>
            <w:pPr>
              <w:spacing w:after="40" w:before="40"/>
            </w:pPr>
            <w:r/>
            <w:r>
              <w:rPr>
                <w:rFonts w:ascii="Aptos" w:hAnsi="Aptos"/>
                <w:b/>
                <w:color w:val="FFFFFF"/>
                <w:sz w:val="16"/>
              </w:rPr>
              <w:t>Developer A — platform/security owner</w:t>
            </w:r>
          </w:p>
        </w:tc>
        <w:tc>
          <w:tcPr>
            <w:tcW w:type="dxa" w:w="3389"/>
            <w:vAlign w:val="center"/>
            <w:shd w:fill="23466A"/>
          </w:tcPr>
          <w:p>
            <w:pPr>
              <w:spacing w:after="40" w:before="40"/>
            </w:pPr>
            <w:r/>
            <w:r>
              <w:rPr>
                <w:rFonts w:ascii="Aptos" w:hAnsi="Aptos"/>
                <w:b/>
                <w:color w:val="FFFFFF"/>
                <w:sz w:val="16"/>
              </w:rPr>
              <w:t>Developer B — business workflow owner</w:t>
            </w:r>
          </w:p>
        </w:tc>
      </w:tr>
      <w:tr>
        <w:tc>
          <w:tcPr>
            <w:tcW w:type="dxa" w:w="1512"/>
            <w:vAlign w:val="center"/>
          </w:tcPr>
          <w:p>
            <w:pPr>
              <w:spacing w:after="40" w:before="40"/>
            </w:pPr>
            <w:r/>
            <w:r>
              <w:rPr>
                <w:rFonts w:ascii="Aptos" w:hAnsi="Aptos"/>
                <w:b w:val="0"/>
                <w:sz w:val="16"/>
              </w:rPr>
              <w:t>Phases 0-1</w:t>
            </w:r>
          </w:p>
        </w:tc>
        <w:tc>
          <w:tcPr>
            <w:tcW w:type="dxa" w:w="4392"/>
            <w:vAlign w:val="center"/>
          </w:tcPr>
          <w:p>
            <w:pPr>
              <w:spacing w:after="40" w:before="40"/>
            </w:pPr>
            <w:r/>
            <w:r>
              <w:rPr>
                <w:rFonts w:ascii="Aptos" w:hAnsi="Aptos"/>
                <w:b w:val="0"/>
                <w:sz w:val="16"/>
              </w:rPr>
              <w:t>Own M0: repo conventions, API foundation, database migration workflow, CI and shared API/error patterns. Pair on schema/tenant decisions.</w:t>
            </w:r>
          </w:p>
        </w:tc>
        <w:tc>
          <w:tcPr>
            <w:tcW w:type="dxa" w:w="4032"/>
            <w:vAlign w:val="center"/>
          </w:tcPr>
          <w:p>
            <w:pPr>
              <w:spacing w:after="40" w:before="40"/>
            </w:pPr>
            <w:r/>
            <w:r>
              <w:rPr>
                <w:rFonts w:ascii="Aptos" w:hAnsi="Aptos"/>
                <w:b w:val="0"/>
                <w:sz w:val="16"/>
              </w:rPr>
              <w:t>Review BRD-to-table map; prepare M2 data dictionary and endpoint contracts; build test/seed fixtures only after shared conventions are agreed.</w:t>
            </w:r>
          </w:p>
        </w:tc>
      </w:tr>
      <w:tr>
        <w:tc>
          <w:tcPr>
            <w:tcW w:type="dxa" w:w="1512"/>
            <w:vAlign w:val="center"/>
            <w:shd w:fill="F2F5F8"/>
          </w:tcPr>
          <w:p>
            <w:pPr>
              <w:spacing w:after="40" w:before="40"/>
            </w:pPr>
            <w:r/>
            <w:r>
              <w:rPr>
                <w:rFonts w:ascii="Aptos" w:hAnsi="Aptos"/>
                <w:b w:val="0"/>
                <w:sz w:val="16"/>
              </w:rPr>
              <w:t>Phase 2</w:t>
            </w:r>
          </w:p>
        </w:tc>
        <w:tc>
          <w:tcPr>
            <w:tcW w:type="dxa" w:w="4392"/>
            <w:vAlign w:val="center"/>
            <w:shd w:fill="F2F5F8"/>
          </w:tcPr>
          <w:p>
            <w:pPr>
              <w:spacing w:after="40" w:before="40"/>
            </w:pPr>
            <w:r/>
            <w:r>
              <w:rPr>
                <w:rFonts w:ascii="Aptos" w:hAnsi="Aptos"/>
                <w:b w:val="0"/>
                <w:sz w:val="16"/>
              </w:rPr>
              <w:t>Own M1 and M9 foundation: auth, tenant context, permission middleware, security/audit tests.</w:t>
            </w:r>
          </w:p>
        </w:tc>
        <w:tc>
          <w:tcPr>
            <w:tcW w:type="dxa" w:w="4032"/>
            <w:vAlign w:val="center"/>
            <w:shd w:fill="F2F5F8"/>
          </w:tcPr>
          <w:p>
            <w:pPr>
              <w:spacing w:after="40" w:before="40"/>
            </w:pPr>
            <w:r/>
            <w:r>
              <w:rPr>
                <w:rFonts w:ascii="Aptos" w:hAnsi="Aptos"/>
                <w:b w:val="0"/>
                <w:sz w:val="16"/>
              </w:rPr>
              <w:t>Own M2 master data endpoints and tests, using the tenant/auth contracts agreed with A; avoid changing shared auth/config files.</w:t>
            </w:r>
          </w:p>
        </w:tc>
      </w:tr>
      <w:tr>
        <w:tc>
          <w:tcPr>
            <w:tcW w:type="dxa" w:w="1512"/>
            <w:vAlign w:val="center"/>
          </w:tcPr>
          <w:p>
            <w:pPr>
              <w:spacing w:after="40" w:before="40"/>
            </w:pPr>
            <w:r/>
            <w:r>
              <w:rPr>
                <w:rFonts w:ascii="Aptos" w:hAnsi="Aptos"/>
                <w:b w:val="0"/>
                <w:sz w:val="16"/>
              </w:rPr>
              <w:t>Phases 3-4</w:t>
            </w:r>
          </w:p>
        </w:tc>
        <w:tc>
          <w:tcPr>
            <w:tcW w:type="dxa" w:w="4392"/>
            <w:vAlign w:val="center"/>
          </w:tcPr>
          <w:p>
            <w:pPr>
              <w:spacing w:after="40" w:before="40"/>
            </w:pPr>
            <w:r/>
            <w:r>
              <w:rPr>
                <w:rFonts w:ascii="Aptos" w:hAnsi="Aptos"/>
                <w:b w:val="0"/>
                <w:sz w:val="16"/>
              </w:rPr>
              <w:t>Own cross-cutting approvals/security review and M3 engineering APIs, or review M3 while B owns procurement; choose based on strengths.</w:t>
            </w:r>
          </w:p>
        </w:tc>
        <w:tc>
          <w:tcPr>
            <w:tcW w:type="dxa" w:w="4032"/>
            <w:vAlign w:val="center"/>
          </w:tcPr>
          <w:p>
            <w:pPr>
              <w:spacing w:after="40" w:before="40"/>
            </w:pPr>
            <w:r/>
            <w:r>
              <w:rPr>
                <w:rFonts w:ascii="Aptos" w:hAnsi="Aptos"/>
                <w:b w:val="0"/>
                <w:sz w:val="16"/>
              </w:rPr>
              <w:t>Own M4 procurement and its contract to inventory; coordinate schema/API changes via PR.</w:t>
            </w:r>
          </w:p>
        </w:tc>
      </w:tr>
      <w:tr>
        <w:tc>
          <w:tcPr>
            <w:tcW w:type="dxa" w:w="1512"/>
            <w:vAlign w:val="center"/>
            <w:shd w:fill="F2F5F8"/>
          </w:tcPr>
          <w:p>
            <w:pPr>
              <w:spacing w:after="40" w:before="40"/>
            </w:pPr>
            <w:r/>
            <w:r>
              <w:rPr>
                <w:rFonts w:ascii="Aptos" w:hAnsi="Aptos"/>
                <w:b w:val="0"/>
                <w:sz w:val="16"/>
              </w:rPr>
              <w:t>Phases 5-6</w:t>
            </w:r>
          </w:p>
        </w:tc>
        <w:tc>
          <w:tcPr>
            <w:tcW w:type="dxa" w:w="4392"/>
            <w:vAlign w:val="center"/>
            <w:shd w:fill="F2F5F8"/>
          </w:tcPr>
          <w:p>
            <w:pPr>
              <w:spacing w:after="40" w:before="40"/>
            </w:pPr>
            <w:r/>
            <w:r>
              <w:rPr>
                <w:rFonts w:ascii="Aptos" w:hAnsi="Aptos"/>
                <w:b w:val="0"/>
                <w:sz w:val="16"/>
              </w:rPr>
              <w:t>Own M5 inventory ledger/traceability and support M6 integration.</w:t>
            </w:r>
          </w:p>
        </w:tc>
        <w:tc>
          <w:tcPr>
            <w:tcW w:type="dxa" w:w="4032"/>
            <w:vAlign w:val="center"/>
            <w:shd w:fill="F2F5F8"/>
          </w:tcPr>
          <w:p>
            <w:pPr>
              <w:spacing w:after="40" w:before="40"/>
            </w:pPr>
            <w:r/>
            <w:r>
              <w:rPr>
                <w:rFonts w:ascii="Aptos" w:hAnsi="Aptos"/>
                <w:b w:val="0"/>
                <w:sz w:val="16"/>
              </w:rPr>
              <w:t>Own M6 production workflows and M7 quality workflows against inventory/BOM contracts.</w:t>
            </w:r>
          </w:p>
        </w:tc>
      </w:tr>
      <w:tr>
        <w:tc>
          <w:tcPr>
            <w:tcW w:type="dxa" w:w="1512"/>
            <w:vAlign w:val="center"/>
          </w:tcPr>
          <w:p>
            <w:pPr>
              <w:spacing w:after="40" w:before="40"/>
            </w:pPr>
            <w:r/>
            <w:r>
              <w:rPr>
                <w:rFonts w:ascii="Aptos" w:hAnsi="Aptos"/>
                <w:b w:val="0"/>
                <w:sz w:val="16"/>
              </w:rPr>
              <w:t>Phases 7-8</w:t>
            </w:r>
          </w:p>
        </w:tc>
        <w:tc>
          <w:tcPr>
            <w:tcW w:type="dxa" w:w="4392"/>
            <w:vAlign w:val="center"/>
          </w:tcPr>
          <w:p>
            <w:pPr>
              <w:spacing w:after="40" w:before="40"/>
            </w:pPr>
            <w:r/>
            <w:r>
              <w:rPr>
                <w:rFonts w:ascii="Aptos" w:hAnsi="Aptos"/>
                <w:b w:val="0"/>
                <w:sz w:val="16"/>
              </w:rPr>
              <w:t>Own M10 finance/security/performance concerns and release hardening.</w:t>
            </w:r>
          </w:p>
        </w:tc>
        <w:tc>
          <w:tcPr>
            <w:tcW w:type="dxa" w:w="4032"/>
            <w:vAlign w:val="center"/>
          </w:tcPr>
          <w:p>
            <w:pPr>
              <w:spacing w:after="40" w:before="40"/>
            </w:pPr>
            <w:r/>
            <w:r>
              <w:rPr>
                <w:rFonts w:ascii="Aptos" w:hAnsi="Aptos"/>
                <w:b w:val="0"/>
                <w:sz w:val="16"/>
              </w:rPr>
              <w:t>Own M8 sales/dispatch and M11 reports/integration adapters; both run end-to-end and release checks.</w:t>
            </w:r>
          </w:p>
        </w:tc>
      </w:tr>
    </w:tbl>
    <w:p>
      <w:pPr>
        <w:spacing w:after="20"/>
      </w:pPr>
    </w:p>
    <w:p>
      <w:r>
        <w:t>If skills or workload differ, swap module ownership at phase boundaries. Keep one explicit owner for each shared concern: database migrations, auth/tenant middleware, API contracts, CI, and release. Avoid simultaneous edits to the same migration, root configuration, or shared model file.</w:t>
      </w:r>
    </w:p>
    <w:p>
      <w:pPr>
        <w:pStyle w:val="Heading1"/>
      </w:pPr>
      <w:r>
        <w:t>Team workflow to prevent conflicts</w:t>
      </w:r>
    </w:p>
    <w:p>
      <w:pPr>
        <w:pStyle w:val="ListBullet"/>
        <w:spacing w:after="40"/>
      </w:pPr>
      <w:r>
        <w:t>Before feature work, initialize/confirm the Git repository and shared remote; protect the main branch and require pull requests. Never share one working branch for unrelated features.</w:t>
      </w:r>
    </w:p>
    <w:p>
      <w:pPr>
        <w:pStyle w:val="ListBullet"/>
        <w:spacing w:after="40"/>
      </w:pPr>
      <w:r>
        <w:t>Use short branches such as feature/inventory-ledger or feature/procurement-po. One branch should represent one small module change.</w:t>
      </w:r>
    </w:p>
    <w:p>
      <w:pPr>
        <w:pStyle w:val="ListBullet"/>
        <w:spacing w:after="40"/>
      </w:pPr>
      <w:r>
        <w:t>For every PR include purpose, linked BRD requirement, API/schema changes, migration order, test evidence, screenshots/logs if relevant, and reviewer notes. Require one teammate review before merge.</w:t>
      </w:r>
    </w:p>
    <w:p>
      <w:pPr>
        <w:pStyle w:val="ListBullet"/>
        <w:spacing w:after="40"/>
      </w:pPr>
      <w:r>
        <w:t>Only the designated database owner edits shared migration ordering or baseline. Developers create additive migrations on their feature branches and coordinate dependencies before merge. Do not edit an already-applied migration; add a forward migration.</w:t>
      </w:r>
    </w:p>
    <w:p>
      <w:pPr>
        <w:pStyle w:val="ListBullet"/>
        <w:spacing w:after="40"/>
      </w:pPr>
      <w:r>
        <w:t>Publish an API contract before parallel implementation: endpoint, request/response, error cases, tenant scope, permission, idempotency, and owning module. Version breaking changes or coordinate them explicitly.</w:t>
      </w:r>
    </w:p>
    <w:p>
      <w:pPr>
        <w:pStyle w:val="ListBullet"/>
        <w:spacing w:after="40"/>
      </w:pPr>
      <w:r>
        <w:t>Keep module code in separate folders/packages where practical. Avoid broad refactors while another developer is delivering a dependent module. Rebase/merge main frequently and resolve conflicts with the file owner.</w:t>
      </w:r>
    </w:p>
    <w:p>
      <w:pPr>
        <w:pStyle w:val="ListBullet"/>
        <w:spacing w:after="40"/>
      </w:pPr>
      <w:r>
        <w:t>Never commit secrets, real SMTP credentials, customer data, or local .env files. Use a shared secret manager or individually provisioned local secrets.</w:t>
      </w:r>
    </w:p>
    <w:p>
      <w:pPr>
        <w:pStyle w:val="Heading1"/>
      </w:pPr>
      <w:r>
        <w:t>Definition of done for each backend module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16"/>
        <w:gridCol w:w="7920"/>
      </w:tblGrid>
      <w:tr>
        <w:trPr>
          <w:tblHeader w:val="true"/>
        </w:trPr>
        <w:tc>
          <w:tcPr>
            <w:tcW w:type="dxa" w:w="5083"/>
            <w:vAlign w:val="center"/>
            <w:shd w:fill="23466A"/>
          </w:tcPr>
          <w:p>
            <w:pPr>
              <w:spacing w:after="40" w:before="40"/>
            </w:pPr>
            <w:r/>
            <w:r>
              <w:rPr>
                <w:rFonts w:ascii="Aptos" w:hAnsi="Aptos"/>
                <w:b/>
                <w:color w:val="FFFFFF"/>
                <w:sz w:val="16"/>
              </w:rPr>
              <w:t>Check</w:t>
            </w:r>
          </w:p>
        </w:tc>
        <w:tc>
          <w:tcPr>
            <w:tcW w:type="dxa" w:w="5083"/>
            <w:vAlign w:val="center"/>
            <w:shd w:fill="23466A"/>
          </w:tcPr>
          <w:p>
            <w:pPr>
              <w:spacing w:after="40" w:before="40"/>
            </w:pPr>
            <w:r/>
            <w:r>
              <w:rPr>
                <w:rFonts w:ascii="Aptos" w:hAnsi="Aptos"/>
                <w:b/>
                <w:color w:val="FFFFFF"/>
                <w:sz w:val="16"/>
              </w:rPr>
              <w:t>Minimum evidence before merge</w:t>
            </w:r>
          </w:p>
        </w:tc>
      </w:tr>
      <w:tr>
        <w:tc>
          <w:tcPr>
            <w:tcW w:type="dxa" w:w="2016"/>
            <w:vAlign w:val="center"/>
          </w:tcPr>
          <w:p>
            <w:pPr>
              <w:spacing w:after="40" w:before="40"/>
            </w:pPr>
            <w:r/>
            <w:r>
              <w:rPr>
                <w:rFonts w:ascii="Aptos" w:hAnsi="Aptos"/>
                <w:b w:val="0"/>
                <w:sz w:val="16"/>
              </w:rPr>
              <w:t>BRD scope</w:t>
            </w:r>
          </w:p>
        </w:tc>
        <w:tc>
          <w:tcPr>
            <w:tcW w:type="dxa" w:w="7920"/>
            <w:vAlign w:val="center"/>
          </w:tcPr>
          <w:p>
            <w:pPr>
              <w:spacing w:after="40" w:before="40"/>
            </w:pPr>
            <w:r/>
            <w:r>
              <w:rPr>
                <w:rFonts w:ascii="Aptos" w:hAnsi="Aptos"/>
                <w:b w:val="0"/>
                <w:sz w:val="16"/>
              </w:rPr>
              <w:t>Requirement IDs or exact BRD section mapped to implemented behavior; unresolved assumptions listed.</w:t>
            </w:r>
          </w:p>
        </w:tc>
      </w:tr>
      <w:tr>
        <w:tc>
          <w:tcPr>
            <w:tcW w:type="dxa" w:w="2016"/>
            <w:vAlign w:val="center"/>
            <w:shd w:fill="F2F5F8"/>
          </w:tcPr>
          <w:p>
            <w:pPr>
              <w:spacing w:after="40" w:before="40"/>
            </w:pPr>
            <w:r/>
            <w:r>
              <w:rPr>
                <w:rFonts w:ascii="Aptos" w:hAnsi="Aptos"/>
                <w:b w:val="0"/>
                <w:sz w:val="16"/>
              </w:rPr>
              <w:t>Data and migration</w:t>
            </w:r>
          </w:p>
        </w:tc>
        <w:tc>
          <w:tcPr>
            <w:tcW w:type="dxa" w:w="7920"/>
            <w:vAlign w:val="center"/>
            <w:shd w:fill="F2F5F8"/>
          </w:tcPr>
          <w:p>
            <w:pPr>
              <w:spacing w:after="40" w:before="40"/>
            </w:pPr>
            <w:r/>
            <w:r>
              <w:rPr>
                <w:rFonts w:ascii="Aptos" w:hAnsi="Aptos"/>
                <w:b w:val="0"/>
                <w:sz w:val="16"/>
              </w:rPr>
              <w:t>Tenant ownership/FKs/unique constraints reviewed; migration applies to a clean DB and a DB at the current baseline; rollback/recovery approach documented.</w:t>
            </w:r>
          </w:p>
        </w:tc>
      </w:tr>
      <w:tr>
        <w:tc>
          <w:tcPr>
            <w:tcW w:type="dxa" w:w="2016"/>
            <w:vAlign w:val="center"/>
          </w:tcPr>
          <w:p>
            <w:pPr>
              <w:spacing w:after="40" w:before="40"/>
            </w:pPr>
            <w:r/>
            <w:r>
              <w:rPr>
                <w:rFonts w:ascii="Aptos" w:hAnsi="Aptos"/>
                <w:b w:val="0"/>
                <w:sz w:val="16"/>
              </w:rPr>
              <w:t>API and security</w:t>
            </w:r>
          </w:p>
        </w:tc>
        <w:tc>
          <w:tcPr>
            <w:tcW w:type="dxa" w:w="7920"/>
            <w:vAlign w:val="center"/>
          </w:tcPr>
          <w:p>
            <w:pPr>
              <w:spacing w:after="40" w:before="40"/>
            </w:pPr>
            <w:r/>
            <w:r>
              <w:rPr>
                <w:rFonts w:ascii="Aptos" w:hAnsi="Aptos"/>
                <w:b w:val="0"/>
                <w:sz w:val="16"/>
              </w:rPr>
              <w:t>Validation, authorization, tenant isolation, error responses, audit needs and idempotency considered; no secrets in code.</w:t>
            </w:r>
          </w:p>
        </w:tc>
      </w:tr>
      <w:tr>
        <w:tc>
          <w:tcPr>
            <w:tcW w:type="dxa" w:w="2016"/>
            <w:vAlign w:val="center"/>
            <w:shd w:fill="F2F5F8"/>
          </w:tcPr>
          <w:p>
            <w:pPr>
              <w:spacing w:after="40" w:before="40"/>
            </w:pPr>
            <w:r/>
            <w:r>
              <w:rPr>
                <w:rFonts w:ascii="Aptos" w:hAnsi="Aptos"/>
                <w:b w:val="0"/>
                <w:sz w:val="16"/>
              </w:rPr>
              <w:t>Tests</w:t>
            </w:r>
          </w:p>
        </w:tc>
        <w:tc>
          <w:tcPr>
            <w:tcW w:type="dxa" w:w="7920"/>
            <w:vAlign w:val="center"/>
            <w:shd w:fill="F2F5F8"/>
          </w:tcPr>
          <w:p>
            <w:pPr>
              <w:spacing w:after="40" w:before="40"/>
            </w:pPr>
            <w:r/>
            <w:r>
              <w:rPr>
                <w:rFonts w:ascii="Aptos" w:hAnsi="Aptos"/>
                <w:b w:val="0"/>
                <w:sz w:val="16"/>
              </w:rPr>
              <w:t>Unit and integration tests cover success, validation failure, authorization denial, tenant boundary, and important edge cases.</w:t>
            </w:r>
          </w:p>
        </w:tc>
      </w:tr>
      <w:tr>
        <w:tc>
          <w:tcPr>
            <w:tcW w:type="dxa" w:w="2016"/>
            <w:vAlign w:val="center"/>
          </w:tcPr>
          <w:p>
            <w:pPr>
              <w:spacing w:after="40" w:before="40"/>
            </w:pPr>
            <w:r/>
            <w:r>
              <w:rPr>
                <w:rFonts w:ascii="Aptos" w:hAnsi="Aptos"/>
                <w:b w:val="0"/>
                <w:sz w:val="16"/>
              </w:rPr>
              <w:t>Operations</w:t>
            </w:r>
          </w:p>
        </w:tc>
        <w:tc>
          <w:tcPr>
            <w:tcW w:type="dxa" w:w="7920"/>
            <w:vAlign w:val="center"/>
          </w:tcPr>
          <w:p>
            <w:pPr>
              <w:spacing w:after="40" w:before="40"/>
            </w:pPr>
            <w:r/>
            <w:r>
              <w:rPr>
                <w:rFonts w:ascii="Aptos" w:hAnsi="Aptos"/>
                <w:b w:val="0"/>
                <w:sz w:val="16"/>
              </w:rPr>
              <w:t>Logs are useful and avoid sensitive values; configuration documented; health behavior and support/runbook notes updated.</w:t>
            </w:r>
          </w:p>
        </w:tc>
      </w:tr>
      <w:tr>
        <w:tc>
          <w:tcPr>
            <w:tcW w:type="dxa" w:w="2016"/>
            <w:vAlign w:val="center"/>
            <w:shd w:fill="F2F5F8"/>
          </w:tcPr>
          <w:p>
            <w:pPr>
              <w:spacing w:after="40" w:before="40"/>
            </w:pPr>
            <w:r/>
            <w:r>
              <w:rPr>
                <w:rFonts w:ascii="Aptos" w:hAnsi="Aptos"/>
                <w:b w:val="0"/>
                <w:sz w:val="16"/>
              </w:rPr>
              <w:t>Review and handoff</w:t>
            </w:r>
          </w:p>
        </w:tc>
        <w:tc>
          <w:tcPr>
            <w:tcW w:type="dxa" w:w="7920"/>
            <w:vAlign w:val="center"/>
            <w:shd w:fill="F2F5F8"/>
          </w:tcPr>
          <w:p>
            <w:pPr>
              <w:spacing w:after="40" w:before="40"/>
            </w:pPr>
            <w:r/>
            <w:r>
              <w:rPr>
                <w:rFonts w:ascii="Aptos" w:hAnsi="Aptos"/>
                <w:b w:val="0"/>
                <w:sz w:val="16"/>
              </w:rPr>
              <w:t>PR reviewed, dependent modules informed, API/schema contract updated, and known limitations recorded.</w:t>
            </w:r>
          </w:p>
        </w:tc>
      </w:tr>
    </w:tbl>
    <w:p>
      <w:pPr>
        <w:spacing w:after="20"/>
      </w:pPr>
    </w:p>
    <w:p>
      <w:pPr>
        <w:pStyle w:val="Heading1"/>
      </w:pPr>
      <w:r>
        <w:t>Immediate next steps</w:t>
      </w:r>
    </w:p>
    <w:p>
      <w:pPr>
        <w:spacing w:after="80"/>
        <w:ind w:left="173"/>
      </w:pPr>
      <w:r>
        <w:rPr>
          <w:b/>
        </w:rPr>
        <w:t xml:space="preserve">1. </w:t>
      </w:r>
      <w:r>
        <w:t>Ask the senior to approve the BRD-to-module mapping and identify the first usable release (MVP) workflows.</w:t>
      </w:r>
    </w:p>
    <w:p>
      <w:pPr>
        <w:spacing w:after="80"/>
        <w:ind w:left="173"/>
      </w:pPr>
      <w:r>
        <w:rPr>
          <w:b/>
        </w:rPr>
        <w:t xml:space="preserve">2. </w:t>
      </w:r>
      <w:r>
        <w:t>Confirm the project Git remote and branch protection; agree module folders, PR template, coding conventions, and who owns shared migrations.</w:t>
      </w:r>
    </w:p>
    <w:p>
      <w:pPr>
        <w:spacing w:after="80"/>
        <w:ind w:left="173"/>
      </w:pPr>
      <w:r>
        <w:rPr>
          <w:b/>
        </w:rPr>
        <w:t xml:space="preserve">3. </w:t>
      </w:r>
      <w:r>
        <w:t>Review the existing PostgreSQL schema table-by-table: requirement, module, tenant scope, source of truth, and whether it is required now or later. Do not treat the current 126-table count as fixed.</w:t>
      </w:r>
    </w:p>
    <w:p>
      <w:pPr>
        <w:spacing w:after="80"/>
        <w:ind w:left="173"/>
      </w:pPr>
      <w:r>
        <w:rPr>
          <w:b/>
        </w:rPr>
        <w:t xml:space="preserve">4. </w:t>
      </w:r>
      <w:r>
        <w:t>Decide and document organization/tenant boundaries, user membership model, roles/permissions, approval ownership, numbering, tax, and accounting integration assumptions.</w:t>
      </w:r>
    </w:p>
    <w:p>
      <w:pPr>
        <w:spacing w:after="80"/>
        <w:ind w:left="173"/>
      </w:pPr>
      <w:r>
        <w:rPr>
          <w:b/>
        </w:rPr>
        <w:t xml:space="preserve">5. </w:t>
      </w:r>
      <w:r>
        <w:t>Build M0 and the auth/tenant security gate before assigning modules that write tenant-owned business data.</w:t>
      </w:r>
    </w:p>
    <w:p>
      <w:pPr>
        <w:spacing w:after="80"/>
        <w:ind w:left="173"/>
      </w:pPr>
      <w:r>
        <w:rPr>
          <w:b/>
        </w:rPr>
        <w:t xml:space="preserve">6. </w:t>
      </w:r>
      <w:r>
        <w:t>Agree the first end-to-end vertical slice with the senior; recommended candidate: organization setup -&gt; item/BOM -&gt; purchase/receipt -&gt; stock visibility, subject to BRD priority.</w:t>
      </w:r>
    </w:p>
    <w:p>
      <w:pPr>
        <w:pStyle w:val="Heading1"/>
      </w:pPr>
      <w:r>
        <w:t>Short handoff format for assigning a module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232"/>
        <w:gridCol w:w="7704"/>
      </w:tblGrid>
      <w:tr>
        <w:trPr>
          <w:tblHeader w:val="true"/>
        </w:trPr>
        <w:tc>
          <w:tcPr>
            <w:tcW w:type="dxa" w:w="5083"/>
            <w:vAlign w:val="center"/>
            <w:shd w:fill="23466A"/>
          </w:tcPr>
          <w:p>
            <w:pPr>
              <w:spacing w:after="40" w:before="40"/>
            </w:pPr>
            <w:r/>
            <w:r>
              <w:rPr>
                <w:rFonts w:ascii="Aptos" w:hAnsi="Aptos"/>
                <w:b/>
                <w:color w:val="FFFFFF"/>
                <w:sz w:val="16"/>
              </w:rPr>
              <w:t>Field</w:t>
            </w:r>
          </w:p>
        </w:tc>
        <w:tc>
          <w:tcPr>
            <w:tcW w:type="dxa" w:w="5083"/>
            <w:vAlign w:val="center"/>
            <w:shd w:fill="23466A"/>
          </w:tcPr>
          <w:p>
            <w:pPr>
              <w:spacing w:after="40" w:before="40"/>
            </w:pPr>
            <w:r/>
            <w:r>
              <w:rPr>
                <w:rFonts w:ascii="Aptos" w:hAnsi="Aptos"/>
                <w:b/>
                <w:color w:val="FFFFFF"/>
                <w:sz w:val="16"/>
              </w:rPr>
              <w:t>What the assignee records</w:t>
            </w:r>
          </w:p>
        </w:tc>
      </w:tr>
      <w:tr>
        <w:tc>
          <w:tcPr>
            <w:tcW w:type="dxa" w:w="2232"/>
            <w:vAlign w:val="center"/>
          </w:tcPr>
          <w:p>
            <w:pPr>
              <w:spacing w:after="40" w:before="40"/>
            </w:pPr>
            <w:r/>
            <w:r>
              <w:rPr>
                <w:rFonts w:ascii="Aptos" w:hAnsi="Aptos"/>
                <w:b w:val="0"/>
                <w:sz w:val="16"/>
              </w:rPr>
              <w:t>Module and owner</w:t>
            </w:r>
          </w:p>
        </w:tc>
        <w:tc>
          <w:tcPr>
            <w:tcW w:type="dxa" w:w="7704"/>
            <w:vAlign w:val="center"/>
          </w:tcPr>
          <w:p>
            <w:pPr>
              <w:spacing w:after="40" w:before="40"/>
            </w:pPr>
            <w:r/>
            <w:r>
              <w:rPr>
                <w:rFonts w:ascii="Aptos" w:hAnsi="Aptos"/>
                <w:b w:val="0"/>
                <w:sz w:val="16"/>
              </w:rPr>
              <w:t>Module ID/name, primary developer, reviewer, target phase.</w:t>
            </w:r>
          </w:p>
        </w:tc>
      </w:tr>
      <w:tr>
        <w:tc>
          <w:tcPr>
            <w:tcW w:type="dxa" w:w="2232"/>
            <w:vAlign w:val="center"/>
            <w:shd w:fill="F2F5F8"/>
          </w:tcPr>
          <w:p>
            <w:pPr>
              <w:spacing w:after="40" w:before="40"/>
            </w:pPr>
            <w:r/>
            <w:r>
              <w:rPr>
                <w:rFonts w:ascii="Aptos" w:hAnsi="Aptos"/>
                <w:b w:val="0"/>
                <w:sz w:val="16"/>
              </w:rPr>
              <w:t>Scope</w:t>
            </w:r>
          </w:p>
        </w:tc>
        <w:tc>
          <w:tcPr>
            <w:tcW w:type="dxa" w:w="7704"/>
            <w:vAlign w:val="center"/>
            <w:shd w:fill="F2F5F8"/>
          </w:tcPr>
          <w:p>
            <w:pPr>
              <w:spacing w:after="40" w:before="40"/>
            </w:pPr>
            <w:r/>
            <w:r>
              <w:rPr>
                <w:rFonts w:ascii="Aptos" w:hAnsi="Aptos"/>
                <w:b w:val="0"/>
                <w:sz w:val="16"/>
              </w:rPr>
              <w:t>BRD requirement(s), included behavior, explicit out-of-scope items.</w:t>
            </w:r>
          </w:p>
        </w:tc>
      </w:tr>
      <w:tr>
        <w:tc>
          <w:tcPr>
            <w:tcW w:type="dxa" w:w="2232"/>
            <w:vAlign w:val="center"/>
          </w:tcPr>
          <w:p>
            <w:pPr>
              <w:spacing w:after="40" w:before="40"/>
            </w:pPr>
            <w:r/>
            <w:r>
              <w:rPr>
                <w:rFonts w:ascii="Aptos" w:hAnsi="Aptos"/>
                <w:b w:val="0"/>
                <w:sz w:val="16"/>
              </w:rPr>
              <w:t>Contract</w:t>
            </w:r>
          </w:p>
        </w:tc>
        <w:tc>
          <w:tcPr>
            <w:tcW w:type="dxa" w:w="7704"/>
            <w:vAlign w:val="center"/>
          </w:tcPr>
          <w:p>
            <w:pPr>
              <w:spacing w:after="40" w:before="40"/>
            </w:pPr>
            <w:r/>
            <w:r>
              <w:rPr>
                <w:rFonts w:ascii="Aptos" w:hAnsi="Aptos"/>
                <w:b w:val="0"/>
                <w:sz w:val="16"/>
              </w:rPr>
              <w:t>Tables/migrations owned, endpoints/events, tenant and permission rules, dependent modules.</w:t>
            </w:r>
          </w:p>
        </w:tc>
      </w:tr>
      <w:tr>
        <w:tc>
          <w:tcPr>
            <w:tcW w:type="dxa" w:w="2232"/>
            <w:vAlign w:val="center"/>
            <w:shd w:fill="F2F5F8"/>
          </w:tcPr>
          <w:p>
            <w:pPr>
              <w:spacing w:after="40" w:before="40"/>
            </w:pPr>
            <w:r/>
            <w:r>
              <w:rPr>
                <w:rFonts w:ascii="Aptos" w:hAnsi="Aptos"/>
                <w:b w:val="0"/>
                <w:sz w:val="16"/>
              </w:rPr>
              <w:t>Acceptance</w:t>
            </w:r>
          </w:p>
        </w:tc>
        <w:tc>
          <w:tcPr>
            <w:tcW w:type="dxa" w:w="7704"/>
            <w:vAlign w:val="center"/>
            <w:shd w:fill="F2F5F8"/>
          </w:tcPr>
          <w:p>
            <w:pPr>
              <w:spacing w:after="40" w:before="40"/>
            </w:pPr>
            <w:r/>
            <w:r>
              <w:rPr>
                <w:rFonts w:ascii="Aptos" w:hAnsi="Aptos"/>
                <w:b w:val="0"/>
                <w:sz w:val="16"/>
              </w:rPr>
              <w:t>Expected scenarios, automated tests, data integrity/security checks, reviewer sign-off.</w:t>
            </w:r>
          </w:p>
        </w:tc>
      </w:tr>
      <w:tr>
        <w:tc>
          <w:tcPr>
            <w:tcW w:type="dxa" w:w="2232"/>
            <w:vAlign w:val="center"/>
          </w:tcPr>
          <w:p>
            <w:pPr>
              <w:spacing w:after="40" w:before="40"/>
            </w:pPr>
            <w:r/>
            <w:r>
              <w:rPr>
                <w:rFonts w:ascii="Aptos" w:hAnsi="Aptos"/>
                <w:b w:val="0"/>
                <w:sz w:val="16"/>
              </w:rPr>
              <w:t>Coordination</w:t>
            </w:r>
          </w:p>
        </w:tc>
        <w:tc>
          <w:tcPr>
            <w:tcW w:type="dxa" w:w="7704"/>
            <w:vAlign w:val="center"/>
          </w:tcPr>
          <w:p>
            <w:pPr>
              <w:spacing w:after="40" w:before="40"/>
            </w:pPr>
            <w:r/>
            <w:r>
              <w:rPr>
                <w:rFonts w:ascii="Aptos" w:hAnsi="Aptos"/>
                <w:b w:val="0"/>
                <w:sz w:val="16"/>
              </w:rPr>
              <w:t>Files likely to overlap, migration dependencies, PR branch, teammate handoff date/status.</w:t>
            </w:r>
          </w:p>
        </w:tc>
      </w:tr>
    </w:tbl>
    <w:p>
      <w:pPr>
        <w:spacing w:after="20"/>
      </w:pPr>
    </w:p>
    <w:p>
      <w:pPr>
        <w:pStyle w:val="Heading1"/>
      </w:pPr>
      <w:r>
        <w:t>For senior review</w:t>
      </w:r>
    </w:p>
    <w:p>
      <w:r>
        <w:t>Please confirm the first release scope, module sequence, organization-level tenancy and authorization design, approval workflow ownership, accounting/tax assumptions, and the final schema baseline. Once those decisions are recorded, the team can assign each module with a clear owner and begin implementation in parallel where dependencies allow.</w:t>
      </w:r>
    </w:p>
    <w:sectPr w:rsidR="00FC693F" w:rsidRPr="0006063C" w:rsidSect="00034616">
      <w:footerReference w:type="default" r:id="rId9"/>
      <w:pgSz w:w="12240" w:h="15840"/>
      <w:pgMar w:top="979" w:right="1037" w:bottom="979"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6E767E"/>
        <w:sz w:val="16"/>
      </w:rPr>
      <w:t>heyyERP | Backend team planning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color w:val="2D343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heyyERP Backend Phases and Module Ownership</dc:title>
  <dc:subject>Backend roadmap and team ownership plan for V-Rub Suspensions ERP</dc:subject>
  <dc:creator>heyyERP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