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heyyERP Backend Work by Phase and Module</w:t>
      </w:r>
    </w:p>
    <w:p>
      <w:pPr>
        <w:spacing w:after="240"/>
      </w:pPr>
      <w:r>
        <w:rPr>
          <w:color w:val="5A6673"/>
          <w:sz w:val="20"/>
        </w:rPr>
        <w:t>V-Rub Suspensions  |  Team planning guide  |  27 October 2026</w:t>
      </w:r>
    </w:p>
    <w:p>
      <w:pPr>
        <w:pStyle w:val="Heading1"/>
      </w:pPr>
      <w:r>
        <w:t>Purpose</w:t>
      </w:r>
    </w:p>
    <w:p>
      <w:r>
        <w:t>This document lists the backend work required for heyyERP, organized by implementation phase and module. It describes what the system needs to do and the key outputs of each phase. It does not assign work to individual developers or estimate project duration.</w:t>
      </w:r>
    </w:p>
    <w:p>
      <w:r>
        <w:t>Schema note: the current PostgreSQL database contains a broad draft schema. Its table count does not mean every table is required. Confirm each table and workflow against the BRD before treating the schema as final.</w:t>
      </w:r>
    </w:p>
    <w:p>
      <w:pPr>
        <w:pStyle w:val="Heading1"/>
      </w:pPr>
      <w:r>
        <w:t>Implementation order</w:t>
      </w:r>
    </w:p>
    <w:p>
      <w:pPr>
        <w:pStyle w:val="ListBullet"/>
        <w:spacing w:after="40"/>
      </w:pPr>
      <w:r>
        <w:t>Complete the foundation before business modules that depend on user identity, organization context, permissions, audit, and database migrations.</w:t>
      </w:r>
    </w:p>
    <w:p>
      <w:pPr>
        <w:pStyle w:val="ListBullet"/>
        <w:spacing w:after="40"/>
      </w:pPr>
      <w:r>
        <w:t>Build the remaining modules in dependency order so each business workflow can use stable data and services from earlier phases.</w:t>
      </w:r>
    </w:p>
    <w:p>
      <w:pPr>
        <w:pStyle w:val="ListBullet"/>
        <w:spacing w:after="40"/>
      </w:pPr>
      <w:r>
        <w:t>The phases describe scope and completion outcomes only; work assignment is handled separately by the project team.</w:t>
      </w:r>
    </w:p>
    <w:p>
      <w:pPr>
        <w:pStyle w:val="Heading1"/>
      </w:pPr>
      <w:r>
        <w:t>Backend module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5760"/>
        <w:gridCol w:w="2088"/>
      </w:tblGrid>
      <w:tr>
        <w:trPr>
          <w:tblHeader w:val="true"/>
        </w:trPr>
        <w:tc>
          <w:tcPr>
            <w:tcW w:type="dxa" w:w="3389"/>
            <w:vAlign w:val="center"/>
            <w:shd w:fill="23466A"/>
          </w:tcPr>
          <w:p>
            <w:pPr>
              <w:spacing w:after="40" w:before="40"/>
            </w:pPr>
            <w:r/>
            <w:r>
              <w:rPr>
                <w:rFonts w:ascii="Aptos" w:hAnsi="Aptos"/>
                <w:b/>
                <w:color w:val="FFFFFF"/>
                <w:sz w:val="16"/>
              </w:rPr>
              <w:t>ID / module</w:t>
            </w:r>
          </w:p>
        </w:tc>
        <w:tc>
          <w:tcPr>
            <w:tcW w:type="dxa" w:w="3389"/>
            <w:vAlign w:val="center"/>
            <w:shd w:fill="23466A"/>
          </w:tcPr>
          <w:p>
            <w:pPr>
              <w:spacing w:after="40" w:before="40"/>
            </w:pPr>
            <w:r/>
            <w:r>
              <w:rPr>
                <w:rFonts w:ascii="Aptos" w:hAnsi="Aptos"/>
                <w:b/>
                <w:color w:val="FFFFFF"/>
                <w:sz w:val="16"/>
              </w:rPr>
              <w:t>Scope and ownership boundary</w:t>
            </w:r>
          </w:p>
        </w:tc>
        <w:tc>
          <w:tcPr>
            <w:tcW w:type="dxa" w:w="3389"/>
            <w:vAlign w:val="center"/>
            <w:shd w:fill="23466A"/>
          </w:tcPr>
          <w:p>
            <w:pPr>
              <w:spacing w:after="40" w:before="40"/>
            </w:pPr>
            <w:r/>
            <w:r>
              <w:rPr>
                <w:rFonts w:ascii="Aptos" w:hAnsi="Aptos"/>
                <w:b/>
                <w:color w:val="FFFFFF"/>
                <w:sz w:val="16"/>
              </w:rPr>
              <w:t>Primary dependency</w:t>
            </w:r>
          </w:p>
        </w:tc>
      </w:tr>
      <w:tr>
        <w:tc>
          <w:tcPr>
            <w:tcW w:type="dxa" w:w="2088"/>
            <w:vAlign w:val="center"/>
          </w:tcPr>
          <w:p>
            <w:pPr>
              <w:spacing w:after="40" w:before="40"/>
            </w:pPr>
            <w:r/>
            <w:r>
              <w:rPr>
                <w:rFonts w:ascii="Aptos" w:hAnsi="Aptos"/>
                <w:b w:val="0"/>
                <w:sz w:val="16"/>
              </w:rPr>
              <w:t>M0 Platform and database</w:t>
            </w:r>
          </w:p>
        </w:tc>
        <w:tc>
          <w:tcPr>
            <w:tcW w:type="dxa" w:w="5760"/>
            <w:vAlign w:val="center"/>
          </w:tcPr>
          <w:p>
            <w:pPr>
              <w:spacing w:after="40" w:before="40"/>
            </w:pPr>
            <w:r/>
            <w:r>
              <w:rPr>
                <w:rFonts w:ascii="Aptos" w:hAnsi="Aptos"/>
                <w:b w:val="0"/>
                <w:sz w:val="16"/>
              </w:rPr>
              <w:t>Repository workflow, API conventions, PostgreSQL connection, migration runner, configuration, logging, health checks, CI checks.</w:t>
            </w:r>
          </w:p>
        </w:tc>
        <w:tc>
          <w:tcPr>
            <w:tcW w:type="dxa" w:w="2088"/>
            <w:vAlign w:val="center"/>
          </w:tcPr>
          <w:p>
            <w:pPr>
              <w:spacing w:after="40" w:before="40"/>
            </w:pPr>
            <w:r/>
            <w:r>
              <w:rPr>
                <w:rFonts w:ascii="Aptos" w:hAnsi="Aptos"/>
                <w:b w:val="0"/>
                <w:sz w:val="16"/>
              </w:rPr>
              <w:t>None; establishes shared contracts.</w:t>
            </w:r>
          </w:p>
        </w:tc>
      </w:tr>
      <w:tr>
        <w:tc>
          <w:tcPr>
            <w:tcW w:type="dxa" w:w="2088"/>
            <w:vAlign w:val="center"/>
            <w:shd w:fill="F2F5F8"/>
          </w:tcPr>
          <w:p>
            <w:pPr>
              <w:spacing w:after="40" w:before="40"/>
            </w:pPr>
            <w:r/>
            <w:r>
              <w:rPr>
                <w:rFonts w:ascii="Aptos" w:hAnsi="Aptos"/>
                <w:b w:val="0"/>
                <w:sz w:val="16"/>
              </w:rPr>
              <w:t>M1 Identity and access</w:t>
            </w:r>
          </w:p>
        </w:tc>
        <w:tc>
          <w:tcPr>
            <w:tcW w:type="dxa" w:w="5760"/>
            <w:vAlign w:val="center"/>
            <w:shd w:fill="F2F5F8"/>
          </w:tcPr>
          <w:p>
            <w:pPr>
              <w:spacing w:after="40" w:before="40"/>
            </w:pPr>
            <w:r/>
            <w:r>
              <w:rPr>
                <w:rFonts w:ascii="Aptos" w:hAnsi="Aptos"/>
                <w:b w:val="0"/>
                <w:sz w:val="16"/>
              </w:rPr>
              <w:t>Better Auth integration, organization-level tenancy, invitations, email verification, sign-in, password recovery, MFA, sessions, roles/permissions, audit/security events.</w:t>
            </w:r>
          </w:p>
        </w:tc>
        <w:tc>
          <w:tcPr>
            <w:tcW w:type="dxa" w:w="2088"/>
            <w:vAlign w:val="center"/>
            <w:shd w:fill="F2F5F8"/>
          </w:tcPr>
          <w:p>
            <w:pPr>
              <w:spacing w:after="40" w:before="40"/>
            </w:pPr>
            <w:r/>
            <w:r>
              <w:rPr>
                <w:rFonts w:ascii="Aptos" w:hAnsi="Aptos"/>
                <w:b w:val="0"/>
                <w:sz w:val="16"/>
              </w:rPr>
              <w:t>M0; tenant design approval.</w:t>
            </w:r>
          </w:p>
        </w:tc>
      </w:tr>
      <w:tr>
        <w:tc>
          <w:tcPr>
            <w:tcW w:type="dxa" w:w="2088"/>
            <w:vAlign w:val="center"/>
          </w:tcPr>
          <w:p>
            <w:pPr>
              <w:spacing w:after="40" w:before="40"/>
            </w:pPr>
            <w:r/>
            <w:r>
              <w:rPr>
                <w:rFonts w:ascii="Aptos" w:hAnsi="Aptos"/>
                <w:b w:val="0"/>
                <w:sz w:val="16"/>
              </w:rPr>
              <w:t>M2 Organization and master data</w:t>
            </w:r>
          </w:p>
        </w:tc>
        <w:tc>
          <w:tcPr>
            <w:tcW w:type="dxa" w:w="5760"/>
            <w:vAlign w:val="center"/>
          </w:tcPr>
          <w:p>
            <w:pPr>
              <w:spacing w:after="40" w:before="40"/>
            </w:pPr>
            <w:r/>
            <w:r>
              <w:rPr>
                <w:rFonts w:ascii="Aptos" w:hAnsi="Aptos"/>
                <w:b w:val="0"/>
                <w:sz w:val="16"/>
              </w:rPr>
              <w:t>Organization/site/plant, departments, units, currencies, tax/configuration, numbering rules, customer/vendor/item categories and shared reference data.</w:t>
            </w:r>
          </w:p>
        </w:tc>
        <w:tc>
          <w:tcPr>
            <w:tcW w:type="dxa" w:w="2088"/>
            <w:vAlign w:val="center"/>
          </w:tcPr>
          <w:p>
            <w:pPr>
              <w:spacing w:after="40" w:before="40"/>
            </w:pPr>
            <w:r/>
            <w:r>
              <w:rPr>
                <w:rFonts w:ascii="Aptos" w:hAnsi="Aptos"/>
                <w:b w:val="0"/>
                <w:sz w:val="16"/>
              </w:rPr>
              <w:t>M0-M1.</w:t>
            </w:r>
          </w:p>
        </w:tc>
      </w:tr>
      <w:tr>
        <w:tc>
          <w:tcPr>
            <w:tcW w:type="dxa" w:w="2088"/>
            <w:vAlign w:val="center"/>
            <w:shd w:fill="F2F5F8"/>
          </w:tcPr>
          <w:p>
            <w:pPr>
              <w:spacing w:after="40" w:before="40"/>
            </w:pPr>
            <w:r/>
            <w:r>
              <w:rPr>
                <w:rFonts w:ascii="Aptos" w:hAnsi="Aptos"/>
                <w:b w:val="0"/>
                <w:sz w:val="16"/>
              </w:rPr>
              <w:t>M3 Product engineering</w:t>
            </w:r>
          </w:p>
        </w:tc>
        <w:tc>
          <w:tcPr>
            <w:tcW w:type="dxa" w:w="5760"/>
            <w:vAlign w:val="center"/>
            <w:shd w:fill="F2F5F8"/>
          </w:tcPr>
          <w:p>
            <w:pPr>
              <w:spacing w:after="40" w:before="40"/>
            </w:pPr>
            <w:r/>
            <w:r>
              <w:rPr>
                <w:rFonts w:ascii="Aptos" w:hAnsi="Aptos"/>
                <w:b w:val="0"/>
                <w:sz w:val="16"/>
              </w:rPr>
              <w:t>Item/product catalogue, revisions, BOM and BOM lines, routing/operations, drawings/specifications, engineering change control.</w:t>
            </w:r>
          </w:p>
        </w:tc>
        <w:tc>
          <w:tcPr>
            <w:tcW w:type="dxa" w:w="2088"/>
            <w:vAlign w:val="center"/>
            <w:shd w:fill="F2F5F8"/>
          </w:tcPr>
          <w:p>
            <w:pPr>
              <w:spacing w:after="40" w:before="40"/>
            </w:pPr>
            <w:r/>
            <w:r>
              <w:rPr>
                <w:rFonts w:ascii="Aptos" w:hAnsi="Aptos"/>
                <w:b w:val="0"/>
                <w:sz w:val="16"/>
              </w:rPr>
              <w:t>M2.</w:t>
            </w:r>
          </w:p>
        </w:tc>
      </w:tr>
      <w:tr>
        <w:tc>
          <w:tcPr>
            <w:tcW w:type="dxa" w:w="2088"/>
            <w:vAlign w:val="center"/>
          </w:tcPr>
          <w:p>
            <w:pPr>
              <w:spacing w:after="40" w:before="40"/>
            </w:pPr>
            <w:r/>
            <w:r>
              <w:rPr>
                <w:rFonts w:ascii="Aptos" w:hAnsi="Aptos"/>
                <w:b w:val="0"/>
                <w:sz w:val="16"/>
              </w:rPr>
              <w:t>M4 Procurement</w:t>
            </w:r>
          </w:p>
        </w:tc>
        <w:tc>
          <w:tcPr>
            <w:tcW w:type="dxa" w:w="5760"/>
            <w:vAlign w:val="center"/>
          </w:tcPr>
          <w:p>
            <w:pPr>
              <w:spacing w:after="40" w:before="40"/>
            </w:pPr>
            <w:r/>
            <w:r>
              <w:rPr>
                <w:rFonts w:ascii="Aptos" w:hAnsi="Aptos"/>
                <w:b w:val="0"/>
                <w:sz w:val="16"/>
              </w:rPr>
              <w:t>Purchase requisitions, supplier quote comparison, purchase orders, receipt interface and supplier records.</w:t>
            </w:r>
          </w:p>
        </w:tc>
        <w:tc>
          <w:tcPr>
            <w:tcW w:type="dxa" w:w="2088"/>
            <w:vAlign w:val="center"/>
          </w:tcPr>
          <w:p>
            <w:pPr>
              <w:spacing w:after="40" w:before="40"/>
            </w:pPr>
            <w:r/>
            <w:r>
              <w:rPr>
                <w:rFonts w:ascii="Aptos" w:hAnsi="Aptos"/>
                <w:b w:val="0"/>
                <w:sz w:val="16"/>
              </w:rPr>
              <w:t>M2-M3; inventory contract.</w:t>
            </w:r>
          </w:p>
        </w:tc>
      </w:tr>
      <w:tr>
        <w:tc>
          <w:tcPr>
            <w:tcW w:type="dxa" w:w="2088"/>
            <w:vAlign w:val="center"/>
            <w:shd w:fill="F2F5F8"/>
          </w:tcPr>
          <w:p>
            <w:pPr>
              <w:spacing w:after="40" w:before="40"/>
            </w:pPr>
            <w:r/>
            <w:r>
              <w:rPr>
                <w:rFonts w:ascii="Aptos" w:hAnsi="Aptos"/>
                <w:b w:val="0"/>
                <w:sz w:val="16"/>
              </w:rPr>
              <w:t>M5 Inventory and warehouse</w:t>
            </w:r>
          </w:p>
        </w:tc>
        <w:tc>
          <w:tcPr>
            <w:tcW w:type="dxa" w:w="5760"/>
            <w:vAlign w:val="center"/>
            <w:shd w:fill="F2F5F8"/>
          </w:tcPr>
          <w:p>
            <w:pPr>
              <w:spacing w:after="40" w:before="40"/>
            </w:pPr>
            <w:r/>
            <w:r>
              <w:rPr>
                <w:rFonts w:ascii="Aptos" w:hAnsi="Aptos"/>
                <w:b w:val="0"/>
                <w:sz w:val="16"/>
              </w:rPr>
              <w:t>Locations, stock ledger, receipts/issues/transfers, lot/serial traceability, reservations, cycle counts and stock valuation events.</w:t>
            </w:r>
          </w:p>
        </w:tc>
        <w:tc>
          <w:tcPr>
            <w:tcW w:type="dxa" w:w="2088"/>
            <w:vAlign w:val="center"/>
            <w:shd w:fill="F2F5F8"/>
          </w:tcPr>
          <w:p>
            <w:pPr>
              <w:spacing w:after="40" w:before="40"/>
            </w:pPr>
            <w:r/>
            <w:r>
              <w:rPr>
                <w:rFonts w:ascii="Aptos" w:hAnsi="Aptos"/>
                <w:b w:val="0"/>
                <w:sz w:val="16"/>
              </w:rPr>
              <w:t>M2-M4.</w:t>
            </w:r>
          </w:p>
        </w:tc>
      </w:tr>
      <w:tr>
        <w:tc>
          <w:tcPr>
            <w:tcW w:type="dxa" w:w="2088"/>
            <w:vAlign w:val="center"/>
          </w:tcPr>
          <w:p>
            <w:pPr>
              <w:spacing w:after="40" w:before="40"/>
            </w:pPr>
            <w:r/>
            <w:r>
              <w:rPr>
                <w:rFonts w:ascii="Aptos" w:hAnsi="Aptos"/>
                <w:b w:val="0"/>
                <w:sz w:val="16"/>
              </w:rPr>
              <w:t>M6 Production planning and execution</w:t>
            </w:r>
          </w:p>
        </w:tc>
        <w:tc>
          <w:tcPr>
            <w:tcW w:type="dxa" w:w="5760"/>
            <w:vAlign w:val="center"/>
          </w:tcPr>
          <w:p>
            <w:pPr>
              <w:spacing w:after="40" w:before="40"/>
            </w:pPr>
            <w:r/>
            <w:r>
              <w:rPr>
                <w:rFonts w:ascii="Aptos" w:hAnsi="Aptos"/>
                <w:b w:val="0"/>
                <w:sz w:val="16"/>
              </w:rPr>
              <w:t>Work orders, material issue/return, operations, WIP, production reporting, downtime/rework events.</w:t>
            </w:r>
          </w:p>
        </w:tc>
        <w:tc>
          <w:tcPr>
            <w:tcW w:type="dxa" w:w="2088"/>
            <w:vAlign w:val="center"/>
          </w:tcPr>
          <w:p>
            <w:pPr>
              <w:spacing w:after="40" w:before="40"/>
            </w:pPr>
            <w:r/>
            <w:r>
              <w:rPr>
                <w:rFonts w:ascii="Aptos" w:hAnsi="Aptos"/>
                <w:b w:val="0"/>
                <w:sz w:val="16"/>
              </w:rPr>
              <w:t>M3 and M5.</w:t>
            </w:r>
          </w:p>
        </w:tc>
      </w:tr>
      <w:tr>
        <w:tc>
          <w:tcPr>
            <w:tcW w:type="dxa" w:w="2088"/>
            <w:vAlign w:val="center"/>
            <w:shd w:fill="F2F5F8"/>
          </w:tcPr>
          <w:p>
            <w:pPr>
              <w:spacing w:after="40" w:before="40"/>
            </w:pPr>
            <w:r/>
            <w:r>
              <w:rPr>
                <w:rFonts w:ascii="Aptos" w:hAnsi="Aptos"/>
                <w:b w:val="0"/>
                <w:sz w:val="16"/>
              </w:rPr>
              <w:t>M7 Quality</w:t>
            </w:r>
          </w:p>
        </w:tc>
        <w:tc>
          <w:tcPr>
            <w:tcW w:type="dxa" w:w="5760"/>
            <w:vAlign w:val="center"/>
            <w:shd w:fill="F2F5F8"/>
          </w:tcPr>
          <w:p>
            <w:pPr>
              <w:spacing w:after="40" w:before="40"/>
            </w:pPr>
            <w:r/>
            <w:r>
              <w:rPr>
                <w:rFonts w:ascii="Aptos" w:hAnsi="Aptos"/>
                <w:b w:val="0"/>
                <w:sz w:val="16"/>
              </w:rPr>
              <w:t>Inspection plans, incoming/in-process/final inspection, non-conformance, corrective actions, disposition and quality evidence.</w:t>
            </w:r>
          </w:p>
        </w:tc>
        <w:tc>
          <w:tcPr>
            <w:tcW w:type="dxa" w:w="2088"/>
            <w:vAlign w:val="center"/>
            <w:shd w:fill="F2F5F8"/>
          </w:tcPr>
          <w:p>
            <w:pPr>
              <w:spacing w:after="40" w:before="40"/>
            </w:pPr>
            <w:r/>
            <w:r>
              <w:rPr>
                <w:rFonts w:ascii="Aptos" w:hAnsi="Aptos"/>
                <w:b w:val="0"/>
                <w:sz w:val="16"/>
              </w:rPr>
              <w:t>M3-M6.</w:t>
            </w:r>
          </w:p>
        </w:tc>
      </w:tr>
      <w:tr>
        <w:tc>
          <w:tcPr>
            <w:tcW w:type="dxa" w:w="2088"/>
            <w:vAlign w:val="center"/>
          </w:tcPr>
          <w:p>
            <w:pPr>
              <w:spacing w:after="40" w:before="40"/>
            </w:pPr>
            <w:r/>
            <w:r>
              <w:rPr>
                <w:rFonts w:ascii="Aptos" w:hAnsi="Aptos"/>
                <w:b w:val="0"/>
                <w:sz w:val="16"/>
              </w:rPr>
              <w:t>M8 Sales and dispatch</w:t>
            </w:r>
          </w:p>
        </w:tc>
        <w:tc>
          <w:tcPr>
            <w:tcW w:type="dxa" w:w="5760"/>
            <w:vAlign w:val="center"/>
          </w:tcPr>
          <w:p>
            <w:pPr>
              <w:spacing w:after="40" w:before="40"/>
            </w:pPr>
            <w:r/>
            <w:r>
              <w:rPr>
                <w:rFonts w:ascii="Aptos" w:hAnsi="Aptos"/>
                <w:b w:val="0"/>
                <w:sz w:val="16"/>
              </w:rPr>
              <w:t>Customer enquiries/quotes, sales orders, delivery planning, shipment/dispatch, invoice handoff and customer-facing status.</w:t>
            </w:r>
          </w:p>
        </w:tc>
        <w:tc>
          <w:tcPr>
            <w:tcW w:type="dxa" w:w="2088"/>
            <w:vAlign w:val="center"/>
          </w:tcPr>
          <w:p>
            <w:pPr>
              <w:spacing w:after="40" w:before="40"/>
            </w:pPr>
            <w:r/>
            <w:r>
              <w:rPr>
                <w:rFonts w:ascii="Aptos" w:hAnsi="Aptos"/>
                <w:b w:val="0"/>
                <w:sz w:val="16"/>
              </w:rPr>
              <w:t>M2, M5, M7; approval workflow.</w:t>
            </w:r>
          </w:p>
        </w:tc>
      </w:tr>
      <w:tr>
        <w:tc>
          <w:tcPr>
            <w:tcW w:type="dxa" w:w="2088"/>
            <w:vAlign w:val="center"/>
            <w:shd w:fill="F2F5F8"/>
          </w:tcPr>
          <w:p>
            <w:pPr>
              <w:spacing w:after="40" w:before="40"/>
            </w:pPr>
            <w:r/>
            <w:r>
              <w:rPr>
                <w:rFonts w:ascii="Aptos" w:hAnsi="Aptos"/>
                <w:b w:val="0"/>
                <w:sz w:val="16"/>
              </w:rPr>
              <w:t>M9 Approvals and workflow</w:t>
            </w:r>
          </w:p>
        </w:tc>
        <w:tc>
          <w:tcPr>
            <w:tcW w:type="dxa" w:w="5760"/>
            <w:vAlign w:val="center"/>
            <w:shd w:fill="F2F5F8"/>
          </w:tcPr>
          <w:p>
            <w:pPr>
              <w:spacing w:after="40" w:before="40"/>
            </w:pPr>
            <w:r/>
            <w:r>
              <w:rPr>
                <w:rFonts w:ascii="Aptos" w:hAnsi="Aptos"/>
                <w:b w:val="0"/>
                <w:sz w:val="16"/>
              </w:rPr>
              <w:t>Reusable approval policies, request/instance/step history, delegation, escalation and notifications.</w:t>
            </w:r>
          </w:p>
        </w:tc>
        <w:tc>
          <w:tcPr>
            <w:tcW w:type="dxa" w:w="2088"/>
            <w:vAlign w:val="center"/>
            <w:shd w:fill="F2F5F8"/>
          </w:tcPr>
          <w:p>
            <w:pPr>
              <w:spacing w:after="40" w:before="40"/>
            </w:pPr>
            <w:r/>
            <w:r>
              <w:rPr>
                <w:rFonts w:ascii="Aptos" w:hAnsi="Aptos"/>
                <w:b w:val="0"/>
                <w:sz w:val="16"/>
              </w:rPr>
              <w:t>M1; must be agreed before dependent transactions.</w:t>
            </w:r>
          </w:p>
        </w:tc>
      </w:tr>
      <w:tr>
        <w:tc>
          <w:tcPr>
            <w:tcW w:type="dxa" w:w="2088"/>
            <w:vAlign w:val="center"/>
          </w:tcPr>
          <w:p>
            <w:pPr>
              <w:spacing w:after="40" w:before="40"/>
            </w:pPr>
            <w:r/>
            <w:r>
              <w:rPr>
                <w:rFonts w:ascii="Aptos" w:hAnsi="Aptos"/>
                <w:b w:val="0"/>
                <w:sz w:val="16"/>
              </w:rPr>
              <w:t>M10 Finance and costing</w:t>
            </w:r>
          </w:p>
        </w:tc>
        <w:tc>
          <w:tcPr>
            <w:tcW w:type="dxa" w:w="5760"/>
            <w:vAlign w:val="center"/>
          </w:tcPr>
          <w:p>
            <w:pPr>
              <w:spacing w:after="40" w:before="40"/>
            </w:pPr>
            <w:r/>
            <w:r>
              <w:rPr>
                <w:rFonts w:ascii="Aptos" w:hAnsi="Aptos"/>
                <w:b w:val="0"/>
                <w:sz w:val="16"/>
              </w:rPr>
              <w:t>Finance integration boundary, tax/invoice references, production and inventory cost rollups, reconciliation exports.</w:t>
            </w:r>
          </w:p>
        </w:tc>
        <w:tc>
          <w:tcPr>
            <w:tcW w:type="dxa" w:w="2088"/>
            <w:vAlign w:val="center"/>
          </w:tcPr>
          <w:p>
            <w:pPr>
              <w:spacing w:after="40" w:before="40"/>
            </w:pPr>
            <w:r/>
            <w:r>
              <w:rPr>
                <w:rFonts w:ascii="Aptos" w:hAnsi="Aptos"/>
                <w:b w:val="0"/>
                <w:sz w:val="16"/>
              </w:rPr>
              <w:t>M2, M5, M6, M8; accounting policy decisions.</w:t>
            </w:r>
          </w:p>
        </w:tc>
      </w:tr>
      <w:tr>
        <w:tc>
          <w:tcPr>
            <w:tcW w:type="dxa" w:w="2088"/>
            <w:vAlign w:val="center"/>
            <w:shd w:fill="F2F5F8"/>
          </w:tcPr>
          <w:p>
            <w:pPr>
              <w:spacing w:after="40" w:before="40"/>
            </w:pPr>
            <w:r/>
            <w:r>
              <w:rPr>
                <w:rFonts w:ascii="Aptos" w:hAnsi="Aptos"/>
                <w:b w:val="0"/>
                <w:sz w:val="16"/>
              </w:rPr>
              <w:t>M11 Reporting and integrations</w:t>
            </w:r>
          </w:p>
        </w:tc>
        <w:tc>
          <w:tcPr>
            <w:tcW w:type="dxa" w:w="5760"/>
            <w:vAlign w:val="center"/>
            <w:shd w:fill="F2F5F8"/>
          </w:tcPr>
          <w:p>
            <w:pPr>
              <w:spacing w:after="40" w:before="40"/>
            </w:pPr>
            <w:r/>
            <w:r>
              <w:rPr>
                <w:rFonts w:ascii="Aptos" w:hAnsi="Aptos"/>
                <w:b w:val="0"/>
                <w:sz w:val="16"/>
              </w:rPr>
              <w:t>Operational reports, exports, external API/webhooks, background jobs, observability and release hardening.</w:t>
            </w:r>
          </w:p>
        </w:tc>
        <w:tc>
          <w:tcPr>
            <w:tcW w:type="dxa" w:w="2088"/>
            <w:vAlign w:val="center"/>
            <w:shd w:fill="F2F5F8"/>
          </w:tcPr>
          <w:p>
            <w:pPr>
              <w:spacing w:after="40" w:before="40"/>
            </w:pPr>
            <w:r/>
            <w:r>
              <w:rPr>
                <w:rFonts w:ascii="Aptos" w:hAnsi="Aptos"/>
                <w:b w:val="0"/>
                <w:sz w:val="16"/>
              </w:rPr>
              <w:t>Stable contracts from relevant modules.</w:t>
            </w:r>
          </w:p>
        </w:tc>
      </w:tr>
    </w:tbl>
    <w:p>
      <w:pPr>
        <w:spacing w:after="20"/>
      </w:pPr>
    </w:p>
    <w:p>
      <w:pPr>
        <w:pStyle w:val="Heading1"/>
      </w:pPr>
      <w:r>
        <w:t>Delivery phases and exit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112"/>
        <w:gridCol w:w="2952"/>
      </w:tblGrid>
      <w:tr>
        <w:trPr>
          <w:tblHeader w:val="true"/>
        </w:trPr>
        <w:tc>
          <w:tcPr>
            <w:tcW w:type="dxa" w:w="3389"/>
            <w:vAlign w:val="center"/>
            <w:shd w:fill="23466A"/>
          </w:tcPr>
          <w:p>
            <w:pPr>
              <w:spacing w:after="40" w:before="40"/>
            </w:pPr>
            <w:r/>
            <w:r>
              <w:rPr>
                <w:rFonts w:ascii="Aptos" w:hAnsi="Aptos"/>
                <w:b/>
                <w:color w:val="FFFFFF"/>
                <w:sz w:val="16"/>
              </w:rPr>
              <w:t>Phase</w:t>
            </w:r>
          </w:p>
        </w:tc>
        <w:tc>
          <w:tcPr>
            <w:tcW w:type="dxa" w:w="3389"/>
            <w:vAlign w:val="center"/>
            <w:shd w:fill="23466A"/>
          </w:tcPr>
          <w:p>
            <w:pPr>
              <w:spacing w:after="40" w:before="40"/>
            </w:pPr>
            <w:r/>
            <w:r>
              <w:rPr>
                <w:rFonts w:ascii="Aptos" w:hAnsi="Aptos"/>
                <w:b/>
                <w:color w:val="FFFFFF"/>
                <w:sz w:val="16"/>
              </w:rPr>
              <w:t>Modules / work</w:t>
            </w:r>
          </w:p>
        </w:tc>
        <w:tc>
          <w:tcPr>
            <w:tcW w:type="dxa" w:w="3389"/>
            <w:vAlign w:val="center"/>
            <w:shd w:fill="23466A"/>
          </w:tcPr>
          <w:p>
            <w:pPr>
              <w:spacing w:after="40" w:before="40"/>
            </w:pPr>
            <w:r/>
            <w:r>
              <w:rPr>
                <w:rFonts w:ascii="Aptos" w:hAnsi="Aptos"/>
                <w:b/>
                <w:color w:val="FFFFFF"/>
                <w:sz w:val="16"/>
              </w:rPr>
              <w:t>Exit gate</w:t>
            </w:r>
          </w:p>
        </w:tc>
      </w:tr>
      <w:tr>
        <w:tc>
          <w:tcPr>
            <w:tcW w:type="dxa" w:w="1872"/>
            <w:vAlign w:val="center"/>
          </w:tcPr>
          <w:p>
            <w:pPr>
              <w:spacing w:after="40" w:before="40"/>
            </w:pPr>
            <w:r/>
            <w:r>
              <w:rPr>
                <w:rFonts w:ascii="Aptos" w:hAnsi="Aptos"/>
                <w:b w:val="0"/>
                <w:sz w:val="16"/>
              </w:rPr>
              <w:t>0. Scope and engineering setup</w:t>
            </w:r>
          </w:p>
        </w:tc>
        <w:tc>
          <w:tcPr>
            <w:tcW w:type="dxa" w:w="5112"/>
            <w:vAlign w:val="center"/>
          </w:tcPr>
          <w:p>
            <w:pPr>
              <w:spacing w:after="40" w:before="40"/>
            </w:pPr>
            <w:r/>
            <w:r>
              <w:rPr>
                <w:rFonts w:ascii="Aptos" w:hAnsi="Aptos"/>
                <w:b w:val="0"/>
                <w:sz w:val="16"/>
              </w:rPr>
              <w:t>M0 kickoff: BRD traceability, repository/Git workflow, module owners, API conventions, environment variables/secrets policy, migration and test standards. Audit current schema against BRD.</w:t>
            </w:r>
          </w:p>
        </w:tc>
        <w:tc>
          <w:tcPr>
            <w:tcW w:type="dxa" w:w="2952"/>
            <w:vAlign w:val="center"/>
          </w:tcPr>
          <w:p>
            <w:pPr>
              <w:spacing w:after="40" w:before="40"/>
            </w:pPr>
            <w:r/>
            <w:r>
              <w:rPr>
                <w:rFonts w:ascii="Aptos" w:hAnsi="Aptos"/>
                <w:b w:val="0"/>
                <w:sz w:val="16"/>
              </w:rPr>
              <w:t>Senior approves scope, tenant boundary, schema baseline, and first release slice; clean local setup documented.</w:t>
            </w:r>
          </w:p>
        </w:tc>
      </w:tr>
      <w:tr>
        <w:tc>
          <w:tcPr>
            <w:tcW w:type="dxa" w:w="1872"/>
            <w:vAlign w:val="center"/>
            <w:shd w:fill="F2F5F8"/>
          </w:tcPr>
          <w:p>
            <w:pPr>
              <w:spacing w:after="40" w:before="40"/>
            </w:pPr>
            <w:r/>
            <w:r>
              <w:rPr>
                <w:rFonts w:ascii="Aptos" w:hAnsi="Aptos"/>
                <w:b w:val="0"/>
                <w:sz w:val="16"/>
              </w:rPr>
              <w:t>1. Platform foundation</w:t>
            </w:r>
          </w:p>
        </w:tc>
        <w:tc>
          <w:tcPr>
            <w:tcW w:type="dxa" w:w="5112"/>
            <w:vAlign w:val="center"/>
            <w:shd w:fill="F2F5F8"/>
          </w:tcPr>
          <w:p>
            <w:pPr>
              <w:spacing w:after="40" w:before="40"/>
            </w:pPr>
            <w:r/>
            <w:r>
              <w:rPr>
                <w:rFonts w:ascii="Aptos" w:hAnsi="Aptos"/>
                <w:b w:val="0"/>
                <w:sz w:val="16"/>
              </w:rPr>
              <w:t>M0: API boot, PostgreSQL pool, migration tool, config validation, structured logs, health/readiness endpoints, CI lint/test and error format.</w:t>
            </w:r>
          </w:p>
        </w:tc>
        <w:tc>
          <w:tcPr>
            <w:tcW w:type="dxa" w:w="2952"/>
            <w:vAlign w:val="center"/>
            <w:shd w:fill="F2F5F8"/>
          </w:tcPr>
          <w:p>
            <w:pPr>
              <w:spacing w:after="40" w:before="40"/>
            </w:pPr>
            <w:r/>
            <w:r>
              <w:rPr>
                <w:rFonts w:ascii="Aptos" w:hAnsi="Aptos"/>
                <w:b w:val="0"/>
                <w:sz w:val="16"/>
              </w:rPr>
              <w:t>Fresh database can migrate reproducibly; health check and CI pass.</w:t>
            </w:r>
          </w:p>
        </w:tc>
      </w:tr>
      <w:tr>
        <w:tc>
          <w:tcPr>
            <w:tcW w:type="dxa" w:w="1872"/>
            <w:vAlign w:val="center"/>
          </w:tcPr>
          <w:p>
            <w:pPr>
              <w:spacing w:after="40" w:before="40"/>
            </w:pPr>
            <w:r/>
            <w:r>
              <w:rPr>
                <w:rFonts w:ascii="Aptos" w:hAnsi="Aptos"/>
                <w:b w:val="0"/>
                <w:sz w:val="16"/>
              </w:rPr>
              <w:t>2. Identity and tenant security</w:t>
            </w:r>
          </w:p>
        </w:tc>
        <w:tc>
          <w:tcPr>
            <w:tcW w:type="dxa" w:w="5112"/>
            <w:vAlign w:val="center"/>
          </w:tcPr>
          <w:p>
            <w:pPr>
              <w:spacing w:after="40" w:before="40"/>
            </w:pPr>
            <w:r/>
            <w:r>
              <w:rPr>
                <w:rFonts w:ascii="Aptos" w:hAnsi="Aptos"/>
                <w:b w:val="0"/>
                <w:sz w:val="16"/>
              </w:rPr>
              <w:t>M1 + M9 skeleton: Better Auth organizational model, tenant membership, email verification/password reset/MFA configuration, role and permission checks, API tenant context, security audit.</w:t>
            </w:r>
          </w:p>
        </w:tc>
        <w:tc>
          <w:tcPr>
            <w:tcW w:type="dxa" w:w="2952"/>
            <w:vAlign w:val="center"/>
          </w:tcPr>
          <w:p>
            <w:pPr>
              <w:spacing w:after="40" w:before="40"/>
            </w:pPr>
            <w:r/>
            <w:r>
              <w:rPr>
                <w:rFonts w:ascii="Aptos" w:hAnsi="Aptos"/>
                <w:b w:val="0"/>
                <w:sz w:val="16"/>
              </w:rPr>
              <w:t>Automated tests prove unauthenticated and cross-tenant requests are denied; auth email flows tested in configured test environment.</w:t>
            </w:r>
          </w:p>
        </w:tc>
      </w:tr>
      <w:tr>
        <w:tc>
          <w:tcPr>
            <w:tcW w:type="dxa" w:w="1872"/>
            <w:vAlign w:val="center"/>
            <w:shd w:fill="F2F5F8"/>
          </w:tcPr>
          <w:p>
            <w:pPr>
              <w:spacing w:after="40" w:before="40"/>
            </w:pPr>
            <w:r/>
            <w:r>
              <w:rPr>
                <w:rFonts w:ascii="Aptos" w:hAnsi="Aptos"/>
                <w:b w:val="0"/>
                <w:sz w:val="16"/>
              </w:rPr>
              <w:t>3. Shared master data</w:t>
            </w:r>
          </w:p>
        </w:tc>
        <w:tc>
          <w:tcPr>
            <w:tcW w:type="dxa" w:w="5112"/>
            <w:vAlign w:val="center"/>
            <w:shd w:fill="F2F5F8"/>
          </w:tcPr>
          <w:p>
            <w:pPr>
              <w:spacing w:after="40" w:before="40"/>
            </w:pPr>
            <w:r/>
            <w:r>
              <w:rPr>
                <w:rFonts w:ascii="Aptos" w:hAnsi="Aptos"/>
                <w:b w:val="0"/>
                <w:sz w:val="16"/>
              </w:rPr>
              <w:t>M2: organization/site/plant and reference records; validated identifiers, uniqueness and tenant scoping.</w:t>
            </w:r>
          </w:p>
        </w:tc>
        <w:tc>
          <w:tcPr>
            <w:tcW w:type="dxa" w:w="2952"/>
            <w:vAlign w:val="center"/>
            <w:shd w:fill="F2F5F8"/>
          </w:tcPr>
          <w:p>
            <w:pPr>
              <w:spacing w:after="40" w:before="40"/>
            </w:pPr>
            <w:r/>
            <w:r>
              <w:rPr>
                <w:rFonts w:ascii="Aptos" w:hAnsi="Aptos"/>
                <w:b w:val="0"/>
                <w:sz w:val="16"/>
              </w:rPr>
              <w:t>CRUD and access tests pass; seed/reference data is reproducible.</w:t>
            </w:r>
          </w:p>
        </w:tc>
      </w:tr>
      <w:tr>
        <w:tc>
          <w:tcPr>
            <w:tcW w:type="dxa" w:w="1872"/>
            <w:vAlign w:val="center"/>
          </w:tcPr>
          <w:p>
            <w:pPr>
              <w:spacing w:after="40" w:before="40"/>
            </w:pPr>
            <w:r/>
            <w:r>
              <w:rPr>
                <w:rFonts w:ascii="Aptos" w:hAnsi="Aptos"/>
                <w:b w:val="0"/>
                <w:sz w:val="16"/>
              </w:rPr>
              <w:t>4. Product definition</w:t>
            </w:r>
          </w:p>
        </w:tc>
        <w:tc>
          <w:tcPr>
            <w:tcW w:type="dxa" w:w="5112"/>
            <w:vAlign w:val="center"/>
          </w:tcPr>
          <w:p>
            <w:pPr>
              <w:spacing w:after="40" w:before="40"/>
            </w:pPr>
            <w:r/>
            <w:r>
              <w:rPr>
                <w:rFonts w:ascii="Aptos" w:hAnsi="Aptos"/>
                <w:b w:val="0"/>
                <w:sz w:val="16"/>
              </w:rPr>
              <w:t>M3: items, revisions, BOM, routing, engineering change approval.</w:t>
            </w:r>
          </w:p>
        </w:tc>
        <w:tc>
          <w:tcPr>
            <w:tcW w:type="dxa" w:w="2952"/>
            <w:vAlign w:val="center"/>
          </w:tcPr>
          <w:p>
            <w:pPr>
              <w:spacing w:after="40" w:before="40"/>
            </w:pPr>
            <w:r/>
            <w:r>
              <w:rPr>
                <w:rFonts w:ascii="Aptos" w:hAnsi="Aptos"/>
                <w:b w:val="0"/>
                <w:sz w:val="16"/>
              </w:rPr>
              <w:t>BOM/revision integrity and effective-change rules tested; approval transitions auditable.</w:t>
            </w:r>
          </w:p>
        </w:tc>
      </w:tr>
      <w:tr>
        <w:tc>
          <w:tcPr>
            <w:tcW w:type="dxa" w:w="1872"/>
            <w:vAlign w:val="center"/>
            <w:shd w:fill="F2F5F8"/>
          </w:tcPr>
          <w:p>
            <w:pPr>
              <w:spacing w:after="40" w:before="40"/>
            </w:pPr>
            <w:r/>
            <w:r>
              <w:rPr>
                <w:rFonts w:ascii="Aptos" w:hAnsi="Aptos"/>
                <w:b w:val="0"/>
                <w:sz w:val="16"/>
              </w:rPr>
              <w:t>5. Buy and stock</w:t>
            </w:r>
          </w:p>
        </w:tc>
        <w:tc>
          <w:tcPr>
            <w:tcW w:type="dxa" w:w="5112"/>
            <w:vAlign w:val="center"/>
            <w:shd w:fill="F2F5F8"/>
          </w:tcPr>
          <w:p>
            <w:pPr>
              <w:spacing w:after="40" w:before="40"/>
            </w:pPr>
            <w:r/>
            <w:r>
              <w:rPr>
                <w:rFonts w:ascii="Aptos" w:hAnsi="Aptos"/>
                <w:b w:val="0"/>
                <w:sz w:val="16"/>
              </w:rPr>
              <w:t>M4 + M5: procurement documents and receiving; stock ledger, transfers, reservations and traceability.</w:t>
            </w:r>
          </w:p>
        </w:tc>
        <w:tc>
          <w:tcPr>
            <w:tcW w:type="dxa" w:w="2952"/>
            <w:vAlign w:val="center"/>
            <w:shd w:fill="F2F5F8"/>
          </w:tcPr>
          <w:p>
            <w:pPr>
              <w:spacing w:after="40" w:before="40"/>
            </w:pPr>
            <w:r/>
            <w:r>
              <w:rPr>
                <w:rFonts w:ascii="Aptos" w:hAnsi="Aptos"/>
                <w:b w:val="0"/>
                <w:sz w:val="16"/>
              </w:rPr>
              <w:t>Receipt-to-stock and issue/transfer flows reconcile; ledger rules and concurrent update behavior tested.</w:t>
            </w:r>
          </w:p>
        </w:tc>
      </w:tr>
      <w:tr>
        <w:tc>
          <w:tcPr>
            <w:tcW w:type="dxa" w:w="1872"/>
            <w:vAlign w:val="center"/>
          </w:tcPr>
          <w:p>
            <w:pPr>
              <w:spacing w:after="40" w:before="40"/>
            </w:pPr>
            <w:r/>
            <w:r>
              <w:rPr>
                <w:rFonts w:ascii="Aptos" w:hAnsi="Aptos"/>
                <w:b w:val="0"/>
                <w:sz w:val="16"/>
              </w:rPr>
              <w:t>6. Make and assure quality</w:t>
            </w:r>
          </w:p>
        </w:tc>
        <w:tc>
          <w:tcPr>
            <w:tcW w:type="dxa" w:w="5112"/>
            <w:vAlign w:val="center"/>
          </w:tcPr>
          <w:p>
            <w:pPr>
              <w:spacing w:after="40" w:before="40"/>
            </w:pPr>
            <w:r/>
            <w:r>
              <w:rPr>
                <w:rFonts w:ascii="Aptos" w:hAnsi="Aptos"/>
                <w:b w:val="0"/>
                <w:sz w:val="16"/>
              </w:rPr>
              <w:t>M6 + M7: work orders, material consumption, output, WIP, inspections, non-conformance and disposition.</w:t>
            </w:r>
          </w:p>
        </w:tc>
        <w:tc>
          <w:tcPr>
            <w:tcW w:type="dxa" w:w="2952"/>
            <w:vAlign w:val="center"/>
          </w:tcPr>
          <w:p>
            <w:pPr>
              <w:spacing w:after="40" w:before="40"/>
            </w:pPr>
            <w:r/>
            <w:r>
              <w:rPr>
                <w:rFonts w:ascii="Aptos" w:hAnsi="Aptos"/>
                <w:b w:val="0"/>
                <w:sz w:val="16"/>
              </w:rPr>
              <w:t>A representative work order is traceable from BOM/material lots through output and inspection.</w:t>
            </w:r>
          </w:p>
        </w:tc>
      </w:tr>
      <w:tr>
        <w:tc>
          <w:tcPr>
            <w:tcW w:type="dxa" w:w="1872"/>
            <w:vAlign w:val="center"/>
            <w:shd w:fill="F2F5F8"/>
          </w:tcPr>
          <w:p>
            <w:pPr>
              <w:spacing w:after="40" w:before="40"/>
            </w:pPr>
            <w:r/>
            <w:r>
              <w:rPr>
                <w:rFonts w:ascii="Aptos" w:hAnsi="Aptos"/>
                <w:b w:val="0"/>
                <w:sz w:val="16"/>
              </w:rPr>
              <w:t>7. Sell, ship and financial handoff</w:t>
            </w:r>
          </w:p>
        </w:tc>
        <w:tc>
          <w:tcPr>
            <w:tcW w:type="dxa" w:w="5112"/>
            <w:vAlign w:val="center"/>
            <w:shd w:fill="F2F5F8"/>
          </w:tcPr>
          <w:p>
            <w:pPr>
              <w:spacing w:after="40" w:before="40"/>
            </w:pPr>
            <w:r/>
            <w:r>
              <w:rPr>
                <w:rFonts w:ascii="Aptos" w:hAnsi="Aptos"/>
                <w:b w:val="0"/>
                <w:sz w:val="16"/>
              </w:rPr>
              <w:t>M8 + M10: quote/order, availability, dispatch, invoice/accounting boundary, cost/export reports.</w:t>
            </w:r>
          </w:p>
        </w:tc>
        <w:tc>
          <w:tcPr>
            <w:tcW w:type="dxa" w:w="2952"/>
            <w:vAlign w:val="center"/>
            <w:shd w:fill="F2F5F8"/>
          </w:tcPr>
          <w:p>
            <w:pPr>
              <w:spacing w:after="40" w:before="40"/>
            </w:pPr>
            <w:r/>
            <w:r>
              <w:rPr>
                <w:rFonts w:ascii="Aptos" w:hAnsi="Aptos"/>
                <w:b w:val="0"/>
                <w:sz w:val="16"/>
              </w:rPr>
              <w:t>Order-to-dispatch flow reconciles to inventory; finance policy and integration ownership approved.</w:t>
            </w:r>
          </w:p>
        </w:tc>
      </w:tr>
      <w:tr>
        <w:tc>
          <w:tcPr>
            <w:tcW w:type="dxa" w:w="1872"/>
            <w:vAlign w:val="center"/>
          </w:tcPr>
          <w:p>
            <w:pPr>
              <w:spacing w:after="40" w:before="40"/>
            </w:pPr>
            <w:r/>
            <w:r>
              <w:rPr>
                <w:rFonts w:ascii="Aptos" w:hAnsi="Aptos"/>
                <w:b w:val="0"/>
                <w:sz w:val="16"/>
              </w:rPr>
              <w:t>8. Reporting and release readiness</w:t>
            </w:r>
          </w:p>
        </w:tc>
        <w:tc>
          <w:tcPr>
            <w:tcW w:type="dxa" w:w="5112"/>
            <w:vAlign w:val="center"/>
          </w:tcPr>
          <w:p>
            <w:pPr>
              <w:spacing w:after="40" w:before="40"/>
            </w:pPr>
            <w:r/>
            <w:r>
              <w:rPr>
                <w:rFonts w:ascii="Aptos" w:hAnsi="Aptos"/>
                <w:b w:val="0"/>
                <w:sz w:val="16"/>
              </w:rPr>
              <w:t>M11: reports, integrations, performance/security review, backup/restore rehearsal, monitoring, deployment/runbooks.</w:t>
            </w:r>
          </w:p>
        </w:tc>
        <w:tc>
          <w:tcPr>
            <w:tcW w:type="dxa" w:w="2952"/>
            <w:vAlign w:val="center"/>
          </w:tcPr>
          <w:p>
            <w:pPr>
              <w:spacing w:after="40" w:before="40"/>
            </w:pPr>
            <w:r/>
            <w:r>
              <w:rPr>
                <w:rFonts w:ascii="Aptos" w:hAnsi="Aptos"/>
                <w:b w:val="0"/>
                <w:sz w:val="16"/>
              </w:rPr>
              <w:t>Release checklist signed; critical workflows tested end-to-end; rollback and support ownership documented.</w:t>
            </w:r>
          </w:p>
        </w:tc>
      </w:tr>
    </w:tbl>
    <w:p>
      <w:pPr>
        <w:spacing w:after="20"/>
      </w:pPr>
    </w:p>
    <w:p>
      <w:pPr>
        <w:pStyle w:val="Heading1"/>
      </w:pPr>
      <w:r>
        <w:t>Phase work overview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5256"/>
        <w:gridCol w:w="2736"/>
      </w:tblGrid>
      <w:tr>
        <w:trPr>
          <w:tblHeader w:val="true"/>
        </w:trPr>
        <w:tc>
          <w:tcPr>
            <w:tcW w:type="dxa" w:w="3389"/>
            <w:vAlign w:val="center"/>
            <w:shd w:fill="23466A"/>
          </w:tcPr>
          <w:p>
            <w:pPr>
              <w:spacing w:after="40" w:before="40"/>
            </w:pPr>
            <w:r/>
            <w:r>
              <w:rPr>
                <w:rFonts w:ascii="Aptos" w:hAnsi="Aptos"/>
                <w:b/>
                <w:color w:val="FFFFFF"/>
                <w:sz w:val="16"/>
              </w:rPr>
              <w:t>Phase</w:t>
            </w:r>
          </w:p>
        </w:tc>
        <w:tc>
          <w:tcPr>
            <w:tcW w:type="dxa" w:w="3389"/>
            <w:vAlign w:val="center"/>
            <w:shd w:fill="23466A"/>
          </w:tcPr>
          <w:p>
            <w:pPr>
              <w:spacing w:after="40" w:before="40"/>
            </w:pPr>
            <w:r/>
            <w:r>
              <w:rPr>
                <w:rFonts w:ascii="Aptos" w:hAnsi="Aptos"/>
                <w:b/>
                <w:color w:val="FFFFFF"/>
                <w:sz w:val="16"/>
              </w:rPr>
              <w:t>Backend work included</w:t>
            </w:r>
          </w:p>
        </w:tc>
        <w:tc>
          <w:tcPr>
            <w:tcW w:type="dxa" w:w="3389"/>
            <w:vAlign w:val="center"/>
            <w:shd w:fill="23466A"/>
          </w:tcPr>
          <w:p>
            <w:pPr>
              <w:spacing w:after="40" w:before="40"/>
            </w:pPr>
            <w:r/>
            <w:r>
              <w:rPr>
                <w:rFonts w:ascii="Aptos" w:hAnsi="Aptos"/>
                <w:b/>
                <w:color w:val="FFFFFF"/>
                <w:sz w:val="16"/>
              </w:rPr>
              <w:t>Phase outcome</w:t>
            </w:r>
          </w:p>
        </w:tc>
      </w:tr>
      <w:tr>
        <w:tc>
          <w:tcPr>
            <w:tcW w:type="dxa" w:w="2088"/>
            <w:vAlign w:val="center"/>
          </w:tcPr>
          <w:p>
            <w:pPr>
              <w:spacing w:after="40" w:before="40"/>
            </w:pPr>
            <w:r/>
            <w:r>
              <w:rPr>
                <w:rFonts w:ascii="Aptos" w:hAnsi="Aptos"/>
                <w:b w:val="0"/>
                <w:sz w:val="16"/>
              </w:rPr>
              <w:t>1. Foundation and database</w:t>
            </w:r>
          </w:p>
        </w:tc>
        <w:tc>
          <w:tcPr>
            <w:tcW w:type="dxa" w:w="5256"/>
            <w:vAlign w:val="center"/>
          </w:tcPr>
          <w:p>
            <w:pPr>
              <w:spacing w:after="40" w:before="40"/>
            </w:pPr>
            <w:r/>
            <w:r>
              <w:rPr>
                <w:rFonts w:ascii="Aptos" w:hAnsi="Aptos"/>
                <w:b w:val="0"/>
                <w:sz w:val="16"/>
              </w:rPr>
              <w:t>Project backend structure, configuration, PostgreSQL connectivity, migration process, logging, error handling, API conventions, health checks and automated test setup.</w:t>
            </w:r>
          </w:p>
        </w:tc>
        <w:tc>
          <w:tcPr>
            <w:tcW w:type="dxa" w:w="2736"/>
            <w:vAlign w:val="center"/>
          </w:tcPr>
          <w:p>
            <w:pPr>
              <w:spacing w:after="40" w:before="40"/>
            </w:pPr>
            <w:r/>
            <w:r>
              <w:rPr>
                <w:rFonts w:ascii="Aptos" w:hAnsi="Aptos"/>
                <w:b w:val="0"/>
                <w:sz w:val="16"/>
              </w:rPr>
              <w:t>Backend can start reliably and database changes can be applied in a controlled, repeatable way.</w:t>
            </w:r>
          </w:p>
        </w:tc>
      </w:tr>
      <w:tr>
        <w:tc>
          <w:tcPr>
            <w:tcW w:type="dxa" w:w="2088"/>
            <w:vAlign w:val="center"/>
            <w:shd w:fill="F2F5F8"/>
          </w:tcPr>
          <w:p>
            <w:pPr>
              <w:spacing w:after="40" w:before="40"/>
            </w:pPr>
            <w:r/>
            <w:r>
              <w:rPr>
                <w:rFonts w:ascii="Aptos" w:hAnsi="Aptos"/>
                <w:b w:val="0"/>
                <w:sz w:val="16"/>
              </w:rPr>
              <w:t>2. Authentication and organization security</w:t>
            </w:r>
          </w:p>
        </w:tc>
        <w:tc>
          <w:tcPr>
            <w:tcW w:type="dxa" w:w="5256"/>
            <w:vAlign w:val="center"/>
            <w:shd w:fill="F2F5F8"/>
          </w:tcPr>
          <w:p>
            <w:pPr>
              <w:spacing w:after="40" w:before="40"/>
            </w:pPr>
            <w:r/>
            <w:r>
              <w:rPr>
                <w:rFonts w:ascii="Aptos" w:hAnsi="Aptos"/>
                <w:b w:val="0"/>
                <w:sz w:val="16"/>
              </w:rPr>
              <w:t>Better Auth integration, organization-level tenancy, user membership, email verification, password recovery, MFA, sessions, roles/permissions, tenant context and security audit events.</w:t>
            </w:r>
          </w:p>
        </w:tc>
        <w:tc>
          <w:tcPr>
            <w:tcW w:type="dxa" w:w="2736"/>
            <w:vAlign w:val="center"/>
            <w:shd w:fill="F2F5F8"/>
          </w:tcPr>
          <w:p>
            <w:pPr>
              <w:spacing w:after="40" w:before="40"/>
            </w:pPr>
            <w:r/>
            <w:r>
              <w:rPr>
                <w:rFonts w:ascii="Aptos" w:hAnsi="Aptos"/>
                <w:b w:val="0"/>
                <w:sz w:val="16"/>
              </w:rPr>
              <w:t>Users can securely access only the organizations and actions permitted to them.</w:t>
            </w:r>
          </w:p>
        </w:tc>
      </w:tr>
      <w:tr>
        <w:tc>
          <w:tcPr>
            <w:tcW w:type="dxa" w:w="2088"/>
            <w:vAlign w:val="center"/>
          </w:tcPr>
          <w:p>
            <w:pPr>
              <w:spacing w:after="40" w:before="40"/>
            </w:pPr>
            <w:r/>
            <w:r>
              <w:rPr>
                <w:rFonts w:ascii="Aptos" w:hAnsi="Aptos"/>
                <w:b w:val="0"/>
                <w:sz w:val="16"/>
              </w:rPr>
              <w:t>3. Organization and master data</w:t>
            </w:r>
          </w:p>
        </w:tc>
        <w:tc>
          <w:tcPr>
            <w:tcW w:type="dxa" w:w="5256"/>
            <w:vAlign w:val="center"/>
          </w:tcPr>
          <w:p>
            <w:pPr>
              <w:spacing w:after="40" w:before="40"/>
            </w:pPr>
            <w:r/>
            <w:r>
              <w:rPr>
                <w:rFonts w:ascii="Aptos" w:hAnsi="Aptos"/>
                <w:b w:val="0"/>
                <w:sz w:val="16"/>
              </w:rPr>
              <w:t>Organization, site/plant, departments, units, currencies, tax/configuration, numbering rules, customer/vendor/item categories and shared reference data.</w:t>
            </w:r>
          </w:p>
        </w:tc>
        <w:tc>
          <w:tcPr>
            <w:tcW w:type="dxa" w:w="2736"/>
            <w:vAlign w:val="center"/>
          </w:tcPr>
          <w:p>
            <w:pPr>
              <w:spacing w:after="40" w:before="40"/>
            </w:pPr>
            <w:r/>
            <w:r>
              <w:rPr>
                <w:rFonts w:ascii="Aptos" w:hAnsi="Aptos"/>
                <w:b w:val="0"/>
                <w:sz w:val="16"/>
              </w:rPr>
              <w:t>Business modules can use consistent organization-scoped reference data.</w:t>
            </w:r>
          </w:p>
        </w:tc>
      </w:tr>
      <w:tr>
        <w:tc>
          <w:tcPr>
            <w:tcW w:type="dxa" w:w="2088"/>
            <w:vAlign w:val="center"/>
            <w:shd w:fill="F2F5F8"/>
          </w:tcPr>
          <w:p>
            <w:pPr>
              <w:spacing w:after="40" w:before="40"/>
            </w:pPr>
            <w:r/>
            <w:r>
              <w:rPr>
                <w:rFonts w:ascii="Aptos" w:hAnsi="Aptos"/>
                <w:b w:val="0"/>
                <w:sz w:val="16"/>
              </w:rPr>
              <w:t>4. Product engineering</w:t>
            </w:r>
          </w:p>
        </w:tc>
        <w:tc>
          <w:tcPr>
            <w:tcW w:type="dxa" w:w="5256"/>
            <w:vAlign w:val="center"/>
            <w:shd w:fill="F2F5F8"/>
          </w:tcPr>
          <w:p>
            <w:pPr>
              <w:spacing w:after="40" w:before="40"/>
            </w:pPr>
            <w:r/>
            <w:r>
              <w:rPr>
                <w:rFonts w:ascii="Aptos" w:hAnsi="Aptos"/>
                <w:b w:val="0"/>
                <w:sz w:val="16"/>
              </w:rPr>
              <w:t>Items/products, revisions, BOM and BOM lines, routing/operations, specifications/drawings and engineering change control.</w:t>
            </w:r>
          </w:p>
        </w:tc>
        <w:tc>
          <w:tcPr>
            <w:tcW w:type="dxa" w:w="2736"/>
            <w:vAlign w:val="center"/>
            <w:shd w:fill="F2F5F8"/>
          </w:tcPr>
          <w:p>
            <w:pPr>
              <w:spacing w:after="40" w:before="40"/>
            </w:pPr>
            <w:r/>
            <w:r>
              <w:rPr>
                <w:rFonts w:ascii="Aptos" w:hAnsi="Aptos"/>
                <w:b w:val="0"/>
                <w:sz w:val="16"/>
              </w:rPr>
              <w:t>Approved product definition and manufacturing instructions are versioned and traceable.</w:t>
            </w:r>
          </w:p>
        </w:tc>
      </w:tr>
      <w:tr>
        <w:tc>
          <w:tcPr>
            <w:tcW w:type="dxa" w:w="2088"/>
            <w:vAlign w:val="center"/>
          </w:tcPr>
          <w:p>
            <w:pPr>
              <w:spacing w:after="40" w:before="40"/>
            </w:pPr>
            <w:r/>
            <w:r>
              <w:rPr>
                <w:rFonts w:ascii="Aptos" w:hAnsi="Aptos"/>
                <w:b w:val="0"/>
                <w:sz w:val="16"/>
              </w:rPr>
              <w:t>5. Procurement and inventory</w:t>
            </w:r>
          </w:p>
        </w:tc>
        <w:tc>
          <w:tcPr>
            <w:tcW w:type="dxa" w:w="5256"/>
            <w:vAlign w:val="center"/>
          </w:tcPr>
          <w:p>
            <w:pPr>
              <w:spacing w:after="40" w:before="40"/>
            </w:pPr>
            <w:r/>
            <w:r>
              <w:rPr>
                <w:rFonts w:ascii="Aptos" w:hAnsi="Aptos"/>
                <w:b w:val="0"/>
                <w:sz w:val="16"/>
              </w:rPr>
              <w:t>Purchase requisitions, supplier quotations, purchase orders, receiving, warehouse/location, stock ledger, transfers, lots/serials, reservations and cycle counts.</w:t>
            </w:r>
          </w:p>
        </w:tc>
        <w:tc>
          <w:tcPr>
            <w:tcW w:type="dxa" w:w="2736"/>
            <w:vAlign w:val="center"/>
          </w:tcPr>
          <w:p>
            <w:pPr>
              <w:spacing w:after="40" w:before="40"/>
            </w:pPr>
            <w:r/>
            <w:r>
              <w:rPr>
                <w:rFonts w:ascii="Aptos" w:hAnsi="Aptos"/>
                <w:b w:val="0"/>
                <w:sz w:val="16"/>
              </w:rPr>
              <w:t>Purchased materials can be received, tracked, moved and issued with traceable stock records.</w:t>
            </w:r>
          </w:p>
        </w:tc>
      </w:tr>
      <w:tr>
        <w:tc>
          <w:tcPr>
            <w:tcW w:type="dxa" w:w="2088"/>
            <w:vAlign w:val="center"/>
            <w:shd w:fill="F2F5F8"/>
          </w:tcPr>
          <w:p>
            <w:pPr>
              <w:spacing w:after="40" w:before="40"/>
            </w:pPr>
            <w:r/>
            <w:r>
              <w:rPr>
                <w:rFonts w:ascii="Aptos" w:hAnsi="Aptos"/>
                <w:b w:val="0"/>
                <w:sz w:val="16"/>
              </w:rPr>
              <w:t>6. Production and quality</w:t>
            </w:r>
          </w:p>
        </w:tc>
        <w:tc>
          <w:tcPr>
            <w:tcW w:type="dxa" w:w="5256"/>
            <w:vAlign w:val="center"/>
            <w:shd w:fill="F2F5F8"/>
          </w:tcPr>
          <w:p>
            <w:pPr>
              <w:spacing w:after="40" w:before="40"/>
            </w:pPr>
            <w:r/>
            <w:r>
              <w:rPr>
                <w:rFonts w:ascii="Aptos" w:hAnsi="Aptos"/>
                <w:b w:val="0"/>
                <w:sz w:val="16"/>
              </w:rPr>
              <w:t>Work orders, material issue/return, operations, WIP, production reporting, downtime/rework, inspection plans/results, non-conformance and corrective action.</w:t>
            </w:r>
          </w:p>
        </w:tc>
        <w:tc>
          <w:tcPr>
            <w:tcW w:type="dxa" w:w="2736"/>
            <w:vAlign w:val="center"/>
            <w:shd w:fill="F2F5F8"/>
          </w:tcPr>
          <w:p>
            <w:pPr>
              <w:spacing w:after="40" w:before="40"/>
            </w:pPr>
            <w:r/>
            <w:r>
              <w:rPr>
                <w:rFonts w:ascii="Aptos" w:hAnsi="Aptos"/>
                <w:b w:val="0"/>
                <w:sz w:val="16"/>
              </w:rPr>
              <w:t>Manufactured goods and quality decisions can be traced from inputs to finished output.</w:t>
            </w:r>
          </w:p>
        </w:tc>
      </w:tr>
      <w:tr>
        <w:tc>
          <w:tcPr>
            <w:tcW w:type="dxa" w:w="2088"/>
            <w:vAlign w:val="center"/>
          </w:tcPr>
          <w:p>
            <w:pPr>
              <w:spacing w:after="40" w:before="40"/>
            </w:pPr>
            <w:r/>
            <w:r>
              <w:rPr>
                <w:rFonts w:ascii="Aptos" w:hAnsi="Aptos"/>
                <w:b w:val="0"/>
                <w:sz w:val="16"/>
              </w:rPr>
              <w:t>7. Sales and dispatch</w:t>
            </w:r>
          </w:p>
        </w:tc>
        <w:tc>
          <w:tcPr>
            <w:tcW w:type="dxa" w:w="5256"/>
            <w:vAlign w:val="center"/>
          </w:tcPr>
          <w:p>
            <w:pPr>
              <w:spacing w:after="40" w:before="40"/>
            </w:pPr>
            <w:r/>
            <w:r>
              <w:rPr>
                <w:rFonts w:ascii="Aptos" w:hAnsi="Aptos"/>
                <w:b w:val="0"/>
                <w:sz w:val="16"/>
              </w:rPr>
              <w:t>Customer enquiry/quote, sales order, availability, delivery planning, dispatch/shipment and invoice/accounting handoff.</w:t>
            </w:r>
          </w:p>
        </w:tc>
        <w:tc>
          <w:tcPr>
            <w:tcW w:type="dxa" w:w="2736"/>
            <w:vAlign w:val="center"/>
          </w:tcPr>
          <w:p>
            <w:pPr>
              <w:spacing w:after="40" w:before="40"/>
            </w:pPr>
            <w:r/>
            <w:r>
              <w:rPr>
                <w:rFonts w:ascii="Aptos" w:hAnsi="Aptos"/>
                <w:b w:val="0"/>
                <w:sz w:val="16"/>
              </w:rPr>
              <w:t>Customer demand can be fulfilled and shipment status recorded against inventory and quality.</w:t>
            </w:r>
          </w:p>
        </w:tc>
      </w:tr>
      <w:tr>
        <w:tc>
          <w:tcPr>
            <w:tcW w:type="dxa" w:w="2088"/>
            <w:vAlign w:val="center"/>
            <w:shd w:fill="F2F5F8"/>
          </w:tcPr>
          <w:p>
            <w:pPr>
              <w:spacing w:after="40" w:before="40"/>
            </w:pPr>
            <w:r/>
            <w:r>
              <w:rPr>
                <w:rFonts w:ascii="Aptos" w:hAnsi="Aptos"/>
                <w:b w:val="0"/>
                <w:sz w:val="16"/>
              </w:rPr>
              <w:t>8. Finance, reporting and integrations</w:t>
            </w:r>
          </w:p>
        </w:tc>
        <w:tc>
          <w:tcPr>
            <w:tcW w:type="dxa" w:w="5256"/>
            <w:vAlign w:val="center"/>
            <w:shd w:fill="F2F5F8"/>
          </w:tcPr>
          <w:p>
            <w:pPr>
              <w:spacing w:after="40" w:before="40"/>
            </w:pPr>
            <w:r/>
            <w:r>
              <w:rPr>
                <w:rFonts w:ascii="Aptos" w:hAnsi="Aptos"/>
                <w:b w:val="0"/>
                <w:sz w:val="16"/>
              </w:rPr>
              <w:t>Costing inputs, tax/invoice references, reconciliation/export, operational reports, external integrations, background jobs, monitoring, backup/restore and deployment runbooks.</w:t>
            </w:r>
          </w:p>
        </w:tc>
        <w:tc>
          <w:tcPr>
            <w:tcW w:type="dxa" w:w="2736"/>
            <w:vAlign w:val="center"/>
            <w:shd w:fill="F2F5F8"/>
          </w:tcPr>
          <w:p>
            <w:pPr>
              <w:spacing w:after="40" w:before="40"/>
            </w:pPr>
            <w:r/>
            <w:r>
              <w:rPr>
                <w:rFonts w:ascii="Aptos" w:hAnsi="Aptos"/>
                <w:b w:val="0"/>
                <w:sz w:val="16"/>
              </w:rPr>
              <w:t>Operational information can be reported and transferred to connected systems; backend is prepared for controlled release.</w:t>
            </w:r>
          </w:p>
        </w:tc>
      </w:tr>
    </w:tbl>
    <w:p>
      <w:pPr>
        <w:spacing w:after="20"/>
      </w:pPr>
    </w:p>
    <w:p>
      <w:pPr>
        <w:pStyle w:val="Heading1"/>
      </w:pPr>
      <w:r>
        <w:t>Module work details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5400"/>
        <w:gridCol w:w="2736"/>
      </w:tblGrid>
      <w:tr>
        <w:trPr>
          <w:tblHeader w:val="true"/>
        </w:trPr>
        <w:tc>
          <w:tcPr>
            <w:tcW w:type="dxa" w:w="3389"/>
            <w:vAlign w:val="center"/>
            <w:shd w:fill="23466A"/>
          </w:tcPr>
          <w:p>
            <w:pPr>
              <w:spacing w:after="40" w:before="40"/>
            </w:pPr>
            <w:r/>
            <w:r>
              <w:rPr>
                <w:rFonts w:ascii="Aptos" w:hAnsi="Aptos"/>
                <w:b/>
                <w:color w:val="FFFFFF"/>
                <w:sz w:val="16"/>
              </w:rPr>
              <w:t>Module</w:t>
            </w:r>
          </w:p>
        </w:tc>
        <w:tc>
          <w:tcPr>
            <w:tcW w:type="dxa" w:w="3389"/>
            <w:vAlign w:val="center"/>
            <w:shd w:fill="23466A"/>
          </w:tcPr>
          <w:p>
            <w:pPr>
              <w:spacing w:after="40" w:before="40"/>
            </w:pPr>
            <w:r/>
            <w:r>
              <w:rPr>
                <w:rFonts w:ascii="Aptos" w:hAnsi="Aptos"/>
                <w:b/>
                <w:color w:val="FFFFFF"/>
                <w:sz w:val="16"/>
              </w:rPr>
              <w:t>Backend functionality</w:t>
            </w:r>
          </w:p>
        </w:tc>
        <w:tc>
          <w:tcPr>
            <w:tcW w:type="dxa" w:w="3389"/>
            <w:vAlign w:val="center"/>
            <w:shd w:fill="23466A"/>
          </w:tcPr>
          <w:p>
            <w:pPr>
              <w:spacing w:after="40" w:before="40"/>
            </w:pPr>
            <w:r/>
            <w:r>
              <w:rPr>
                <w:rFonts w:ascii="Aptos" w:hAnsi="Aptos"/>
                <w:b/>
                <w:color w:val="FFFFFF"/>
                <w:sz w:val="16"/>
              </w:rPr>
              <w:t>Key completion checks</w:t>
            </w:r>
          </w:p>
        </w:tc>
      </w:tr>
      <w:tr>
        <w:tc>
          <w:tcPr>
            <w:tcW w:type="dxa" w:w="1944"/>
            <w:vAlign w:val="center"/>
          </w:tcPr>
          <w:p>
            <w:pPr>
              <w:spacing w:after="40" w:before="40"/>
            </w:pPr>
            <w:r/>
            <w:r>
              <w:rPr>
                <w:rFonts w:ascii="Aptos" w:hAnsi="Aptos"/>
                <w:b w:val="0"/>
                <w:sz w:val="16"/>
              </w:rPr>
              <w:t>Platform and database</w:t>
            </w:r>
          </w:p>
        </w:tc>
        <w:tc>
          <w:tcPr>
            <w:tcW w:type="dxa" w:w="5400"/>
            <w:vAlign w:val="center"/>
          </w:tcPr>
          <w:p>
            <w:pPr>
              <w:spacing w:after="40" w:before="40"/>
            </w:pPr>
            <w:r/>
            <w:r>
              <w:rPr>
                <w:rFonts w:ascii="Aptos" w:hAnsi="Aptos"/>
                <w:b w:val="0"/>
                <w:sz w:val="16"/>
              </w:rPr>
              <w:t>API runtime, configuration validation, database connection, migrations, logging, health/readiness endpoints and shared response/error formats.</w:t>
            </w:r>
          </w:p>
        </w:tc>
        <w:tc>
          <w:tcPr>
            <w:tcW w:type="dxa" w:w="2736"/>
            <w:vAlign w:val="center"/>
          </w:tcPr>
          <w:p>
            <w:pPr>
              <w:spacing w:after="40" w:before="40"/>
            </w:pPr>
            <w:r/>
            <w:r>
              <w:rPr>
                <w:rFonts w:ascii="Aptos" w:hAnsi="Aptos"/>
                <w:b w:val="0"/>
                <w:sz w:val="16"/>
              </w:rPr>
              <w:t>Clean database setup succeeds; migrations are repeatable; health and automated checks work.</w:t>
            </w:r>
          </w:p>
        </w:tc>
      </w:tr>
      <w:tr>
        <w:tc>
          <w:tcPr>
            <w:tcW w:type="dxa" w:w="1944"/>
            <w:vAlign w:val="center"/>
            <w:shd w:fill="F2F5F8"/>
          </w:tcPr>
          <w:p>
            <w:pPr>
              <w:spacing w:after="40" w:before="40"/>
            </w:pPr>
            <w:r/>
            <w:r>
              <w:rPr>
                <w:rFonts w:ascii="Aptos" w:hAnsi="Aptos"/>
                <w:b w:val="0"/>
                <w:sz w:val="16"/>
              </w:rPr>
              <w:t>Identity and access</w:t>
            </w:r>
          </w:p>
        </w:tc>
        <w:tc>
          <w:tcPr>
            <w:tcW w:type="dxa" w:w="5400"/>
            <w:vAlign w:val="center"/>
            <w:shd w:fill="F2F5F8"/>
          </w:tcPr>
          <w:p>
            <w:pPr>
              <w:spacing w:after="40" w:before="40"/>
            </w:pPr>
            <w:r/>
            <w:r>
              <w:rPr>
                <w:rFonts w:ascii="Aptos" w:hAnsi="Aptos"/>
                <w:b w:val="0"/>
                <w:sz w:val="16"/>
              </w:rPr>
              <w:t>Better Auth, organization membership, email and password flows, MFA, sessions, role/permission checks, tenant isolation and audit trail.</w:t>
            </w:r>
          </w:p>
        </w:tc>
        <w:tc>
          <w:tcPr>
            <w:tcW w:type="dxa" w:w="2736"/>
            <w:vAlign w:val="center"/>
            <w:shd w:fill="F2F5F8"/>
          </w:tcPr>
          <w:p>
            <w:pPr>
              <w:spacing w:after="40" w:before="40"/>
            </w:pPr>
            <w:r/>
            <w:r>
              <w:rPr>
                <w:rFonts w:ascii="Aptos" w:hAnsi="Aptos"/>
                <w:b w:val="0"/>
                <w:sz w:val="16"/>
              </w:rPr>
              <w:t>Authentication and recovery flows pass tests; unauthorized and cross-organization access is rejected.</w:t>
            </w:r>
          </w:p>
        </w:tc>
      </w:tr>
      <w:tr>
        <w:tc>
          <w:tcPr>
            <w:tcW w:type="dxa" w:w="1944"/>
            <w:vAlign w:val="center"/>
          </w:tcPr>
          <w:p>
            <w:pPr>
              <w:spacing w:after="40" w:before="40"/>
            </w:pPr>
            <w:r/>
            <w:r>
              <w:rPr>
                <w:rFonts w:ascii="Aptos" w:hAnsi="Aptos"/>
                <w:b w:val="0"/>
                <w:sz w:val="16"/>
              </w:rPr>
              <w:t>Organization and master data</w:t>
            </w:r>
          </w:p>
        </w:tc>
        <w:tc>
          <w:tcPr>
            <w:tcW w:type="dxa" w:w="5400"/>
            <w:vAlign w:val="center"/>
          </w:tcPr>
          <w:p>
            <w:pPr>
              <w:spacing w:after="40" w:before="40"/>
            </w:pPr>
            <w:r/>
            <w:r>
              <w:rPr>
                <w:rFonts w:ascii="Aptos" w:hAnsi="Aptos"/>
                <w:b w:val="0"/>
                <w:sz w:val="16"/>
              </w:rPr>
              <w:t>Organization/site/plant and shared reference records, settings, numbering and master-data validation.</w:t>
            </w:r>
          </w:p>
        </w:tc>
        <w:tc>
          <w:tcPr>
            <w:tcW w:type="dxa" w:w="2736"/>
            <w:vAlign w:val="center"/>
          </w:tcPr>
          <w:p>
            <w:pPr>
              <w:spacing w:after="40" w:before="40"/>
            </w:pPr>
            <w:r/>
            <w:r>
              <w:rPr>
                <w:rFonts w:ascii="Aptos" w:hAnsi="Aptos"/>
                <w:b w:val="0"/>
                <w:sz w:val="16"/>
              </w:rPr>
              <w:t>Records are scoped correctly and reusable by dependent modules.</w:t>
            </w:r>
          </w:p>
        </w:tc>
      </w:tr>
      <w:tr>
        <w:tc>
          <w:tcPr>
            <w:tcW w:type="dxa" w:w="1944"/>
            <w:vAlign w:val="center"/>
            <w:shd w:fill="F2F5F8"/>
          </w:tcPr>
          <w:p>
            <w:pPr>
              <w:spacing w:after="40" w:before="40"/>
            </w:pPr>
            <w:r/>
            <w:r>
              <w:rPr>
                <w:rFonts w:ascii="Aptos" w:hAnsi="Aptos"/>
                <w:b w:val="0"/>
                <w:sz w:val="16"/>
              </w:rPr>
              <w:t>Product engineering</w:t>
            </w:r>
          </w:p>
        </w:tc>
        <w:tc>
          <w:tcPr>
            <w:tcW w:type="dxa" w:w="5400"/>
            <w:vAlign w:val="center"/>
            <w:shd w:fill="F2F5F8"/>
          </w:tcPr>
          <w:p>
            <w:pPr>
              <w:spacing w:after="40" w:before="40"/>
            </w:pPr>
            <w:r/>
            <w:r>
              <w:rPr>
                <w:rFonts w:ascii="Aptos" w:hAnsi="Aptos"/>
                <w:b w:val="0"/>
                <w:sz w:val="16"/>
              </w:rPr>
              <w:t>Item catalogue, revisions, BOM, routing, technical specifications and engineering changes.</w:t>
            </w:r>
          </w:p>
        </w:tc>
        <w:tc>
          <w:tcPr>
            <w:tcW w:type="dxa" w:w="2736"/>
            <w:vAlign w:val="center"/>
            <w:shd w:fill="F2F5F8"/>
          </w:tcPr>
          <w:p>
            <w:pPr>
              <w:spacing w:after="40" w:before="40"/>
            </w:pPr>
            <w:r/>
            <w:r>
              <w:rPr>
                <w:rFonts w:ascii="Aptos" w:hAnsi="Aptos"/>
                <w:b w:val="0"/>
                <w:sz w:val="16"/>
              </w:rPr>
              <w:t>BOM/revision integrity is validated; changes retain history and approval status.</w:t>
            </w:r>
          </w:p>
        </w:tc>
      </w:tr>
      <w:tr>
        <w:tc>
          <w:tcPr>
            <w:tcW w:type="dxa" w:w="1944"/>
            <w:vAlign w:val="center"/>
          </w:tcPr>
          <w:p>
            <w:pPr>
              <w:spacing w:after="40" w:before="40"/>
            </w:pPr>
            <w:r/>
            <w:r>
              <w:rPr>
                <w:rFonts w:ascii="Aptos" w:hAnsi="Aptos"/>
                <w:b w:val="0"/>
                <w:sz w:val="16"/>
              </w:rPr>
              <w:t>Procurement</w:t>
            </w:r>
          </w:p>
        </w:tc>
        <w:tc>
          <w:tcPr>
            <w:tcW w:type="dxa" w:w="5400"/>
            <w:vAlign w:val="center"/>
          </w:tcPr>
          <w:p>
            <w:pPr>
              <w:spacing w:after="40" w:before="40"/>
            </w:pPr>
            <w:r/>
            <w:r>
              <w:rPr>
                <w:rFonts w:ascii="Aptos" w:hAnsi="Aptos"/>
                <w:b w:val="0"/>
                <w:sz w:val="16"/>
              </w:rPr>
              <w:t>Requisitions, supplier quotations, purchase orders and receiving handoff.</w:t>
            </w:r>
          </w:p>
        </w:tc>
        <w:tc>
          <w:tcPr>
            <w:tcW w:type="dxa" w:w="2736"/>
            <w:vAlign w:val="center"/>
          </w:tcPr>
          <w:p>
            <w:pPr>
              <w:spacing w:after="40" w:before="40"/>
            </w:pPr>
            <w:r/>
            <w:r>
              <w:rPr>
                <w:rFonts w:ascii="Aptos" w:hAnsi="Aptos"/>
                <w:b w:val="0"/>
                <w:sz w:val="16"/>
              </w:rPr>
              <w:t>Procurement documents retain status/history and can be connected to received inventory.</w:t>
            </w:r>
          </w:p>
        </w:tc>
      </w:tr>
      <w:tr>
        <w:tc>
          <w:tcPr>
            <w:tcW w:type="dxa" w:w="1944"/>
            <w:vAlign w:val="center"/>
            <w:shd w:fill="F2F5F8"/>
          </w:tcPr>
          <w:p>
            <w:pPr>
              <w:spacing w:after="40" w:before="40"/>
            </w:pPr>
            <w:r/>
            <w:r>
              <w:rPr>
                <w:rFonts w:ascii="Aptos" w:hAnsi="Aptos"/>
                <w:b w:val="0"/>
                <w:sz w:val="16"/>
              </w:rPr>
              <w:t>Inventory and warehouse</w:t>
            </w:r>
          </w:p>
        </w:tc>
        <w:tc>
          <w:tcPr>
            <w:tcW w:type="dxa" w:w="5400"/>
            <w:vAlign w:val="center"/>
            <w:shd w:fill="F2F5F8"/>
          </w:tcPr>
          <w:p>
            <w:pPr>
              <w:spacing w:after="40" w:before="40"/>
            </w:pPr>
            <w:r/>
            <w:r>
              <w:rPr>
                <w:rFonts w:ascii="Aptos" w:hAnsi="Aptos"/>
                <w:b w:val="0"/>
                <w:sz w:val="16"/>
              </w:rPr>
              <w:t>Locations, receipts/issues/transfers, stock ledger, reservations, lot/serial traceability and counts.</w:t>
            </w:r>
          </w:p>
        </w:tc>
        <w:tc>
          <w:tcPr>
            <w:tcW w:type="dxa" w:w="2736"/>
            <w:vAlign w:val="center"/>
            <w:shd w:fill="F2F5F8"/>
          </w:tcPr>
          <w:p>
            <w:pPr>
              <w:spacing w:after="40" w:before="40"/>
            </w:pPr>
            <w:r/>
            <w:r>
              <w:rPr>
                <w:rFonts w:ascii="Aptos" w:hAnsi="Aptos"/>
                <w:b w:val="0"/>
                <w:sz w:val="16"/>
              </w:rPr>
              <w:t>Stock movements reconcile; traceability and quantity rules are tested.</w:t>
            </w:r>
          </w:p>
        </w:tc>
      </w:tr>
      <w:tr>
        <w:tc>
          <w:tcPr>
            <w:tcW w:type="dxa" w:w="1944"/>
            <w:vAlign w:val="center"/>
          </w:tcPr>
          <w:p>
            <w:pPr>
              <w:spacing w:after="40" w:before="40"/>
            </w:pPr>
            <w:r/>
            <w:r>
              <w:rPr>
                <w:rFonts w:ascii="Aptos" w:hAnsi="Aptos"/>
                <w:b w:val="0"/>
                <w:sz w:val="16"/>
              </w:rPr>
              <w:t>Production</w:t>
            </w:r>
          </w:p>
        </w:tc>
        <w:tc>
          <w:tcPr>
            <w:tcW w:type="dxa" w:w="5400"/>
            <w:vAlign w:val="center"/>
          </w:tcPr>
          <w:p>
            <w:pPr>
              <w:spacing w:after="40" w:before="40"/>
            </w:pPr>
            <w:r/>
            <w:r>
              <w:rPr>
                <w:rFonts w:ascii="Aptos" w:hAnsi="Aptos"/>
                <w:b w:val="0"/>
                <w:sz w:val="16"/>
              </w:rPr>
              <w:t>Work orders, material consumption/return, operation progress, WIP, finished output and rework/downtime records.</w:t>
            </w:r>
          </w:p>
        </w:tc>
        <w:tc>
          <w:tcPr>
            <w:tcW w:type="dxa" w:w="2736"/>
            <w:vAlign w:val="center"/>
          </w:tcPr>
          <w:p>
            <w:pPr>
              <w:spacing w:after="40" w:before="40"/>
            </w:pPr>
            <w:r/>
            <w:r>
              <w:rPr>
                <w:rFonts w:ascii="Aptos" w:hAnsi="Aptos"/>
                <w:b w:val="0"/>
                <w:sz w:val="16"/>
              </w:rPr>
              <w:t>Work order materials and outputs can be reconciled and traced.</w:t>
            </w:r>
          </w:p>
        </w:tc>
      </w:tr>
      <w:tr>
        <w:tc>
          <w:tcPr>
            <w:tcW w:type="dxa" w:w="1944"/>
            <w:vAlign w:val="center"/>
            <w:shd w:fill="F2F5F8"/>
          </w:tcPr>
          <w:p>
            <w:pPr>
              <w:spacing w:after="40" w:before="40"/>
            </w:pPr>
            <w:r/>
            <w:r>
              <w:rPr>
                <w:rFonts w:ascii="Aptos" w:hAnsi="Aptos"/>
                <w:b w:val="0"/>
                <w:sz w:val="16"/>
              </w:rPr>
              <w:t>Quality</w:t>
            </w:r>
          </w:p>
        </w:tc>
        <w:tc>
          <w:tcPr>
            <w:tcW w:type="dxa" w:w="5400"/>
            <w:vAlign w:val="center"/>
            <w:shd w:fill="F2F5F8"/>
          </w:tcPr>
          <w:p>
            <w:pPr>
              <w:spacing w:after="40" w:before="40"/>
            </w:pPr>
            <w:r/>
            <w:r>
              <w:rPr>
                <w:rFonts w:ascii="Aptos" w:hAnsi="Aptos"/>
                <w:b w:val="0"/>
                <w:sz w:val="16"/>
              </w:rPr>
              <w:t>Inspection plans/results, non-conformance, disposition, corrective actions and quality evidence.</w:t>
            </w:r>
          </w:p>
        </w:tc>
        <w:tc>
          <w:tcPr>
            <w:tcW w:type="dxa" w:w="2736"/>
            <w:vAlign w:val="center"/>
            <w:shd w:fill="F2F5F8"/>
          </w:tcPr>
          <w:p>
            <w:pPr>
              <w:spacing w:after="40" w:before="40"/>
            </w:pPr>
            <w:r/>
            <w:r>
              <w:rPr>
                <w:rFonts w:ascii="Aptos" w:hAnsi="Aptos"/>
                <w:b w:val="0"/>
                <w:sz w:val="16"/>
              </w:rPr>
              <w:t>Inspection and disposition status controls downstream production/dispatch as defined.</w:t>
            </w:r>
          </w:p>
        </w:tc>
      </w:tr>
      <w:tr>
        <w:tc>
          <w:tcPr>
            <w:tcW w:type="dxa" w:w="1944"/>
            <w:vAlign w:val="center"/>
          </w:tcPr>
          <w:p>
            <w:pPr>
              <w:spacing w:after="40" w:before="40"/>
            </w:pPr>
            <w:r/>
            <w:r>
              <w:rPr>
                <w:rFonts w:ascii="Aptos" w:hAnsi="Aptos"/>
                <w:b w:val="0"/>
                <w:sz w:val="16"/>
              </w:rPr>
              <w:t>Sales and dispatch</w:t>
            </w:r>
          </w:p>
        </w:tc>
        <w:tc>
          <w:tcPr>
            <w:tcW w:type="dxa" w:w="5400"/>
            <w:vAlign w:val="center"/>
          </w:tcPr>
          <w:p>
            <w:pPr>
              <w:spacing w:after="40" w:before="40"/>
            </w:pPr>
            <w:r/>
            <w:r>
              <w:rPr>
                <w:rFonts w:ascii="Aptos" w:hAnsi="Aptos"/>
                <w:b w:val="0"/>
                <w:sz w:val="16"/>
              </w:rPr>
              <w:t>Quotes, orders, fulfilment status, delivery planning, dispatch and shipment records.</w:t>
            </w:r>
          </w:p>
        </w:tc>
        <w:tc>
          <w:tcPr>
            <w:tcW w:type="dxa" w:w="2736"/>
            <w:vAlign w:val="center"/>
          </w:tcPr>
          <w:p>
            <w:pPr>
              <w:spacing w:after="40" w:before="40"/>
            </w:pPr>
            <w:r/>
            <w:r>
              <w:rPr>
                <w:rFonts w:ascii="Aptos" w:hAnsi="Aptos"/>
                <w:b w:val="0"/>
                <w:sz w:val="16"/>
              </w:rPr>
              <w:t>Order-to-dispatch records reconcile with stock and quality status.</w:t>
            </w:r>
          </w:p>
        </w:tc>
      </w:tr>
      <w:tr>
        <w:tc>
          <w:tcPr>
            <w:tcW w:type="dxa" w:w="1944"/>
            <w:vAlign w:val="center"/>
            <w:shd w:fill="F2F5F8"/>
          </w:tcPr>
          <w:p>
            <w:pPr>
              <w:spacing w:after="40" w:before="40"/>
            </w:pPr>
            <w:r/>
            <w:r>
              <w:rPr>
                <w:rFonts w:ascii="Aptos" w:hAnsi="Aptos"/>
                <w:b w:val="0"/>
                <w:sz w:val="16"/>
              </w:rPr>
              <w:t>Approvals and workflow</w:t>
            </w:r>
          </w:p>
        </w:tc>
        <w:tc>
          <w:tcPr>
            <w:tcW w:type="dxa" w:w="5400"/>
            <w:vAlign w:val="center"/>
            <w:shd w:fill="F2F5F8"/>
          </w:tcPr>
          <w:p>
            <w:pPr>
              <w:spacing w:after="40" w:before="40"/>
            </w:pPr>
            <w:r/>
            <w:r>
              <w:rPr>
                <w:rFonts w:ascii="Aptos" w:hAnsi="Aptos"/>
                <w:b w:val="0"/>
                <w:sz w:val="16"/>
              </w:rPr>
              <w:t>Approval policies, instances, steps/history, delegation, escalation and notifications for transactions requiring approval.</w:t>
            </w:r>
          </w:p>
        </w:tc>
        <w:tc>
          <w:tcPr>
            <w:tcW w:type="dxa" w:w="2736"/>
            <w:vAlign w:val="center"/>
            <w:shd w:fill="F2F5F8"/>
          </w:tcPr>
          <w:p>
            <w:pPr>
              <w:spacing w:after="40" w:before="40"/>
            </w:pPr>
            <w:r/>
            <w:r>
              <w:rPr>
                <w:rFonts w:ascii="Aptos" w:hAnsi="Aptos"/>
                <w:b w:val="0"/>
                <w:sz w:val="16"/>
              </w:rPr>
              <w:t>Approval transitions, actors and timestamps are traceable; dependent modules use the same workflow rules.</w:t>
            </w:r>
          </w:p>
        </w:tc>
      </w:tr>
      <w:tr>
        <w:tc>
          <w:tcPr>
            <w:tcW w:type="dxa" w:w="1944"/>
            <w:vAlign w:val="center"/>
          </w:tcPr>
          <w:p>
            <w:pPr>
              <w:spacing w:after="40" w:before="40"/>
            </w:pPr>
            <w:r/>
            <w:r>
              <w:rPr>
                <w:rFonts w:ascii="Aptos" w:hAnsi="Aptos"/>
                <w:b w:val="0"/>
                <w:sz w:val="16"/>
              </w:rPr>
              <w:t>Finance and costing</w:t>
            </w:r>
          </w:p>
        </w:tc>
        <w:tc>
          <w:tcPr>
            <w:tcW w:type="dxa" w:w="5400"/>
            <w:vAlign w:val="center"/>
          </w:tcPr>
          <w:p>
            <w:pPr>
              <w:spacing w:after="40" w:before="40"/>
            </w:pPr>
            <w:r/>
            <w:r>
              <w:rPr>
                <w:rFonts w:ascii="Aptos" w:hAnsi="Aptos"/>
                <w:b w:val="0"/>
                <w:sz w:val="16"/>
              </w:rPr>
              <w:t>Tax/invoice references, cost inputs/rollups, reconciliation and accounting-system handoff.</w:t>
            </w:r>
          </w:p>
        </w:tc>
        <w:tc>
          <w:tcPr>
            <w:tcW w:type="dxa" w:w="2736"/>
            <w:vAlign w:val="center"/>
          </w:tcPr>
          <w:p>
            <w:pPr>
              <w:spacing w:after="40" w:before="40"/>
            </w:pPr>
            <w:r/>
            <w:r>
              <w:rPr>
                <w:rFonts w:ascii="Aptos" w:hAnsi="Aptos"/>
                <w:b w:val="0"/>
                <w:sz w:val="16"/>
              </w:rPr>
              <w:t>Financial rules and integration boundaries are approved; totals and exports can be reconciled.</w:t>
            </w:r>
          </w:p>
        </w:tc>
      </w:tr>
      <w:tr>
        <w:tc>
          <w:tcPr>
            <w:tcW w:type="dxa" w:w="1944"/>
            <w:vAlign w:val="center"/>
            <w:shd w:fill="F2F5F8"/>
          </w:tcPr>
          <w:p>
            <w:pPr>
              <w:spacing w:after="40" w:before="40"/>
            </w:pPr>
            <w:r/>
            <w:r>
              <w:rPr>
                <w:rFonts w:ascii="Aptos" w:hAnsi="Aptos"/>
                <w:b w:val="0"/>
                <w:sz w:val="16"/>
              </w:rPr>
              <w:t>Reporting and integrations</w:t>
            </w:r>
          </w:p>
        </w:tc>
        <w:tc>
          <w:tcPr>
            <w:tcW w:type="dxa" w:w="5400"/>
            <w:vAlign w:val="center"/>
            <w:shd w:fill="F2F5F8"/>
          </w:tcPr>
          <w:p>
            <w:pPr>
              <w:spacing w:after="40" w:before="40"/>
            </w:pPr>
            <w:r/>
            <w:r>
              <w:rPr>
                <w:rFonts w:ascii="Aptos" w:hAnsi="Aptos"/>
                <w:b w:val="0"/>
                <w:sz w:val="16"/>
              </w:rPr>
              <w:t>Operational reports, exports, external interfaces, background jobs, monitoring and release support.</w:t>
            </w:r>
          </w:p>
        </w:tc>
        <w:tc>
          <w:tcPr>
            <w:tcW w:type="dxa" w:w="2736"/>
            <w:vAlign w:val="center"/>
            <w:shd w:fill="F2F5F8"/>
          </w:tcPr>
          <w:p>
            <w:pPr>
              <w:spacing w:after="40" w:before="40"/>
            </w:pPr>
            <w:r/>
            <w:r>
              <w:rPr>
                <w:rFonts w:ascii="Aptos" w:hAnsi="Aptos"/>
                <w:b w:val="0"/>
                <w:sz w:val="16"/>
              </w:rPr>
              <w:t>Reports reconcile to source records; interfaces handle failures safely and are observable.</w:t>
            </w:r>
          </w:p>
        </w:tc>
      </w:tr>
    </w:tbl>
    <w:p>
      <w:pPr>
        <w:spacing w:after="20"/>
      </w:pPr>
    </w:p>
    <w:p>
      <w:pPr>
        <w:pStyle w:val="Heading1"/>
      </w:pPr>
      <w:r>
        <w:t>Cross-module requirements</w:t>
      </w:r>
    </w:p>
    <w:p>
      <w:pPr>
        <w:pStyle w:val="ListBullet"/>
        <w:spacing w:after="40"/>
      </w:pPr>
      <w:r>
        <w:t>Map each implemented workflow to the BRD and confirm unclear business rules before coding them.</w:t>
      </w:r>
    </w:p>
    <w:p>
      <w:pPr>
        <w:pStyle w:val="ListBullet"/>
        <w:spacing w:after="40"/>
      </w:pPr>
      <w:r>
        <w:t>Apply organization/tenant scope and permissions consistently to all organization-owned records.</w:t>
      </w:r>
    </w:p>
    <w:p>
      <w:pPr>
        <w:pStyle w:val="ListBullet"/>
        <w:spacing w:after="40"/>
      </w:pPr>
      <w:r>
        <w:t>Use database constraints and transactions to protect references, document status transitions and stock/cost integrity.</w:t>
      </w:r>
    </w:p>
    <w:p>
      <w:pPr>
        <w:pStyle w:val="ListBullet"/>
        <w:spacing w:after="40"/>
      </w:pPr>
      <w:r>
        <w:t>Record audit history for security-sensitive and business-critical actions.</w:t>
      </w:r>
    </w:p>
    <w:p>
      <w:pPr>
        <w:pStyle w:val="ListBullet"/>
        <w:spacing w:after="40"/>
      </w:pPr>
      <w:r>
        <w:t>Cover normal flow, validation failures, permission denial, tenant isolation and important edge cases with automated tests.</w:t>
      </w:r>
    </w:p>
    <w:p>
      <w:pPr>
        <w:pStyle w:val="ListBullet"/>
        <w:spacing w:after="40"/>
      </w:pPr>
      <w:r>
        <w:t>Keep schema and API contracts aligned with the owning module and document dependencies between modules.</w:t>
      </w:r>
    </w:p>
    <w:p>
      <w:pPr>
        <w:pStyle w:val="Heading1"/>
      </w:pPr>
      <w:r>
        <w:t>Schema review before implementation</w:t>
      </w:r>
    </w:p>
    <w:p>
      <w:r>
        <w:t>Review the current PostgreSQL schema against the BRD before treating it as the final production design. For every table, confirm the business requirement it supports, the owning module, organization/tenant scope, relationships, lifecycle and whether it is needed in the current release or can be introduced later. The current table count is not a fixed target.</w:t>
      </w:r>
    </w:p>
    <w:p>
      <w:pPr>
        <w:pStyle w:val="Heading1"/>
      </w:pPr>
      <w:r>
        <w:t>Questions for senior approval</w:t>
      </w:r>
    </w:p>
    <w:p>
      <w:pPr>
        <w:pStyle w:val="ListBullet"/>
        <w:spacing w:after="40"/>
      </w:pPr>
      <w:r>
        <w:t>Confirm the business scope and implementation order for the first release.</w:t>
      </w:r>
    </w:p>
    <w:p>
      <w:pPr>
        <w:pStyle w:val="ListBullet"/>
        <w:spacing w:after="40"/>
      </w:pPr>
      <w:r>
        <w:t>Approve organization-level tenancy, user membership, roles and permissions.</w:t>
      </w:r>
    </w:p>
    <w:p>
      <w:pPr>
        <w:pStyle w:val="ListBullet"/>
        <w:spacing w:after="40"/>
      </w:pPr>
      <w:r>
        <w:t>Confirm which transactions require approvals and who owns shared approval rules.</w:t>
      </w:r>
    </w:p>
    <w:p>
      <w:pPr>
        <w:pStyle w:val="ListBullet"/>
        <w:spacing w:after="40"/>
      </w:pPr>
      <w:r>
        <w:t>Confirm inventory, costing, tax and accounting integration policies.</w:t>
      </w:r>
    </w:p>
    <w:p>
      <w:pPr>
        <w:pStyle w:val="ListBullet"/>
        <w:spacing w:after="40"/>
      </w:pPr>
      <w:r>
        <w:t>Approve the schema baseline after BRD traceability review.</w:t>
      </w: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E767E"/>
        <w:sz w:val="16"/>
      </w:rPr>
      <w:t>heyyERP | Backend team planning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4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heyyERP Backend Work by Phase and Module</dc:title>
  <dc:subject>Backend roadmap and team ownership plan for V-Rub Suspensions ERP</dc:subject>
  <dc:creator>heyyERP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