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Architecture: Enterprise Graph &amp; Hybrid RAG</w:t>
      </w:r>
    </w:p>
    <w:p>
      <w:r>
        <w:t>Retrieval-Augmented Generation bridges proprietary corporate data with large language models.</w:t>
      </w:r>
    </w:p>
    <w:p>
      <w:pPr>
        <w:pStyle w:val="Heading1"/>
      </w:pPr>
      <w:r>
        <w:t>Section 1: Vector Scoring and Reciprocal Rank Fusion</w:t>
      </w:r>
    </w:p>
    <w:p>
      <w:r>
        <w:t>Hybrid RAG operates by querying two independent indices: Qdrant dense vector store and Rank-BM25 sparse index. The results are merged using Reciprocal Rank Fusion (RRF) with constant k=60 to eliminate score calibration discrepancies.</w:t>
      </w:r>
    </w:p>
    <w:p>
      <w:pPr>
        <w:pStyle w:val="Heading1"/>
      </w:pPr>
      <w:r>
        <w:t>Section 2: High Throughput Engines - vLLM and SGLang</w:t>
      </w:r>
    </w:p>
    <w:p>
      <w:r>
        <w:t>For on-premise low-latency execution, vLLM utilizes PagedAttention to eliminate memory fragmentation. SGLang leverages RadixAttention, enabling automatic KV cache reuse across shared document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