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40"/>
          <w:szCs w:val="40"/>
        </w:rPr>
        <w:t xml:space="preserve">ML-BASED INTRUSION DETECTION SYSTEM</w:t>
      </w:r>
    </w:p>
    <w:p>
      <w:pPr>
        <w:spacing w:after="800"/>
        <w:jc w:val="center"/>
      </w:pPr>
      <w:r>
        <w:rPr>
          <w:i/>
          <w:iCs/>
          <w:sz w:val="26"/>
          <w:szCs w:val="26"/>
        </w:rPr>
        <w:t xml:space="preserve">A Machine Learning Approach to Network Traffic Classification Using the NSL-KDD Dataset</w:t>
      </w:r>
    </w:p>
    <w:p>
      <w:pPr>
        <w:spacing w:after="1600"/>
        <w:jc w:val="center"/>
      </w:pPr>
      <w:r>
        <w:rPr>
          <w:sz w:val="24"/>
          <w:szCs w:val="24"/>
        </w:rPr>
        <w:t xml:space="preserve">Project Report</w:t>
      </w:r>
    </w:p>
    <w:p>
      <w:pPr>
        <w:spacing w:after="80"/>
        <w:jc w:val="center"/>
      </w:pPr>
      <w:r>
        <w:rPr>
          <w:sz w:val="22"/>
          <w:szCs w:val="22"/>
        </w:rPr>
        <w:t xml:space="preserve">Submitted by</w:t>
      </w:r>
    </w:p>
    <w:p>
      <w:pPr>
        <w:spacing w:after="1600"/>
        <w:jc w:val="center"/>
      </w:pPr>
      <w:r>
        <w:rPr>
          <w:b/>
          <w:bCs/>
          <w:sz w:val="26"/>
          <w:szCs w:val="26"/>
        </w:rPr>
        <w:t xml:space="preserve">Deepak S</w:t>
      </w:r>
    </w:p>
    <w:p>
      <w:pPr>
        <w:jc w:val="center"/>
      </w:pPr>
      <w:r>
        <w:rPr>
          <w:sz w:val="22"/>
          <w:szCs w:val="22"/>
        </w:rPr>
        <w:t xml:space="preserve">2026</w:t>
      </w:r>
    </w:p>
    <w:p>
      <w:r>
        <w:br w:type="page"/>
      </w:r>
    </w:p>
    <w:p>
      <w:pPr>
        <w:pStyle w:val="Heading1"/>
        <w:spacing w:after="160" w:before="320"/>
      </w:pPr>
      <w:r>
        <w:t xml:space="preserve">Abstract</w:t>
      </w:r>
    </w:p>
    <w:p>
      <w:pPr>
        <w:spacing w:after="160"/>
      </w:pPr>
      <w:r>
        <w:rPr>
          <w:sz w:val="22"/>
          <w:szCs w:val="22"/>
        </w:rPr>
        <w:t xml:space="preserve">Network intrusion detection systems (IDS) use traffic analysis to distinguish malicious activity from legitimate use. This project implements and evaluates machine learning classifiers for intrusion detection using the NSL-KDD benchmark dataset. Logistic Regression and Random Forest models were trained to perform binary classification (normal vs. attack) and 5-class classification (Normal, DoS, Probe, R2L, U2R). The Random Forest model achieved 76% accuracy and 0.60 recall on binary classification, outperforming Logistic Regression (67% accuracy, 0.44 recall). In the 5-class setting, the model performed well on DoS (0.77 recall) and Probe (0.67 recall) but poorly on R2L (0.04 recall) and U2R (0.03 recall) attacks. Further investigation attributed this weakness to a distributional mismatch between the training and test sets rather than simple class imbalance: 89% of R2L training examples belong to a single attack type, while the test set is dominated by different, under-represented types. Two mitigation strategies, class weighting and SMOTE oversampling, were tested; neither meaningfully improved R2L detection, while SMOTE roughly tripled U2R recall. These findings highlight a well-documented limitation of the NSL-KDD dataset and inform realistic expectations for ML-based IDS research.</w:t>
      </w:r>
    </w:p>
    <w:p>
      <w:pPr>
        <w:pStyle w:val="Heading1"/>
        <w:spacing w:after="160" w:before="320"/>
      </w:pPr>
      <w:r>
        <w:t xml:space="preserve">Table of Contents</w:t>
      </w:r>
    </w:p>
    <w:p>
      <w:pPr>
        <w:spacing w:after="160"/>
      </w:pPr>
      <w:r>
        <w:rPr>
          <w:sz w:val="22"/>
          <w:szCs w:val="22"/>
        </w:rPr>
        <w:t xml:space="preserve">1. Introduction</w:t>
      </w:r>
    </w:p>
    <w:p>
      <w:pPr>
        <w:spacing w:after="160"/>
      </w:pPr>
      <w:r>
        <w:rPr>
          <w:sz w:val="22"/>
          <w:szCs w:val="22"/>
        </w:rPr>
        <w:t xml:space="preserve">2. Literature Review</w:t>
      </w:r>
    </w:p>
    <w:p>
      <w:pPr>
        <w:spacing w:after="160"/>
      </w:pPr>
      <w:r>
        <w:rPr>
          <w:sz w:val="22"/>
          <w:szCs w:val="22"/>
        </w:rPr>
        <w:t xml:space="preserve">3. Dataset Description</w:t>
      </w:r>
    </w:p>
    <w:p>
      <w:pPr>
        <w:spacing w:after="160"/>
      </w:pPr>
      <w:r>
        <w:rPr>
          <w:sz w:val="22"/>
          <w:szCs w:val="22"/>
        </w:rPr>
        <w:t xml:space="preserve">4. Methodology</w:t>
      </w:r>
    </w:p>
    <w:p>
      <w:pPr>
        <w:spacing w:after="160"/>
      </w:pPr>
      <w:r>
        <w:rPr>
          <w:sz w:val="22"/>
          <w:szCs w:val="22"/>
        </w:rPr>
        <w:t xml:space="preserve">5. Results</w:t>
      </w:r>
    </w:p>
    <w:p>
      <w:pPr>
        <w:spacing w:after="160"/>
      </w:pPr>
      <w:r>
        <w:rPr>
          <w:sz w:val="22"/>
          <w:szCs w:val="22"/>
        </w:rPr>
        <w:t xml:space="preserve">6. Discussion</w:t>
      </w:r>
    </w:p>
    <w:p>
      <w:pPr>
        <w:spacing w:after="160"/>
      </w:pPr>
      <w:r>
        <w:rPr>
          <w:sz w:val="22"/>
          <w:szCs w:val="22"/>
        </w:rPr>
        <w:t xml:space="preserve">7. Conclusion</w:t>
      </w:r>
    </w:p>
    <w:p>
      <w:pPr>
        <w:spacing w:after="160"/>
      </w:pPr>
      <w:r>
        <w:rPr>
          <w:sz w:val="22"/>
          <w:szCs w:val="22"/>
        </w:rPr>
        <w:t xml:space="preserve">8. Future Work</w:t>
      </w:r>
    </w:p>
    <w:p>
      <w:pPr>
        <w:spacing w:after="160"/>
      </w:pPr>
      <w:r>
        <w:rPr>
          <w:sz w:val="22"/>
          <w:szCs w:val="22"/>
        </w:rPr>
        <w:t xml:space="preserve">9. References</w:t>
      </w:r>
    </w:p>
    <w:p>
      <w:r>
        <w:br w:type="page"/>
      </w:r>
    </w:p>
    <w:p>
      <w:pPr>
        <w:pStyle w:val="Heading1"/>
        <w:spacing w:after="160" w:before="320"/>
      </w:pPr>
      <w:r>
        <w:t xml:space="preserve">1. Introduction</w:t>
      </w:r>
    </w:p>
    <w:p>
      <w:pPr>
        <w:spacing w:after="160"/>
      </w:pPr>
      <w:r>
        <w:rPr>
          <w:sz w:val="22"/>
          <w:szCs w:val="22"/>
        </w:rPr>
        <w:t xml:space="preserve">An Intrusion Detection System (IDS) monitors network or system activity to identify malicious behaviour such as denial-of-service floods, port scanning, and unauthorized access attempts. Traditional signature-based IDS tools rely on manually defined rules and struggle to detect novel or evolving attack patterns. Machine learning offers an alternative: models can learn to distinguish normal from malicious traffic directly from labelled examples, potentially generalizing to variations of known attacks.</w:t>
      </w:r>
    </w:p>
    <w:p>
      <w:pPr>
        <w:spacing w:after="160"/>
      </w:pPr>
      <w:r>
        <w:rPr>
          <w:sz w:val="22"/>
          <w:szCs w:val="22"/>
        </w:rPr>
        <w:t xml:space="preserve">This project investigates the application of supervised machine learning, specifically Logistic Regression and Random Forest classifiers, to the task of network intrusion detection using the NSL-KDD dataset. The objectives of this project are to:</w:t>
      </w:r>
    </w:p>
    <w:p>
      <w:pPr>
        <w:pStyle w:val="ListParagraph"/>
        <w:numPr>
          <w:ilvl w:val="0"/>
          <w:numId w:val="1"/>
        </w:numPr>
        <w:spacing w:after="100"/>
      </w:pPr>
      <w:r>
        <w:t xml:space="preserve">Build a complete preprocessing and modelling pipeline for network traffic classification</w:t>
      </w:r>
    </w:p>
    <w:p>
      <w:pPr>
        <w:pStyle w:val="ListParagraph"/>
        <w:numPr>
          <w:ilvl w:val="0"/>
          <w:numId w:val="1"/>
        </w:numPr>
        <w:spacing w:after="100"/>
      </w:pPr>
      <w:r>
        <w:t xml:space="preserve">Compare a simple linear baseline against an ensemble model</w:t>
      </w:r>
    </w:p>
    <w:p>
      <w:pPr>
        <w:pStyle w:val="ListParagraph"/>
        <w:numPr>
          <w:ilvl w:val="0"/>
          <w:numId w:val="1"/>
        </w:numPr>
        <w:spacing w:after="100"/>
      </w:pPr>
      <w:r>
        <w:t xml:space="preserve">Evaluate performance using metrics appropriate for imbalanced classification, not accuracy alone</w:t>
      </w:r>
    </w:p>
    <w:p>
      <w:pPr>
        <w:pStyle w:val="ListParagraph"/>
        <w:numPr>
          <w:ilvl w:val="0"/>
          <w:numId w:val="1"/>
        </w:numPr>
        <w:spacing w:after="100"/>
      </w:pPr>
      <w:r>
        <w:t xml:space="preserve">Extend the system to multi-class attack categorization</w:t>
      </w:r>
    </w:p>
    <w:p>
      <w:pPr>
        <w:pStyle w:val="ListParagraph"/>
        <w:numPr>
          <w:ilvl w:val="0"/>
          <w:numId w:val="1"/>
        </w:numPr>
        <w:spacing w:after="100"/>
      </w:pPr>
      <w:r>
        <w:t xml:space="preserve">Identify and explain the causes of any performance weaknesses, rather than reporting results at face value</w:t>
      </w:r>
    </w:p>
    <w:p>
      <w:pPr>
        <w:pStyle w:val="Heading1"/>
        <w:spacing w:after="160" w:before="320"/>
      </w:pPr>
      <w:r>
        <w:t xml:space="preserve">2. Literature Review</w:t>
      </w:r>
    </w:p>
    <w:p>
      <w:pPr>
        <w:spacing w:after="160"/>
      </w:pPr>
      <w:r>
        <w:rPr>
          <w:sz w:val="22"/>
          <w:szCs w:val="22"/>
        </w:rPr>
        <w:t xml:space="preserve">The original KDD Cup 1999 dataset was the first widely-used benchmark for ML-based intrusion detection but was later criticized for containing a large number of redundant records, which caused classifiers to be biased toward frequent attack types and allowed trivially high accuracy scores. Tavallaee et al. (2009) addressed these issues by proposing NSL-KDD, a refined version with duplicate records removed and a more challenging test set that deliberately includes attack subtypes not present in training. This design choice is central to the results observed in this project.</w:t>
      </w:r>
    </w:p>
    <w:p>
      <w:pPr>
        <w:spacing w:after="160"/>
      </w:pPr>
      <w:r>
        <w:rPr>
          <w:sz w:val="22"/>
          <w:szCs w:val="22"/>
        </w:rPr>
        <w:t xml:space="preserve">Prior work applying machine learning to NSL-KDD has generally found that ensemble methods such as Random Forest outperform single linear classifiers like Logistic Regression, and that detection of R2L and U2R attack categories remains substantially harder than DoS and Probe detection across most published approaches, owing to their low representation in the training data and their behavioural similarity to legitimate traffic. This project's findings are consistent with that broader pattern.</w:t>
      </w:r>
    </w:p>
    <w:p>
      <w:pPr>
        <w:pStyle w:val="Heading1"/>
        <w:spacing w:after="160" w:before="320"/>
      </w:pPr>
      <w:r>
        <w:t xml:space="preserve">3. Dataset Description</w:t>
      </w:r>
    </w:p>
    <w:p>
      <w:pPr>
        <w:spacing w:after="160"/>
      </w:pPr>
      <w:r>
        <w:rPr>
          <w:sz w:val="22"/>
          <w:szCs w:val="22"/>
        </w:rPr>
        <w:t xml:space="preserve">The NSL-KDD dataset consists of network connection records, each described by 41 features covering basic connection properties (duration, protocol, service, byte counts), content features (failed logins, root shell access), and traffic statistics computed over a time window (connection counts, error rates, same-service rates). Each record is labelled as normal or with a specific attack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300"/>
        <w:gridCol w:w="1300"/>
        <w:gridCol w:w="1000"/>
        <w:gridCol w:w="760"/>
      </w:tblGrid>
      <w:tr>
        <w:tc>
          <w:tcPr>
            <w:tcW w:type="dxa" w:w="2200"/>
            <w:shd w:fill="1F3864" w:val="clear"/>
          </w:tcPr>
          <w:p>
            <w:r>
              <w:rPr>
                <w:b/>
                <w:bCs/>
                <w:color w:val="FFFFFF"/>
                <w:sz w:val="20"/>
                <w:szCs w:val="20"/>
              </w:rPr>
              <w:t xml:space="preserve">Split</w:t>
            </w:r>
          </w:p>
        </w:tc>
        <w:tc>
          <w:tcPr>
            <w:tcW w:type="dxa" w:w="1500"/>
            <w:shd w:fill="1F3864" w:val="clear"/>
          </w:tcPr>
          <w:p>
            <w:r>
              <w:rPr>
                <w:b/>
                <w:bCs/>
                <w:color w:val="FFFFFF"/>
                <w:sz w:val="20"/>
                <w:szCs w:val="20"/>
              </w:rPr>
              <w:t xml:space="preserve">Total Records</w:t>
            </w:r>
          </w:p>
        </w:tc>
        <w:tc>
          <w:tcPr>
            <w:tcW w:type="dxa" w:w="1300"/>
            <w:shd w:fill="1F3864" w:val="clear"/>
          </w:tcPr>
          <w:p>
            <w:r>
              <w:rPr>
                <w:b/>
                <w:bCs/>
                <w:color w:val="FFFFFF"/>
                <w:sz w:val="20"/>
                <w:szCs w:val="20"/>
              </w:rPr>
              <w:t xml:space="preserve">Normal</w:t>
            </w:r>
          </w:p>
        </w:tc>
        <w:tc>
          <w:tcPr>
            <w:tcW w:type="dxa" w:w="1300"/>
            <w:shd w:fill="1F3864" w:val="clear"/>
          </w:tcPr>
          <w:p>
            <w:r>
              <w:rPr>
                <w:b/>
                <w:bCs/>
                <w:color w:val="FFFFFF"/>
                <w:sz w:val="20"/>
                <w:szCs w:val="20"/>
              </w:rPr>
              <w:t xml:space="preserve">DoS</w:t>
            </w:r>
          </w:p>
        </w:tc>
        <w:tc>
          <w:tcPr>
            <w:tcW w:type="dxa" w:w="1300"/>
            <w:shd w:fill="1F3864" w:val="clear"/>
          </w:tcPr>
          <w:p>
            <w:r>
              <w:rPr>
                <w:b/>
                <w:bCs/>
                <w:color w:val="FFFFFF"/>
                <w:sz w:val="20"/>
                <w:szCs w:val="20"/>
              </w:rPr>
              <w:t xml:space="preserve">Probe</w:t>
            </w:r>
          </w:p>
        </w:tc>
        <w:tc>
          <w:tcPr>
            <w:tcW w:type="dxa" w:w="1000"/>
            <w:shd w:fill="1F3864" w:val="clear"/>
          </w:tcPr>
          <w:p>
            <w:r>
              <w:rPr>
                <w:b/>
                <w:bCs/>
                <w:color w:val="FFFFFF"/>
                <w:sz w:val="20"/>
                <w:szCs w:val="20"/>
              </w:rPr>
              <w:t xml:space="preserve">R2L</w:t>
            </w:r>
          </w:p>
        </w:tc>
        <w:tc>
          <w:tcPr>
            <w:tcW w:type="dxa" w:w="760"/>
            <w:shd w:fill="1F3864" w:val="clear"/>
          </w:tcPr>
          <w:p>
            <w:r>
              <w:rPr>
                <w:b/>
                <w:bCs/>
                <w:color w:val="FFFFFF"/>
                <w:sz w:val="20"/>
                <w:szCs w:val="20"/>
              </w:rPr>
              <w:t xml:space="preserve">U2R</w:t>
            </w:r>
          </w:p>
        </w:tc>
      </w:tr>
      <w:tr>
        <w:tc>
          <w:tcPr>
            <w:tcW w:type="dxa" w:w="2200"/>
          </w:tcPr>
          <w:p>
            <w:r>
              <w:rPr>
                <w:b w:val="false"/>
                <w:bCs w:val="false"/>
                <w:sz w:val="20"/>
                <w:szCs w:val="20"/>
              </w:rPr>
              <w:t xml:space="preserve">Training (KDDTrain+)</w:t>
            </w:r>
          </w:p>
        </w:tc>
        <w:tc>
          <w:tcPr>
            <w:tcW w:type="dxa" w:w="1500"/>
          </w:tcPr>
          <w:p>
            <w:r>
              <w:rPr>
                <w:b w:val="false"/>
                <w:bCs w:val="false"/>
                <w:sz w:val="20"/>
                <w:szCs w:val="20"/>
              </w:rPr>
              <w:t xml:space="preserve">125,973</w:t>
            </w:r>
          </w:p>
        </w:tc>
        <w:tc>
          <w:tcPr>
            <w:tcW w:type="dxa" w:w="1300"/>
          </w:tcPr>
          <w:p>
            <w:r>
              <w:rPr>
                <w:b w:val="false"/>
                <w:bCs w:val="false"/>
                <w:sz w:val="20"/>
                <w:szCs w:val="20"/>
              </w:rPr>
              <w:t xml:space="preserve">67,343</w:t>
            </w:r>
          </w:p>
        </w:tc>
        <w:tc>
          <w:tcPr>
            <w:tcW w:type="dxa" w:w="1300"/>
          </w:tcPr>
          <w:p>
            <w:r>
              <w:rPr>
                <w:b w:val="false"/>
                <w:bCs w:val="false"/>
                <w:sz w:val="20"/>
                <w:szCs w:val="20"/>
              </w:rPr>
              <w:t xml:space="preserve">45,927</w:t>
            </w:r>
          </w:p>
        </w:tc>
        <w:tc>
          <w:tcPr>
            <w:tcW w:type="dxa" w:w="1300"/>
          </w:tcPr>
          <w:p>
            <w:r>
              <w:rPr>
                <w:b w:val="false"/>
                <w:bCs w:val="false"/>
                <w:sz w:val="20"/>
                <w:szCs w:val="20"/>
              </w:rPr>
              <w:t xml:space="preserve">11,656</w:t>
            </w:r>
          </w:p>
        </w:tc>
        <w:tc>
          <w:tcPr>
            <w:tcW w:type="dxa" w:w="1000"/>
          </w:tcPr>
          <w:p>
            <w:r>
              <w:rPr>
                <w:b w:val="false"/>
                <w:bCs w:val="false"/>
                <w:sz w:val="20"/>
                <w:szCs w:val="20"/>
              </w:rPr>
              <w:t xml:space="preserve">995</w:t>
            </w:r>
          </w:p>
        </w:tc>
        <w:tc>
          <w:tcPr>
            <w:tcW w:type="dxa" w:w="760"/>
          </w:tcPr>
          <w:p>
            <w:r>
              <w:rPr>
                <w:b w:val="false"/>
                <w:bCs w:val="false"/>
                <w:sz w:val="20"/>
                <w:szCs w:val="20"/>
              </w:rPr>
              <w:t xml:space="preserve">52</w:t>
            </w:r>
          </w:p>
        </w:tc>
      </w:tr>
      <w:tr>
        <w:tc>
          <w:tcPr>
            <w:tcW w:type="dxa" w:w="2200"/>
          </w:tcPr>
          <w:p>
            <w:r>
              <w:rPr>
                <w:b w:val="false"/>
                <w:bCs w:val="false"/>
                <w:sz w:val="20"/>
                <w:szCs w:val="20"/>
              </w:rPr>
              <w:t xml:space="preserve">Test (KDDTest+)</w:t>
            </w:r>
          </w:p>
        </w:tc>
        <w:tc>
          <w:tcPr>
            <w:tcW w:type="dxa" w:w="1500"/>
          </w:tcPr>
          <w:p>
            <w:r>
              <w:rPr>
                <w:b w:val="false"/>
                <w:bCs w:val="false"/>
                <w:sz w:val="20"/>
                <w:szCs w:val="20"/>
              </w:rPr>
              <w:t xml:space="preserve">22,544</w:t>
            </w:r>
          </w:p>
        </w:tc>
        <w:tc>
          <w:tcPr>
            <w:tcW w:type="dxa" w:w="1300"/>
          </w:tcPr>
          <w:p>
            <w:r>
              <w:rPr>
                <w:b w:val="false"/>
                <w:bCs w:val="false"/>
                <w:sz w:val="20"/>
                <w:szCs w:val="20"/>
              </w:rPr>
              <w:t xml:space="preserve">9,711</w:t>
            </w:r>
          </w:p>
        </w:tc>
        <w:tc>
          <w:tcPr>
            <w:tcW w:type="dxa" w:w="1300"/>
          </w:tcPr>
          <w:p>
            <w:r>
              <w:rPr>
                <w:b w:val="false"/>
                <w:bCs w:val="false"/>
                <w:sz w:val="20"/>
                <w:szCs w:val="20"/>
              </w:rPr>
              <w:t xml:space="preserve">7,460</w:t>
            </w:r>
          </w:p>
        </w:tc>
        <w:tc>
          <w:tcPr>
            <w:tcW w:type="dxa" w:w="1300"/>
          </w:tcPr>
          <w:p>
            <w:r>
              <w:rPr>
                <w:b w:val="false"/>
                <w:bCs w:val="false"/>
                <w:sz w:val="20"/>
                <w:szCs w:val="20"/>
              </w:rPr>
              <w:t xml:space="preserve">2,421</w:t>
            </w:r>
          </w:p>
        </w:tc>
        <w:tc>
          <w:tcPr>
            <w:tcW w:type="dxa" w:w="1000"/>
          </w:tcPr>
          <w:p>
            <w:r>
              <w:rPr>
                <w:b w:val="false"/>
                <w:bCs w:val="false"/>
                <w:sz w:val="20"/>
                <w:szCs w:val="20"/>
              </w:rPr>
              <w:t xml:space="preserve">2,885</w:t>
            </w:r>
          </w:p>
        </w:tc>
        <w:tc>
          <w:tcPr>
            <w:tcW w:type="dxa" w:w="760"/>
          </w:tcPr>
          <w:p>
            <w:r>
              <w:rPr>
                <w:b w:val="false"/>
                <w:bCs w:val="false"/>
                <w:sz w:val="20"/>
                <w:szCs w:val="20"/>
              </w:rPr>
              <w:t xml:space="preserve">67</w:t>
            </w:r>
          </w:p>
        </w:tc>
      </w:tr>
    </w:tbl>
    <w:p>
      <w:pPr>
        <w:spacing w:after="160" w:before="160"/>
      </w:pPr>
    </w:p>
    <w:p>
      <w:pPr>
        <w:spacing w:after="160"/>
      </w:pPr>
      <w:r>
        <w:rPr>
          <w:sz w:val="22"/>
          <w:szCs w:val="22"/>
        </w:rPr>
        <w:t xml:space="preserve">A key characteristic of NSL-KDD, visible in the table above, is that R2L accounts for only 0.8% of training records but 12.8% of test records, while U2R is extremely rare in both splits. This imbalance and distributional shift directly shapes the results in Section 5.</w:t>
      </w:r>
    </w:p>
    <w:p>
      <w:pPr>
        <w:pStyle w:val="Heading1"/>
        <w:spacing w:after="160" w:before="320"/>
      </w:pPr>
      <w:r>
        <w:t xml:space="preserve">4. Methodology</w:t>
      </w:r>
    </w:p>
    <w:p>
      <w:pPr>
        <w:pStyle w:val="Heading2"/>
        <w:spacing w:after="160" w:before="320"/>
      </w:pPr>
      <w:r>
        <w:t xml:space="preserve">4.1 Preprocessing</w:t>
      </w:r>
    </w:p>
    <w:p>
      <w:pPr>
        <w:pStyle w:val="ListParagraph"/>
        <w:numPr>
          <w:ilvl w:val="0"/>
          <w:numId w:val="1"/>
        </w:numPr>
        <w:spacing w:after="100"/>
      </w:pPr>
      <w:r>
        <w:t xml:space="preserve">Categorical features (protocol_type, service, flag) were label-encoded; categories appearing only in the test set were mapped to a dedicated "unseen" code to avoid pipeline failure.</w:t>
      </w:r>
    </w:p>
    <w:p>
      <w:pPr>
        <w:pStyle w:val="ListParagraph"/>
        <w:numPr>
          <w:ilvl w:val="0"/>
          <w:numId w:val="1"/>
        </w:numPr>
        <w:spacing w:after="100"/>
      </w:pPr>
      <w:r>
        <w:t xml:space="preserve">All 41 numeric features were standardized (zero mean, unit variance) using a scaler fit only on the training set, to prevent information leakage from the test set.</w:t>
      </w:r>
    </w:p>
    <w:p>
      <w:pPr>
        <w:pStyle w:val="ListParagraph"/>
        <w:numPr>
          <w:ilvl w:val="0"/>
          <w:numId w:val="1"/>
        </w:numPr>
        <w:spacing w:after="100"/>
      </w:pPr>
      <w:r>
        <w:t xml:space="preserve">The metadata difficulty column was dropped as it is not a traffic feature.</w:t>
      </w:r>
    </w:p>
    <w:p>
      <w:pPr>
        <w:pStyle w:val="ListParagraph"/>
        <w:numPr>
          <w:ilvl w:val="0"/>
          <w:numId w:val="1"/>
        </w:numPr>
        <w:spacing w:after="100"/>
      </w:pPr>
      <w:r>
        <w:t xml:space="preserve">Attack labels were mapped to a binary target (normal / attack) and a 5-class target (normal, DoS, Probe, R2L, U2R) following the standard NSL-KDD category grouping.</w:t>
      </w:r>
    </w:p>
    <w:p>
      <w:pPr>
        <w:pStyle w:val="Heading2"/>
        <w:spacing w:after="160" w:before="320"/>
      </w:pPr>
      <w:r>
        <w:t xml:space="preserve">4.2 Models</w:t>
      </w:r>
    </w:p>
    <w:p>
      <w:pPr>
        <w:pStyle w:val="ListParagraph"/>
        <w:numPr>
          <w:ilvl w:val="0"/>
          <w:numId w:val="1"/>
        </w:numPr>
        <w:spacing w:after="100"/>
      </w:pPr>
      <w:r>
        <w:t xml:space="preserve">Logistic Regression (max_iter = 1000) as a linear baseline for binary classification</w:t>
      </w:r>
    </w:p>
    <w:p>
      <w:pPr>
        <w:pStyle w:val="ListParagraph"/>
        <w:numPr>
          <w:ilvl w:val="0"/>
          <w:numId w:val="1"/>
        </w:numPr>
        <w:spacing w:after="100"/>
      </w:pPr>
      <w:r>
        <w:t xml:space="preserve">Random Forest (100 trees, random_state = 42) for both binary and 5-class classification</w:t>
      </w:r>
    </w:p>
    <w:p>
      <w:pPr>
        <w:pStyle w:val="ListParagraph"/>
        <w:numPr>
          <w:ilvl w:val="0"/>
          <w:numId w:val="1"/>
        </w:numPr>
        <w:spacing w:after="100"/>
      </w:pPr>
      <w:r>
        <w:t xml:space="preserve">Random Forest with class_weight = "balanced" to test whether reweighting improves rare-class detection</w:t>
      </w:r>
    </w:p>
    <w:p>
      <w:pPr>
        <w:pStyle w:val="ListParagraph"/>
        <w:numPr>
          <w:ilvl w:val="0"/>
          <w:numId w:val="1"/>
        </w:numPr>
        <w:spacing w:after="100"/>
      </w:pPr>
      <w:r>
        <w:t xml:space="preserve">Random Forest trained on a SMOTE-oversampled training set to test whether synthetic minority examples improve rare-class detection</w:t>
      </w:r>
    </w:p>
    <w:p>
      <w:pPr>
        <w:pStyle w:val="Heading2"/>
        <w:spacing w:after="160" w:before="320"/>
      </w:pPr>
      <w:r>
        <w:t xml:space="preserve">4.3 Evaluation</w:t>
      </w:r>
    </w:p>
    <w:p>
      <w:pPr>
        <w:spacing w:after="160"/>
      </w:pPr>
      <w:r>
        <w:rPr>
          <w:sz w:val="22"/>
          <w:szCs w:val="22"/>
        </w:rPr>
        <w:t xml:space="preserve">Accuracy alone is misleading on imbalanced data, so precision, recall, and F1-score were computed per class, alongside confusion matrices. Recall was treated as the metric of primary interest, since in an intrusion detection context a missed attack (false negative) is more costly than a false alarm (false positive). Feature importance scores from the Random Forest were also analyzed to interpret which traffic characteristics drove classification decisions.</w:t>
      </w:r>
    </w:p>
    <w:p>
      <w:pPr>
        <w:pStyle w:val="Heading1"/>
        <w:spacing w:after="160" w:before="320"/>
      </w:pPr>
      <w:r>
        <w:t xml:space="preserve">5. Results</w:t>
      </w:r>
    </w:p>
    <w:p>
      <w:pPr>
        <w:pStyle w:val="Heading2"/>
        <w:spacing w:after="160" w:before="320"/>
      </w:pPr>
      <w:r>
        <w:t xml:space="preserve">5.1 Binary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r>
              <w:rPr>
                <w:b/>
                <w:bCs/>
                <w:color w:val="FFFFFF"/>
                <w:sz w:val="20"/>
                <w:szCs w:val="20"/>
              </w:rPr>
              <w:t xml:space="preserve">Model</w:t>
            </w:r>
          </w:p>
        </w:tc>
        <w:tc>
          <w:tcPr>
            <w:tcW w:type="dxa" w:w="1872"/>
            <w:shd w:fill="1F3864" w:val="clear"/>
          </w:tcPr>
          <w:p>
            <w:r>
              <w:rPr>
                <w:b/>
                <w:bCs/>
                <w:color w:val="FFFFFF"/>
                <w:sz w:val="20"/>
                <w:szCs w:val="20"/>
              </w:rPr>
              <w:t xml:space="preserve">Accuracy</w:t>
            </w:r>
          </w:p>
        </w:tc>
        <w:tc>
          <w:tcPr>
            <w:tcW w:type="dxa" w:w="1872"/>
            <w:shd w:fill="1F3864" w:val="clear"/>
          </w:tcPr>
          <w:p>
            <w:r>
              <w:rPr>
                <w:b/>
                <w:bCs/>
                <w:color w:val="FFFFFF"/>
                <w:sz w:val="20"/>
                <w:szCs w:val="20"/>
              </w:rPr>
              <w:t xml:space="preserve">Attack Precision</w:t>
            </w:r>
          </w:p>
        </w:tc>
        <w:tc>
          <w:tcPr>
            <w:tcW w:type="dxa" w:w="1872"/>
            <w:shd w:fill="1F3864" w:val="clear"/>
          </w:tcPr>
          <w:p>
            <w:r>
              <w:rPr>
                <w:b/>
                <w:bCs/>
                <w:color w:val="FFFFFF"/>
                <w:sz w:val="20"/>
                <w:szCs w:val="20"/>
              </w:rPr>
              <w:t xml:space="preserve">Attack Recall</w:t>
            </w:r>
          </w:p>
        </w:tc>
        <w:tc>
          <w:tcPr>
            <w:tcW w:type="dxa" w:w="1872"/>
            <w:shd w:fill="1F3864" w:val="clear"/>
          </w:tcPr>
          <w:p>
            <w:r>
              <w:rPr>
                <w:b/>
                <w:bCs/>
                <w:color w:val="FFFFFF"/>
                <w:sz w:val="20"/>
                <w:szCs w:val="20"/>
              </w:rPr>
              <w:t xml:space="preserve">Attack F1</w:t>
            </w:r>
          </w:p>
        </w:tc>
      </w:tr>
      <w:tr>
        <w:tc>
          <w:tcPr>
            <w:tcW w:type="dxa" w:w="1872"/>
          </w:tcPr>
          <w:p>
            <w:r>
              <w:rPr>
                <w:b w:val="false"/>
                <w:bCs w:val="false"/>
                <w:sz w:val="20"/>
                <w:szCs w:val="20"/>
              </w:rPr>
              <w:t xml:space="preserve">Logistic Regression</w:t>
            </w:r>
          </w:p>
        </w:tc>
        <w:tc>
          <w:tcPr>
            <w:tcW w:type="dxa" w:w="1872"/>
          </w:tcPr>
          <w:p>
            <w:r>
              <w:rPr>
                <w:b w:val="false"/>
                <w:bCs w:val="false"/>
                <w:sz w:val="20"/>
                <w:szCs w:val="20"/>
              </w:rPr>
              <w:t xml:space="preserve">0.67</w:t>
            </w:r>
          </w:p>
        </w:tc>
        <w:tc>
          <w:tcPr>
            <w:tcW w:type="dxa" w:w="1872"/>
          </w:tcPr>
          <w:p>
            <w:r>
              <w:rPr>
                <w:b w:val="false"/>
                <w:bCs w:val="false"/>
                <w:sz w:val="20"/>
                <w:szCs w:val="20"/>
              </w:rPr>
              <w:t xml:space="preserve">0.98</w:t>
            </w:r>
          </w:p>
        </w:tc>
        <w:tc>
          <w:tcPr>
            <w:tcW w:type="dxa" w:w="1872"/>
          </w:tcPr>
          <w:p>
            <w:r>
              <w:rPr>
                <w:b w:val="false"/>
                <w:bCs w:val="false"/>
                <w:sz w:val="20"/>
                <w:szCs w:val="20"/>
              </w:rPr>
              <w:t xml:space="preserve">0.44</w:t>
            </w:r>
          </w:p>
        </w:tc>
        <w:tc>
          <w:tcPr>
            <w:tcW w:type="dxa" w:w="1872"/>
          </w:tcPr>
          <w:p>
            <w:r>
              <w:rPr>
                <w:b w:val="false"/>
                <w:bCs w:val="false"/>
                <w:sz w:val="20"/>
                <w:szCs w:val="20"/>
              </w:rPr>
              <w:t xml:space="preserve">0.60</w:t>
            </w:r>
          </w:p>
        </w:tc>
      </w:tr>
      <w:tr>
        <w:tc>
          <w:tcPr>
            <w:tcW w:type="dxa" w:w="1872"/>
          </w:tcPr>
          <w:p>
            <w:r>
              <w:rPr>
                <w:b w:val="false"/>
                <w:bCs w:val="false"/>
                <w:sz w:val="20"/>
                <w:szCs w:val="20"/>
              </w:rPr>
              <w:t xml:space="preserve">Random Forest</w:t>
            </w:r>
          </w:p>
        </w:tc>
        <w:tc>
          <w:tcPr>
            <w:tcW w:type="dxa" w:w="1872"/>
          </w:tcPr>
          <w:p>
            <w:r>
              <w:rPr>
                <w:b w:val="false"/>
                <w:bCs w:val="false"/>
                <w:sz w:val="20"/>
                <w:szCs w:val="20"/>
              </w:rPr>
              <w:t xml:space="preserve">0.76</w:t>
            </w:r>
          </w:p>
        </w:tc>
        <w:tc>
          <w:tcPr>
            <w:tcW w:type="dxa" w:w="1872"/>
          </w:tcPr>
          <w:p>
            <w:r>
              <w:rPr>
                <w:b w:val="false"/>
                <w:bCs w:val="false"/>
                <w:sz w:val="20"/>
                <w:szCs w:val="20"/>
              </w:rPr>
              <w:t xml:space="preserve">0.97</w:t>
            </w:r>
          </w:p>
        </w:tc>
        <w:tc>
          <w:tcPr>
            <w:tcW w:type="dxa" w:w="1872"/>
          </w:tcPr>
          <w:p>
            <w:r>
              <w:rPr>
                <w:b w:val="false"/>
                <w:bCs w:val="false"/>
                <w:sz w:val="20"/>
                <w:szCs w:val="20"/>
              </w:rPr>
              <w:t xml:space="preserve">0.60</w:t>
            </w:r>
          </w:p>
        </w:tc>
        <w:tc>
          <w:tcPr>
            <w:tcW w:type="dxa" w:w="1872"/>
          </w:tcPr>
          <w:p>
            <w:r>
              <w:rPr>
                <w:b w:val="false"/>
                <w:bCs w:val="false"/>
                <w:sz w:val="20"/>
                <w:szCs w:val="20"/>
              </w:rPr>
              <w:t xml:space="preserve">0.74</w:t>
            </w:r>
          </w:p>
        </w:tc>
      </w:tr>
    </w:tbl>
    <w:p>
      <w:pPr>
        <w:spacing w:after="160" w:before="160"/>
      </w:pPr>
    </w:p>
    <w:p>
      <w:pPr>
        <w:spacing w:after="160"/>
      </w:pPr>
      <w:r>
        <w:rPr>
          <w:sz w:val="22"/>
          <w:szCs w:val="22"/>
        </w:rPr>
        <w:t xml:space="preserve">Confusion matrix — Random Forest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r>
              <w:rPr>
                <w:b/>
                <w:bCs/>
                <w:color w:val="FFFFFF"/>
                <w:sz w:val="20"/>
                <w:szCs w:val="20"/>
              </w:rPr>
              <w:t xml:space="preserve"/>
            </w:r>
          </w:p>
        </w:tc>
        <w:tc>
          <w:tcPr>
            <w:tcW w:type="dxa" w:w="3120"/>
            <w:shd w:fill="1F3864" w:val="clear"/>
          </w:tcPr>
          <w:p>
            <w:r>
              <w:rPr>
                <w:b/>
                <w:bCs/>
                <w:color w:val="FFFFFF"/>
                <w:sz w:val="20"/>
                <w:szCs w:val="20"/>
              </w:rPr>
              <w:t xml:space="preserve">Predicted Normal</w:t>
            </w:r>
          </w:p>
        </w:tc>
        <w:tc>
          <w:tcPr>
            <w:tcW w:type="dxa" w:w="3120"/>
            <w:shd w:fill="1F3864" w:val="clear"/>
          </w:tcPr>
          <w:p>
            <w:r>
              <w:rPr>
                <w:b/>
                <w:bCs/>
                <w:color w:val="FFFFFF"/>
                <w:sz w:val="20"/>
                <w:szCs w:val="20"/>
              </w:rPr>
              <w:t xml:space="preserve">Predicted Attack</w:t>
            </w:r>
          </w:p>
        </w:tc>
      </w:tr>
      <w:tr>
        <w:tc>
          <w:tcPr>
            <w:tcW w:type="dxa" w:w="3120"/>
          </w:tcPr>
          <w:p>
            <w:r>
              <w:rPr>
                <w:b w:val="false"/>
                <w:bCs w:val="false"/>
                <w:sz w:val="20"/>
                <w:szCs w:val="20"/>
              </w:rPr>
              <w:t xml:space="preserve">Actual Normal</w:t>
            </w:r>
          </w:p>
        </w:tc>
        <w:tc>
          <w:tcPr>
            <w:tcW w:type="dxa" w:w="3120"/>
          </w:tcPr>
          <w:p>
            <w:r>
              <w:rPr>
                <w:b w:val="false"/>
                <w:bCs w:val="false"/>
                <w:sz w:val="20"/>
                <w:szCs w:val="20"/>
              </w:rPr>
              <w:t xml:space="preserve">9,458</w:t>
            </w:r>
          </w:p>
        </w:tc>
        <w:tc>
          <w:tcPr>
            <w:tcW w:type="dxa" w:w="3120"/>
          </w:tcPr>
          <w:p>
            <w:r>
              <w:rPr>
                <w:b w:val="false"/>
                <w:bCs w:val="false"/>
                <w:sz w:val="20"/>
                <w:szCs w:val="20"/>
              </w:rPr>
              <w:t xml:space="preserve">253</w:t>
            </w:r>
          </w:p>
        </w:tc>
      </w:tr>
      <w:tr>
        <w:tc>
          <w:tcPr>
            <w:tcW w:type="dxa" w:w="3120"/>
          </w:tcPr>
          <w:p>
            <w:r>
              <w:rPr>
                <w:b w:val="false"/>
                <w:bCs w:val="false"/>
                <w:sz w:val="20"/>
                <w:szCs w:val="20"/>
              </w:rPr>
              <w:t xml:space="preserve">Actual Attack</w:t>
            </w:r>
          </w:p>
        </w:tc>
        <w:tc>
          <w:tcPr>
            <w:tcW w:type="dxa" w:w="3120"/>
          </w:tcPr>
          <w:p>
            <w:r>
              <w:rPr>
                <w:b w:val="false"/>
                <w:bCs w:val="false"/>
                <w:sz w:val="20"/>
                <w:szCs w:val="20"/>
              </w:rPr>
              <w:t xml:space="preserve">5,092</w:t>
            </w:r>
          </w:p>
        </w:tc>
        <w:tc>
          <w:tcPr>
            <w:tcW w:type="dxa" w:w="3120"/>
          </w:tcPr>
          <w:p>
            <w:r>
              <w:rPr>
                <w:b w:val="false"/>
                <w:bCs w:val="false"/>
                <w:sz w:val="20"/>
                <w:szCs w:val="20"/>
              </w:rPr>
              <w:t xml:space="preserve">7,741</w:t>
            </w:r>
          </w:p>
        </w:tc>
      </w:tr>
    </w:tbl>
    <w:p>
      <w:pPr>
        <w:spacing w:after="160" w:before="160"/>
      </w:pPr>
    </w:p>
    <w:p>
      <w:pPr>
        <w:spacing w:after="160"/>
      </w:pPr>
      <w:r>
        <w:rPr>
          <w:sz w:val="22"/>
          <w:szCs w:val="22"/>
        </w:rPr>
        <w:t xml:space="preserve">Random Forest outperformed Logistic Regression on every metric, correctly detecting 60% of attacks compared to 44%. However, 5,092 of 12,833 attacks (40%) were still missed.</w:t>
      </w:r>
    </w:p>
    <w:p>
      <w:pPr>
        <w:pStyle w:val="Heading2"/>
        <w:spacing w:after="160" w:before="320"/>
      </w:pPr>
      <w:r>
        <w:t xml:space="preserve">5.2 Multi-Class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460"/>
      </w:tblGrid>
      <w:tr>
        <w:tc>
          <w:tcPr>
            <w:tcW w:type="dxa" w:w="1800"/>
            <w:shd w:fill="1F3864" w:val="clear"/>
          </w:tcPr>
          <w:p>
            <w:r>
              <w:rPr>
                <w:b/>
                <w:bCs/>
                <w:color w:val="FFFFFF"/>
                <w:sz w:val="20"/>
                <w:szCs w:val="20"/>
              </w:rPr>
              <w:t xml:space="preserve">Category</w:t>
            </w:r>
          </w:p>
        </w:tc>
        <w:tc>
          <w:tcPr>
            <w:tcW w:type="dxa" w:w="1700"/>
            <w:shd w:fill="1F3864" w:val="clear"/>
          </w:tcPr>
          <w:p>
            <w:r>
              <w:rPr>
                <w:b/>
                <w:bCs/>
                <w:color w:val="FFFFFF"/>
                <w:sz w:val="20"/>
                <w:szCs w:val="20"/>
              </w:rPr>
              <w:t xml:space="preserve">Precision</w:t>
            </w:r>
          </w:p>
        </w:tc>
        <w:tc>
          <w:tcPr>
            <w:tcW w:type="dxa" w:w="1700"/>
            <w:shd w:fill="1F3864" w:val="clear"/>
          </w:tcPr>
          <w:p>
            <w:r>
              <w:rPr>
                <w:b/>
                <w:bCs/>
                <w:color w:val="FFFFFF"/>
                <w:sz w:val="20"/>
                <w:szCs w:val="20"/>
              </w:rPr>
              <w:t xml:space="preserve">Recall</w:t>
            </w:r>
          </w:p>
        </w:tc>
        <w:tc>
          <w:tcPr>
            <w:tcW w:type="dxa" w:w="1700"/>
            <w:shd w:fill="1F3864" w:val="clear"/>
          </w:tcPr>
          <w:p>
            <w:r>
              <w:rPr>
                <w:b/>
                <w:bCs/>
                <w:color w:val="FFFFFF"/>
                <w:sz w:val="20"/>
                <w:szCs w:val="20"/>
              </w:rPr>
              <w:t xml:space="preserve">F1-score</w:t>
            </w:r>
          </w:p>
        </w:tc>
        <w:tc>
          <w:tcPr>
            <w:tcW w:type="dxa" w:w="2460"/>
            <w:shd w:fill="1F3864" w:val="clear"/>
          </w:tcPr>
          <w:p>
            <w:r>
              <w:rPr>
                <w:b/>
                <w:bCs/>
                <w:color w:val="FFFFFF"/>
                <w:sz w:val="20"/>
                <w:szCs w:val="20"/>
              </w:rPr>
              <w:t xml:space="preserve">Support</w:t>
            </w:r>
          </w:p>
        </w:tc>
      </w:tr>
      <w:tr>
        <w:tc>
          <w:tcPr>
            <w:tcW w:type="dxa" w:w="1800"/>
          </w:tcPr>
          <w:p>
            <w:r>
              <w:rPr>
                <w:b w:val="false"/>
                <w:bCs w:val="false"/>
                <w:sz w:val="20"/>
                <w:szCs w:val="20"/>
              </w:rPr>
              <w:t xml:space="preserve">Normal</w:t>
            </w:r>
          </w:p>
        </w:tc>
        <w:tc>
          <w:tcPr>
            <w:tcW w:type="dxa" w:w="1700"/>
          </w:tcPr>
          <w:p>
            <w:r>
              <w:rPr>
                <w:b w:val="false"/>
                <w:bCs w:val="false"/>
                <w:sz w:val="20"/>
                <w:szCs w:val="20"/>
              </w:rPr>
              <w:t xml:space="preserve">0.65</w:t>
            </w:r>
          </w:p>
        </w:tc>
        <w:tc>
          <w:tcPr>
            <w:tcW w:type="dxa" w:w="1700"/>
          </w:tcPr>
          <w:p>
            <w:r>
              <w:rPr>
                <w:b w:val="false"/>
                <w:bCs w:val="false"/>
                <w:sz w:val="20"/>
                <w:szCs w:val="20"/>
              </w:rPr>
              <w:t xml:space="preserve">0.97</w:t>
            </w:r>
          </w:p>
        </w:tc>
        <w:tc>
          <w:tcPr>
            <w:tcW w:type="dxa" w:w="1700"/>
          </w:tcPr>
          <w:p>
            <w:r>
              <w:rPr>
                <w:b w:val="false"/>
                <w:bCs w:val="false"/>
                <w:sz w:val="20"/>
                <w:szCs w:val="20"/>
              </w:rPr>
              <w:t xml:space="preserve">0.78</w:t>
            </w:r>
          </w:p>
        </w:tc>
        <w:tc>
          <w:tcPr>
            <w:tcW w:type="dxa" w:w="2460"/>
          </w:tcPr>
          <w:p>
            <w:r>
              <w:rPr>
                <w:b w:val="false"/>
                <w:bCs w:val="false"/>
                <w:sz w:val="20"/>
                <w:szCs w:val="20"/>
              </w:rPr>
              <w:t xml:space="preserve">9,711</w:t>
            </w:r>
          </w:p>
        </w:tc>
      </w:tr>
      <w:tr>
        <w:tc>
          <w:tcPr>
            <w:tcW w:type="dxa" w:w="1800"/>
          </w:tcPr>
          <w:p>
            <w:r>
              <w:rPr>
                <w:b w:val="false"/>
                <w:bCs w:val="false"/>
                <w:sz w:val="20"/>
                <w:szCs w:val="20"/>
              </w:rPr>
              <w:t xml:space="preserve">DoS</w:t>
            </w:r>
          </w:p>
        </w:tc>
        <w:tc>
          <w:tcPr>
            <w:tcW w:type="dxa" w:w="1700"/>
          </w:tcPr>
          <w:p>
            <w:r>
              <w:rPr>
                <w:b w:val="false"/>
                <w:bCs w:val="false"/>
                <w:sz w:val="20"/>
                <w:szCs w:val="20"/>
              </w:rPr>
              <w:t xml:space="preserve">0.96</w:t>
            </w:r>
          </w:p>
        </w:tc>
        <w:tc>
          <w:tcPr>
            <w:tcW w:type="dxa" w:w="1700"/>
          </w:tcPr>
          <w:p>
            <w:r>
              <w:rPr>
                <w:b w:val="false"/>
                <w:bCs w:val="false"/>
                <w:sz w:val="20"/>
                <w:szCs w:val="20"/>
              </w:rPr>
              <w:t xml:space="preserve">0.77</w:t>
            </w:r>
          </w:p>
        </w:tc>
        <w:tc>
          <w:tcPr>
            <w:tcW w:type="dxa" w:w="1700"/>
          </w:tcPr>
          <w:p>
            <w:r>
              <w:rPr>
                <w:b w:val="false"/>
                <w:bCs w:val="false"/>
                <w:sz w:val="20"/>
                <w:szCs w:val="20"/>
              </w:rPr>
              <w:t xml:space="preserve">0.85</w:t>
            </w:r>
          </w:p>
        </w:tc>
        <w:tc>
          <w:tcPr>
            <w:tcW w:type="dxa" w:w="2460"/>
          </w:tcPr>
          <w:p>
            <w:r>
              <w:rPr>
                <w:b w:val="false"/>
                <w:bCs w:val="false"/>
                <w:sz w:val="20"/>
                <w:szCs w:val="20"/>
              </w:rPr>
              <w:t xml:space="preserve">7,460</w:t>
            </w:r>
          </w:p>
        </w:tc>
      </w:tr>
      <w:tr>
        <w:tc>
          <w:tcPr>
            <w:tcW w:type="dxa" w:w="1800"/>
          </w:tcPr>
          <w:p>
            <w:r>
              <w:rPr>
                <w:b w:val="false"/>
                <w:bCs w:val="false"/>
                <w:sz w:val="20"/>
                <w:szCs w:val="20"/>
              </w:rPr>
              <w:t xml:space="preserve">Probe</w:t>
            </w:r>
          </w:p>
        </w:tc>
        <w:tc>
          <w:tcPr>
            <w:tcW w:type="dxa" w:w="1700"/>
          </w:tcPr>
          <w:p>
            <w:r>
              <w:rPr>
                <w:b w:val="false"/>
                <w:bCs w:val="false"/>
                <w:sz w:val="20"/>
                <w:szCs w:val="20"/>
              </w:rPr>
              <w:t xml:space="preserve">0.87</w:t>
            </w:r>
          </w:p>
        </w:tc>
        <w:tc>
          <w:tcPr>
            <w:tcW w:type="dxa" w:w="1700"/>
          </w:tcPr>
          <w:p>
            <w:r>
              <w:rPr>
                <w:b w:val="false"/>
                <w:bCs w:val="false"/>
                <w:sz w:val="20"/>
                <w:szCs w:val="20"/>
              </w:rPr>
              <w:t xml:space="preserve">0.67</w:t>
            </w:r>
          </w:p>
        </w:tc>
        <w:tc>
          <w:tcPr>
            <w:tcW w:type="dxa" w:w="1700"/>
          </w:tcPr>
          <w:p>
            <w:r>
              <w:rPr>
                <w:b w:val="false"/>
                <w:bCs w:val="false"/>
                <w:sz w:val="20"/>
                <w:szCs w:val="20"/>
              </w:rPr>
              <w:t xml:space="preserve">0.76</w:t>
            </w:r>
          </w:p>
        </w:tc>
        <w:tc>
          <w:tcPr>
            <w:tcW w:type="dxa" w:w="2460"/>
          </w:tcPr>
          <w:p>
            <w:r>
              <w:rPr>
                <w:b w:val="false"/>
                <w:bCs w:val="false"/>
                <w:sz w:val="20"/>
                <w:szCs w:val="20"/>
              </w:rPr>
              <w:t xml:space="preserve">2,421</w:t>
            </w:r>
          </w:p>
        </w:tc>
      </w:tr>
      <w:tr>
        <w:tc>
          <w:tcPr>
            <w:tcW w:type="dxa" w:w="1800"/>
          </w:tcPr>
          <w:p>
            <w:r>
              <w:rPr>
                <w:b w:val="false"/>
                <w:bCs w:val="false"/>
                <w:sz w:val="20"/>
                <w:szCs w:val="20"/>
              </w:rPr>
              <w:t xml:space="preserve">R2L</w:t>
            </w:r>
          </w:p>
        </w:tc>
        <w:tc>
          <w:tcPr>
            <w:tcW w:type="dxa" w:w="1700"/>
          </w:tcPr>
          <w:p>
            <w:r>
              <w:rPr>
                <w:b w:val="false"/>
                <w:bCs w:val="false"/>
                <w:sz w:val="20"/>
                <w:szCs w:val="20"/>
              </w:rPr>
              <w:t xml:space="preserve">0.98</w:t>
            </w:r>
          </w:p>
        </w:tc>
        <w:tc>
          <w:tcPr>
            <w:tcW w:type="dxa" w:w="1700"/>
          </w:tcPr>
          <w:p>
            <w:r>
              <w:rPr>
                <w:b w:val="false"/>
                <w:bCs w:val="false"/>
                <w:sz w:val="20"/>
                <w:szCs w:val="20"/>
              </w:rPr>
              <w:t xml:space="preserve">0.04</w:t>
            </w:r>
          </w:p>
        </w:tc>
        <w:tc>
          <w:tcPr>
            <w:tcW w:type="dxa" w:w="1700"/>
          </w:tcPr>
          <w:p>
            <w:r>
              <w:rPr>
                <w:b w:val="false"/>
                <w:bCs w:val="false"/>
                <w:sz w:val="20"/>
                <w:szCs w:val="20"/>
              </w:rPr>
              <w:t xml:space="preserve">0.08</w:t>
            </w:r>
          </w:p>
        </w:tc>
        <w:tc>
          <w:tcPr>
            <w:tcW w:type="dxa" w:w="2460"/>
          </w:tcPr>
          <w:p>
            <w:r>
              <w:rPr>
                <w:b w:val="false"/>
                <w:bCs w:val="false"/>
                <w:sz w:val="20"/>
                <w:szCs w:val="20"/>
              </w:rPr>
              <w:t xml:space="preserve">2,885</w:t>
            </w:r>
          </w:p>
        </w:tc>
      </w:tr>
      <w:tr>
        <w:tc>
          <w:tcPr>
            <w:tcW w:type="dxa" w:w="1800"/>
          </w:tcPr>
          <w:p>
            <w:r>
              <w:rPr>
                <w:b w:val="false"/>
                <w:bCs w:val="false"/>
                <w:sz w:val="20"/>
                <w:szCs w:val="20"/>
              </w:rPr>
              <w:t xml:space="preserve">U2R</w:t>
            </w:r>
          </w:p>
        </w:tc>
        <w:tc>
          <w:tcPr>
            <w:tcW w:type="dxa" w:w="1700"/>
          </w:tcPr>
          <w:p>
            <w:r>
              <w:rPr>
                <w:b w:val="false"/>
                <w:bCs w:val="false"/>
                <w:sz w:val="20"/>
                <w:szCs w:val="20"/>
              </w:rPr>
              <w:t xml:space="preserve">0.50</w:t>
            </w:r>
          </w:p>
        </w:tc>
        <w:tc>
          <w:tcPr>
            <w:tcW w:type="dxa" w:w="1700"/>
          </w:tcPr>
          <w:p>
            <w:r>
              <w:rPr>
                <w:b w:val="false"/>
                <w:bCs w:val="false"/>
                <w:sz w:val="20"/>
                <w:szCs w:val="20"/>
              </w:rPr>
              <w:t xml:space="preserve">0.03</w:t>
            </w:r>
          </w:p>
        </w:tc>
        <w:tc>
          <w:tcPr>
            <w:tcW w:type="dxa" w:w="1700"/>
          </w:tcPr>
          <w:p>
            <w:r>
              <w:rPr>
                <w:b w:val="false"/>
                <w:bCs w:val="false"/>
                <w:sz w:val="20"/>
                <w:szCs w:val="20"/>
              </w:rPr>
              <w:t xml:space="preserve">0.06</w:t>
            </w:r>
          </w:p>
        </w:tc>
        <w:tc>
          <w:tcPr>
            <w:tcW w:type="dxa" w:w="2460"/>
          </w:tcPr>
          <w:p>
            <w:r>
              <w:rPr>
                <w:b w:val="false"/>
                <w:bCs w:val="false"/>
                <w:sz w:val="20"/>
                <w:szCs w:val="20"/>
              </w:rPr>
              <w:t xml:space="preserve">67</w:t>
            </w:r>
          </w:p>
        </w:tc>
      </w:tr>
    </w:tbl>
    <w:p>
      <w:pPr>
        <w:spacing w:after="160" w:before="160"/>
      </w:pPr>
    </w:p>
    <w:p>
      <w:pPr>
        <w:spacing w:after="160"/>
      </w:pPr>
      <w:r>
        <w:rPr>
          <w:sz w:val="22"/>
          <w:szCs w:val="22"/>
        </w:rPr>
        <w:t xml:space="preserve">Overall accuracy was 0.75, but macro-average recall — which weighs all five classes equally rather than being dominated by the large Normal and DoS classes — was only 0.50. This gap illustrates why accuracy alone is an insufficient metric for this task.</w:t>
      </w:r>
    </w:p>
    <w:p>
      <w:pPr>
        <w:pStyle w:val="Heading2"/>
        <w:spacing w:after="160" w:before="320"/>
      </w:pPr>
      <w:r>
        <w:t xml:space="preserve">5.3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3800"/>
      </w:tblGrid>
      <w:tr>
        <w:tc>
          <w:tcPr>
            <w:tcW w:type="dxa" w:w="1200"/>
            <w:shd w:fill="1F3864" w:val="clear"/>
          </w:tcPr>
          <w:p>
            <w:r>
              <w:rPr>
                <w:b/>
                <w:bCs/>
                <w:color w:val="FFFFFF"/>
                <w:sz w:val="20"/>
                <w:szCs w:val="20"/>
              </w:rPr>
              <w:t xml:space="preserve">Rank</w:t>
            </w:r>
          </w:p>
        </w:tc>
        <w:tc>
          <w:tcPr>
            <w:tcW w:type="dxa" w:w="4360"/>
            <w:shd w:fill="1F3864" w:val="clear"/>
          </w:tcPr>
          <w:p>
            <w:r>
              <w:rPr>
                <w:b/>
                <w:bCs/>
                <w:color w:val="FFFFFF"/>
                <w:sz w:val="20"/>
                <w:szCs w:val="20"/>
              </w:rPr>
              <w:t xml:space="preserve">Feature</w:t>
            </w:r>
          </w:p>
        </w:tc>
        <w:tc>
          <w:tcPr>
            <w:tcW w:type="dxa" w:w="3800"/>
            <w:shd w:fill="1F3864" w:val="clear"/>
          </w:tcPr>
          <w:p>
            <w:r>
              <w:rPr>
                <w:b/>
                <w:bCs/>
                <w:color w:val="FFFFFF"/>
                <w:sz w:val="20"/>
                <w:szCs w:val="20"/>
              </w:rPr>
              <w:t xml:space="preserve">Importance</w:t>
            </w:r>
          </w:p>
        </w:tc>
      </w:tr>
      <w:tr>
        <w:tc>
          <w:tcPr>
            <w:tcW w:type="dxa" w:w="1200"/>
          </w:tcPr>
          <w:p>
            <w:r>
              <w:rPr>
                <w:b w:val="false"/>
                <w:bCs w:val="false"/>
                <w:sz w:val="20"/>
                <w:szCs w:val="20"/>
              </w:rPr>
              <w:t xml:space="preserve">1</w:t>
            </w:r>
          </w:p>
        </w:tc>
        <w:tc>
          <w:tcPr>
            <w:tcW w:type="dxa" w:w="4360"/>
          </w:tcPr>
          <w:p>
            <w:r>
              <w:rPr>
                <w:b w:val="false"/>
                <w:bCs w:val="false"/>
                <w:sz w:val="20"/>
                <w:szCs w:val="20"/>
              </w:rPr>
              <w:t xml:space="preserve">src_bytes</w:t>
            </w:r>
          </w:p>
        </w:tc>
        <w:tc>
          <w:tcPr>
            <w:tcW w:type="dxa" w:w="3800"/>
          </w:tcPr>
          <w:p>
            <w:r>
              <w:rPr>
                <w:b w:val="false"/>
                <w:bCs w:val="false"/>
                <w:sz w:val="20"/>
                <w:szCs w:val="20"/>
              </w:rPr>
              <w:t xml:space="preserve">0.195</w:t>
            </w:r>
          </w:p>
        </w:tc>
      </w:tr>
      <w:tr>
        <w:tc>
          <w:tcPr>
            <w:tcW w:type="dxa" w:w="1200"/>
          </w:tcPr>
          <w:p>
            <w:r>
              <w:rPr>
                <w:b w:val="false"/>
                <w:bCs w:val="false"/>
                <w:sz w:val="20"/>
                <w:szCs w:val="20"/>
              </w:rPr>
              <w:t xml:space="preserve">2</w:t>
            </w:r>
          </w:p>
        </w:tc>
        <w:tc>
          <w:tcPr>
            <w:tcW w:type="dxa" w:w="4360"/>
          </w:tcPr>
          <w:p>
            <w:r>
              <w:rPr>
                <w:b w:val="false"/>
                <w:bCs w:val="false"/>
                <w:sz w:val="20"/>
                <w:szCs w:val="20"/>
              </w:rPr>
              <w:t xml:space="preserve">dst_bytes</w:t>
            </w:r>
          </w:p>
        </w:tc>
        <w:tc>
          <w:tcPr>
            <w:tcW w:type="dxa" w:w="3800"/>
          </w:tcPr>
          <w:p>
            <w:r>
              <w:rPr>
                <w:b w:val="false"/>
                <w:bCs w:val="false"/>
                <w:sz w:val="20"/>
                <w:szCs w:val="20"/>
              </w:rPr>
              <w:t xml:space="preserve">0.100</w:t>
            </w:r>
          </w:p>
        </w:tc>
      </w:tr>
      <w:tr>
        <w:tc>
          <w:tcPr>
            <w:tcW w:type="dxa" w:w="1200"/>
          </w:tcPr>
          <w:p>
            <w:r>
              <w:rPr>
                <w:b w:val="false"/>
                <w:bCs w:val="false"/>
                <w:sz w:val="20"/>
                <w:szCs w:val="20"/>
              </w:rPr>
              <w:t xml:space="preserve">3</w:t>
            </w:r>
          </w:p>
        </w:tc>
        <w:tc>
          <w:tcPr>
            <w:tcW w:type="dxa" w:w="4360"/>
          </w:tcPr>
          <w:p>
            <w:r>
              <w:rPr>
                <w:b w:val="false"/>
                <w:bCs w:val="false"/>
                <w:sz w:val="20"/>
                <w:szCs w:val="20"/>
              </w:rPr>
              <w:t xml:space="preserve">same_srv_rate</w:t>
            </w:r>
          </w:p>
        </w:tc>
        <w:tc>
          <w:tcPr>
            <w:tcW w:type="dxa" w:w="3800"/>
          </w:tcPr>
          <w:p>
            <w:r>
              <w:rPr>
                <w:b w:val="false"/>
                <w:bCs w:val="false"/>
                <w:sz w:val="20"/>
                <w:szCs w:val="20"/>
              </w:rPr>
              <w:t xml:space="preserve">0.082</w:t>
            </w:r>
          </w:p>
        </w:tc>
      </w:tr>
      <w:tr>
        <w:tc>
          <w:tcPr>
            <w:tcW w:type="dxa" w:w="1200"/>
          </w:tcPr>
          <w:p>
            <w:r>
              <w:rPr>
                <w:b w:val="false"/>
                <w:bCs w:val="false"/>
                <w:sz w:val="20"/>
                <w:szCs w:val="20"/>
              </w:rPr>
              <w:t xml:space="preserve">4</w:t>
            </w:r>
          </w:p>
        </w:tc>
        <w:tc>
          <w:tcPr>
            <w:tcW w:type="dxa" w:w="4360"/>
          </w:tcPr>
          <w:p>
            <w:r>
              <w:rPr>
                <w:b w:val="false"/>
                <w:bCs w:val="false"/>
                <w:sz w:val="20"/>
                <w:szCs w:val="20"/>
              </w:rPr>
              <w:t xml:space="preserve">dst_host_same_srv_rate</w:t>
            </w:r>
          </w:p>
        </w:tc>
        <w:tc>
          <w:tcPr>
            <w:tcW w:type="dxa" w:w="3800"/>
          </w:tcPr>
          <w:p>
            <w:r>
              <w:rPr>
                <w:b w:val="false"/>
                <w:bCs w:val="false"/>
                <w:sz w:val="20"/>
                <w:szCs w:val="20"/>
              </w:rPr>
              <w:t xml:space="preserve">0.069</w:t>
            </w:r>
          </w:p>
        </w:tc>
      </w:tr>
      <w:tr>
        <w:tc>
          <w:tcPr>
            <w:tcW w:type="dxa" w:w="1200"/>
          </w:tcPr>
          <w:p>
            <w:r>
              <w:rPr>
                <w:b w:val="false"/>
                <w:bCs w:val="false"/>
                <w:sz w:val="20"/>
                <w:szCs w:val="20"/>
              </w:rPr>
              <w:t xml:space="preserve">5</w:t>
            </w:r>
          </w:p>
        </w:tc>
        <w:tc>
          <w:tcPr>
            <w:tcW w:type="dxa" w:w="4360"/>
          </w:tcPr>
          <w:p>
            <w:r>
              <w:rPr>
                <w:b w:val="false"/>
                <w:bCs w:val="false"/>
                <w:sz w:val="20"/>
                <w:szCs w:val="20"/>
              </w:rPr>
              <w:t xml:space="preserve">flag</w:t>
            </w:r>
          </w:p>
        </w:tc>
        <w:tc>
          <w:tcPr>
            <w:tcW w:type="dxa" w:w="3800"/>
          </w:tcPr>
          <w:p>
            <w:r>
              <w:rPr>
                <w:b w:val="false"/>
                <w:bCs w:val="false"/>
                <w:sz w:val="20"/>
                <w:szCs w:val="20"/>
              </w:rPr>
              <w:t xml:space="preserve">0.066</w:t>
            </w:r>
          </w:p>
        </w:tc>
      </w:tr>
      <w:tr>
        <w:tc>
          <w:tcPr>
            <w:tcW w:type="dxa" w:w="1200"/>
          </w:tcPr>
          <w:p>
            <w:r>
              <w:rPr>
                <w:b w:val="false"/>
                <w:bCs w:val="false"/>
                <w:sz w:val="20"/>
                <w:szCs w:val="20"/>
              </w:rPr>
              <w:t xml:space="preserve">6</w:t>
            </w:r>
          </w:p>
        </w:tc>
        <w:tc>
          <w:tcPr>
            <w:tcW w:type="dxa" w:w="4360"/>
          </w:tcPr>
          <w:p>
            <w:r>
              <w:rPr>
                <w:b w:val="false"/>
                <w:bCs w:val="false"/>
                <w:sz w:val="20"/>
                <w:szCs w:val="20"/>
              </w:rPr>
              <w:t xml:space="preserve">dst_host_srv_count</w:t>
            </w:r>
          </w:p>
        </w:tc>
        <w:tc>
          <w:tcPr>
            <w:tcW w:type="dxa" w:w="3800"/>
          </w:tcPr>
          <w:p>
            <w:r>
              <w:rPr>
                <w:b w:val="false"/>
                <w:bCs w:val="false"/>
                <w:sz w:val="20"/>
                <w:szCs w:val="20"/>
              </w:rPr>
              <w:t xml:space="preserve">0.065</w:t>
            </w:r>
          </w:p>
        </w:tc>
      </w:tr>
      <w:tr>
        <w:tc>
          <w:tcPr>
            <w:tcW w:type="dxa" w:w="1200"/>
          </w:tcPr>
          <w:p>
            <w:r>
              <w:rPr>
                <w:b w:val="false"/>
                <w:bCs w:val="false"/>
                <w:sz w:val="20"/>
                <w:szCs w:val="20"/>
              </w:rPr>
              <w:t xml:space="preserve">7</w:t>
            </w:r>
          </w:p>
        </w:tc>
        <w:tc>
          <w:tcPr>
            <w:tcW w:type="dxa" w:w="4360"/>
          </w:tcPr>
          <w:p>
            <w:r>
              <w:rPr>
                <w:b w:val="false"/>
                <w:bCs w:val="false"/>
                <w:sz w:val="20"/>
                <w:szCs w:val="20"/>
              </w:rPr>
              <w:t xml:space="preserve">logged_in</w:t>
            </w:r>
          </w:p>
        </w:tc>
        <w:tc>
          <w:tcPr>
            <w:tcW w:type="dxa" w:w="3800"/>
          </w:tcPr>
          <w:p>
            <w:r>
              <w:rPr>
                <w:b w:val="false"/>
                <w:bCs w:val="false"/>
                <w:sz w:val="20"/>
                <w:szCs w:val="20"/>
              </w:rPr>
              <w:t xml:space="preserve">0.053</w:t>
            </w:r>
          </w:p>
        </w:tc>
      </w:tr>
      <w:tr>
        <w:tc>
          <w:tcPr>
            <w:tcW w:type="dxa" w:w="1200"/>
          </w:tcPr>
          <w:p>
            <w:r>
              <w:rPr>
                <w:b w:val="false"/>
                <w:bCs w:val="false"/>
                <w:sz w:val="20"/>
                <w:szCs w:val="20"/>
              </w:rPr>
              <w:t xml:space="preserve">8</w:t>
            </w:r>
          </w:p>
        </w:tc>
        <w:tc>
          <w:tcPr>
            <w:tcW w:type="dxa" w:w="4360"/>
          </w:tcPr>
          <w:p>
            <w:r>
              <w:rPr>
                <w:b w:val="false"/>
                <w:bCs w:val="false"/>
                <w:sz w:val="20"/>
                <w:szCs w:val="20"/>
              </w:rPr>
              <w:t xml:space="preserve">srv_serror_rate</w:t>
            </w:r>
          </w:p>
        </w:tc>
        <w:tc>
          <w:tcPr>
            <w:tcW w:type="dxa" w:w="3800"/>
          </w:tcPr>
          <w:p>
            <w:r>
              <w:rPr>
                <w:b w:val="false"/>
                <w:bCs w:val="false"/>
                <w:sz w:val="20"/>
                <w:szCs w:val="20"/>
              </w:rPr>
              <w:t xml:space="preserve">0.040</w:t>
            </w:r>
          </w:p>
        </w:tc>
      </w:tr>
    </w:tbl>
    <w:p>
      <w:pPr>
        <w:spacing w:after="160" w:before="160"/>
      </w:pPr>
    </w:p>
    <w:p>
      <w:pPr>
        <w:spacing w:after="160"/>
      </w:pPr>
      <w:r>
        <w:rPr>
          <w:sz w:val="22"/>
          <w:szCs w:val="22"/>
        </w:rPr>
        <w:t xml:space="preserve">The Random Forest relies most heavily on traffic volume (src_bytes, dst_bytes) and connection repetition patterns (same_srv_rate, dst_host_srv_count). These signals are well-suited to detecting DoS floods and Probe scans, which produce abnormal volume or repetition, but poorly suited to R2L attacks such as password guessing, which closely resemble ordinary login traffic.</w:t>
      </w:r>
    </w:p>
    <w:p>
      <w:pPr>
        <w:pStyle w:val="Heading2"/>
        <w:spacing w:after="160" w:before="320"/>
      </w:pPr>
      <w:r>
        <w:t xml:space="preserve">5.4 R2L Error Analysis</w:t>
      </w:r>
    </w:p>
    <w:p>
      <w:pPr>
        <w:spacing w:after="160"/>
      </w:pPr>
      <w:r>
        <w:rPr>
          <w:sz w:val="22"/>
          <w:szCs w:val="22"/>
        </w:rPr>
        <w:t xml:space="preserve">To understand the near-zero R2L recall, the distribution of R2L attack subtypes was compared between training and test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r>
              <w:rPr>
                <w:b/>
                <w:bCs/>
                <w:color w:val="FFFFFF"/>
                <w:sz w:val="20"/>
                <w:szCs w:val="20"/>
              </w:rPr>
              <w:t xml:space="preserve">Attack Subtype</w:t>
            </w:r>
          </w:p>
        </w:tc>
        <w:tc>
          <w:tcPr>
            <w:tcW w:type="dxa" w:w="2340"/>
            <w:shd w:fill="1F3864" w:val="clear"/>
          </w:tcPr>
          <w:p>
            <w:r>
              <w:rPr>
                <w:b/>
                <w:bCs/>
                <w:color w:val="FFFFFF"/>
                <w:sz w:val="20"/>
                <w:szCs w:val="20"/>
              </w:rPr>
              <w:t xml:space="preserve">Training Count</w:t>
            </w:r>
          </w:p>
        </w:tc>
        <w:tc>
          <w:tcPr>
            <w:tcW w:type="dxa" w:w="2340"/>
            <w:shd w:fill="1F3864" w:val="clear"/>
          </w:tcPr>
          <w:p>
            <w:r>
              <w:rPr>
                <w:b/>
                <w:bCs/>
                <w:color w:val="FFFFFF"/>
                <w:sz w:val="20"/>
                <w:szCs w:val="20"/>
              </w:rPr>
              <w:t xml:space="preserve">Test Count</w:t>
            </w:r>
          </w:p>
        </w:tc>
        <w:tc>
          <w:tcPr>
            <w:tcW w:type="dxa" w:w="2340"/>
            <w:shd w:fill="1F3864" w:val="clear"/>
          </w:tcPr>
          <w:p>
            <w:r>
              <w:rPr>
                <w:b/>
                <w:bCs/>
                <w:color w:val="FFFFFF"/>
                <w:sz w:val="20"/>
                <w:szCs w:val="20"/>
              </w:rPr>
              <w:t xml:space="preserve">Per-type Recall (Test)</w:t>
            </w:r>
          </w:p>
        </w:tc>
      </w:tr>
      <w:tr>
        <w:tc>
          <w:tcPr>
            <w:tcW w:type="dxa" w:w="2340"/>
          </w:tcPr>
          <w:p>
            <w:r>
              <w:rPr>
                <w:b w:val="false"/>
                <w:bCs w:val="false"/>
                <w:sz w:val="20"/>
                <w:szCs w:val="20"/>
              </w:rPr>
              <w:t xml:space="preserve">warezclient</w:t>
            </w:r>
          </w:p>
        </w:tc>
        <w:tc>
          <w:tcPr>
            <w:tcW w:type="dxa" w:w="2340"/>
          </w:tcPr>
          <w:p>
            <w:r>
              <w:rPr>
                <w:b w:val="false"/>
                <w:bCs w:val="false"/>
                <w:sz w:val="20"/>
                <w:szCs w:val="20"/>
              </w:rPr>
              <w:t xml:space="preserve">890</w:t>
            </w:r>
          </w:p>
        </w:tc>
        <w:tc>
          <w:tcPr>
            <w:tcW w:type="dxa" w:w="2340"/>
          </w:tcPr>
          <w:p>
            <w:r>
              <w:rPr>
                <w:b w:val="false"/>
                <w:bCs w:val="false"/>
                <w:sz w:val="20"/>
                <w:szCs w:val="20"/>
              </w:rPr>
              <w:t xml:space="preserve">0</w:t>
            </w:r>
          </w:p>
        </w:tc>
        <w:tc>
          <w:tcPr>
            <w:tcW w:type="dxa" w:w="2340"/>
          </w:tcPr>
          <w:p>
            <w:r>
              <w:rPr>
                <w:b w:val="false"/>
                <w:bCs w:val="false"/>
                <w:sz w:val="20"/>
                <w:szCs w:val="20"/>
              </w:rPr>
              <w:t xml:space="preserve">—</w:t>
            </w:r>
          </w:p>
        </w:tc>
      </w:tr>
      <w:tr>
        <w:tc>
          <w:tcPr>
            <w:tcW w:type="dxa" w:w="2340"/>
          </w:tcPr>
          <w:p>
            <w:r>
              <w:rPr>
                <w:b w:val="false"/>
                <w:bCs w:val="false"/>
                <w:sz w:val="20"/>
                <w:szCs w:val="20"/>
              </w:rPr>
              <w:t xml:space="preserve">guess_passwd</w:t>
            </w:r>
          </w:p>
        </w:tc>
        <w:tc>
          <w:tcPr>
            <w:tcW w:type="dxa" w:w="2340"/>
          </w:tcPr>
          <w:p>
            <w:r>
              <w:rPr>
                <w:b w:val="false"/>
                <w:bCs w:val="false"/>
                <w:sz w:val="20"/>
                <w:szCs w:val="20"/>
              </w:rPr>
              <w:t xml:space="preserve">53</w:t>
            </w:r>
          </w:p>
        </w:tc>
        <w:tc>
          <w:tcPr>
            <w:tcW w:type="dxa" w:w="2340"/>
          </w:tcPr>
          <w:p>
            <w:r>
              <w:rPr>
                <w:b w:val="false"/>
                <w:bCs w:val="false"/>
                <w:sz w:val="20"/>
                <w:szCs w:val="20"/>
              </w:rPr>
              <w:t xml:space="preserve">1,231</w:t>
            </w:r>
          </w:p>
        </w:tc>
        <w:tc>
          <w:tcPr>
            <w:tcW w:type="dxa" w:w="2340"/>
          </w:tcPr>
          <w:p>
            <w:r>
              <w:rPr>
                <w:b w:val="false"/>
                <w:bCs w:val="false"/>
                <w:sz w:val="20"/>
                <w:szCs w:val="20"/>
              </w:rPr>
              <w:t xml:space="preserve">0.00</w:t>
            </w:r>
          </w:p>
        </w:tc>
      </w:tr>
      <w:tr>
        <w:tc>
          <w:tcPr>
            <w:tcW w:type="dxa" w:w="2340"/>
          </w:tcPr>
          <w:p>
            <w:r>
              <w:rPr>
                <w:b w:val="false"/>
                <w:bCs w:val="false"/>
                <w:sz w:val="20"/>
                <w:szCs w:val="20"/>
              </w:rPr>
              <w:t xml:space="preserve">warezmaster</w:t>
            </w:r>
          </w:p>
        </w:tc>
        <w:tc>
          <w:tcPr>
            <w:tcW w:type="dxa" w:w="2340"/>
          </w:tcPr>
          <w:p>
            <w:r>
              <w:rPr>
                <w:b w:val="false"/>
                <w:bCs w:val="false"/>
                <w:sz w:val="20"/>
                <w:szCs w:val="20"/>
              </w:rPr>
              <w:t xml:space="preserve">20</w:t>
            </w:r>
          </w:p>
        </w:tc>
        <w:tc>
          <w:tcPr>
            <w:tcW w:type="dxa" w:w="2340"/>
          </w:tcPr>
          <w:p>
            <w:r>
              <w:rPr>
                <w:b w:val="false"/>
                <w:bCs w:val="false"/>
                <w:sz w:val="20"/>
                <w:szCs w:val="20"/>
              </w:rPr>
              <w:t xml:space="preserve">944</w:t>
            </w:r>
          </w:p>
        </w:tc>
        <w:tc>
          <w:tcPr>
            <w:tcW w:type="dxa" w:w="2340"/>
          </w:tcPr>
          <w:p>
            <w:r>
              <w:rPr>
                <w:b w:val="false"/>
                <w:bCs w:val="false"/>
                <w:sz w:val="20"/>
                <w:szCs w:val="20"/>
              </w:rPr>
              <w:t xml:space="preserve">0.13</w:t>
            </w:r>
          </w:p>
        </w:tc>
      </w:tr>
      <w:tr>
        <w:tc>
          <w:tcPr>
            <w:tcW w:type="dxa" w:w="2340"/>
          </w:tcPr>
          <w:p>
            <w:r>
              <w:rPr>
                <w:b w:val="false"/>
                <w:bCs w:val="false"/>
                <w:sz w:val="20"/>
                <w:szCs w:val="20"/>
              </w:rPr>
              <w:t xml:space="preserve">Other / unseen in training</w:t>
            </w:r>
          </w:p>
        </w:tc>
        <w:tc>
          <w:tcPr>
            <w:tcW w:type="dxa" w:w="2340"/>
          </w:tcPr>
          <w:p>
            <w:r>
              <w:rPr>
                <w:b w:val="false"/>
                <w:bCs w:val="false"/>
                <w:sz w:val="20"/>
                <w:szCs w:val="20"/>
              </w:rPr>
              <w:t xml:space="preserve">32</w:t>
            </w:r>
          </w:p>
        </w:tc>
        <w:tc>
          <w:tcPr>
            <w:tcW w:type="dxa" w:w="2340"/>
          </w:tcPr>
          <w:p>
            <w:r>
              <w:rPr>
                <w:b w:val="false"/>
                <w:bCs w:val="false"/>
                <w:sz w:val="20"/>
                <w:szCs w:val="20"/>
              </w:rPr>
              <w:t xml:space="preserve">710</w:t>
            </w:r>
          </w:p>
        </w:tc>
        <w:tc>
          <w:tcPr>
            <w:tcW w:type="dxa" w:w="2340"/>
          </w:tcPr>
          <w:p>
            <w:r>
              <w:rPr>
                <w:b w:val="false"/>
                <w:bCs w:val="false"/>
                <w:sz w:val="20"/>
                <w:szCs w:val="20"/>
              </w:rPr>
              <w:t xml:space="preserve">0.00</w:t>
            </w:r>
          </w:p>
        </w:tc>
      </w:tr>
    </w:tbl>
    <w:p>
      <w:pPr>
        <w:spacing w:after="160" w:before="160"/>
      </w:pPr>
    </w:p>
    <w:p>
      <w:pPr>
        <w:spacing w:after="160"/>
      </w:pPr>
      <w:r>
        <w:rPr>
          <w:sz w:val="22"/>
          <w:szCs w:val="22"/>
        </w:rPr>
        <w:t xml:space="preserve">89% of R2L training records belong to a single subtype (warezclient), which does not even appear in the test set. Conversely, the test set is dominated by guess_passwd (1,231 records) and warezmaster (944 records), which have only 53 and 20 training examples respectively. A further 710 test records (24.6% of R2L) belong to subtypes entirely absent from training. This is a distributional shift, not merely a class imbalance: the model has almost no relevant examples to learn the dominant test-time attack patterns, regardless of overall R2L sample count.</w:t>
      </w:r>
    </w:p>
    <w:p>
      <w:pPr>
        <w:pStyle w:val="Heading2"/>
        <w:spacing w:after="160" w:before="320"/>
      </w:pPr>
      <w:r>
        <w:t xml:space="preserve">5.5 Mitigation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000"/>
        <w:gridCol w:w="960"/>
      </w:tblGrid>
      <w:tr>
        <w:tc>
          <w:tcPr>
            <w:tcW w:type="dxa" w:w="3200"/>
            <w:shd w:fill="1F3864" w:val="clear"/>
          </w:tcPr>
          <w:p>
            <w:r>
              <w:rPr>
                <w:b/>
                <w:bCs/>
                <w:color w:val="FFFFFF"/>
                <w:sz w:val="20"/>
                <w:szCs w:val="20"/>
              </w:rPr>
              <w:t xml:space="preserve">Approach</w:t>
            </w:r>
          </w:p>
        </w:tc>
        <w:tc>
          <w:tcPr>
            <w:tcW w:type="dxa" w:w="1600"/>
            <w:shd w:fill="1F3864" w:val="clear"/>
          </w:tcPr>
          <w:p>
            <w:r>
              <w:rPr>
                <w:b/>
                <w:bCs/>
                <w:color w:val="FFFFFF"/>
                <w:sz w:val="20"/>
                <w:szCs w:val="20"/>
              </w:rPr>
              <w:t xml:space="preserve">R2L Recall</w:t>
            </w:r>
          </w:p>
        </w:tc>
        <w:tc>
          <w:tcPr>
            <w:tcW w:type="dxa" w:w="1600"/>
            <w:shd w:fill="1F3864" w:val="clear"/>
          </w:tcPr>
          <w:p>
            <w:r>
              <w:rPr>
                <w:b/>
                <w:bCs/>
                <w:color w:val="FFFFFF"/>
                <w:sz w:val="20"/>
                <w:szCs w:val="20"/>
              </w:rPr>
              <w:t xml:space="preserve">U2R Recall</w:t>
            </w:r>
          </w:p>
        </w:tc>
        <w:tc>
          <w:tcPr>
            <w:tcW w:type="dxa" w:w="2000"/>
            <w:shd w:fill="1F3864" w:val="clear"/>
          </w:tcPr>
          <w:p>
            <w:r>
              <w:rPr>
                <w:b/>
                <w:bCs/>
                <w:color w:val="FFFFFF"/>
                <w:sz w:val="20"/>
                <w:szCs w:val="20"/>
              </w:rPr>
              <w:t xml:space="preserve">Macro Avg Recall</w:t>
            </w:r>
          </w:p>
        </w:tc>
        <w:tc>
          <w:tcPr>
            <w:tcW w:type="dxa" w:w="960"/>
            <w:shd w:fill="1F3864" w:val="clear"/>
          </w:tcPr>
          <w:p>
            <w:r>
              <w:rPr>
                <w:b/>
                <w:bCs/>
                <w:color w:val="FFFFFF"/>
                <w:sz w:val="20"/>
                <w:szCs w:val="20"/>
              </w:rPr>
              <w:t xml:space="preserve">Accuracy</w:t>
            </w:r>
          </w:p>
        </w:tc>
      </w:tr>
      <w:tr>
        <w:tc>
          <w:tcPr>
            <w:tcW w:type="dxa" w:w="3200"/>
          </w:tcPr>
          <w:p>
            <w:r>
              <w:rPr>
                <w:b w:val="false"/>
                <w:bCs w:val="false"/>
                <w:sz w:val="20"/>
                <w:szCs w:val="20"/>
              </w:rPr>
              <w:t xml:space="preserve">Standard Random Forest</w:t>
            </w:r>
          </w:p>
        </w:tc>
        <w:tc>
          <w:tcPr>
            <w:tcW w:type="dxa" w:w="1600"/>
          </w:tcPr>
          <w:p>
            <w:r>
              <w:rPr>
                <w:b w:val="false"/>
                <w:bCs w:val="false"/>
                <w:sz w:val="20"/>
                <w:szCs w:val="20"/>
              </w:rPr>
              <w:t xml:space="preserve">0.04</w:t>
            </w:r>
          </w:p>
        </w:tc>
        <w:tc>
          <w:tcPr>
            <w:tcW w:type="dxa" w:w="1600"/>
          </w:tcPr>
          <w:p>
            <w:r>
              <w:rPr>
                <w:b w:val="false"/>
                <w:bCs w:val="false"/>
                <w:sz w:val="20"/>
                <w:szCs w:val="20"/>
              </w:rPr>
              <w:t xml:space="preserve">0.03</w:t>
            </w:r>
          </w:p>
        </w:tc>
        <w:tc>
          <w:tcPr>
            <w:tcW w:type="dxa" w:w="2000"/>
          </w:tcPr>
          <w:p>
            <w:r>
              <w:rPr>
                <w:b w:val="false"/>
                <w:bCs w:val="false"/>
                <w:sz w:val="20"/>
                <w:szCs w:val="20"/>
              </w:rPr>
              <w:t xml:space="preserve">0.50</w:t>
            </w:r>
          </w:p>
        </w:tc>
        <w:tc>
          <w:tcPr>
            <w:tcW w:type="dxa" w:w="960"/>
          </w:tcPr>
          <w:p>
            <w:r>
              <w:rPr>
                <w:b w:val="false"/>
                <w:bCs w:val="false"/>
                <w:sz w:val="20"/>
                <w:szCs w:val="20"/>
              </w:rPr>
              <w:t xml:space="preserve">0.75</w:t>
            </w:r>
          </w:p>
        </w:tc>
      </w:tr>
      <w:tr>
        <w:tc>
          <w:tcPr>
            <w:tcW w:type="dxa" w:w="3200"/>
          </w:tcPr>
          <w:p>
            <w:r>
              <w:rPr>
                <w:b w:val="false"/>
                <w:bCs w:val="false"/>
                <w:sz w:val="20"/>
                <w:szCs w:val="20"/>
              </w:rPr>
              <w:t xml:space="preserve">class_weight = "balanced"</w:t>
            </w:r>
          </w:p>
        </w:tc>
        <w:tc>
          <w:tcPr>
            <w:tcW w:type="dxa" w:w="1600"/>
          </w:tcPr>
          <w:p>
            <w:r>
              <w:rPr>
                <w:b w:val="false"/>
                <w:bCs w:val="false"/>
                <w:sz w:val="20"/>
                <w:szCs w:val="20"/>
              </w:rPr>
              <w:t xml:space="preserve">0.00</w:t>
            </w:r>
          </w:p>
        </w:tc>
        <w:tc>
          <w:tcPr>
            <w:tcW w:type="dxa" w:w="1600"/>
          </w:tcPr>
          <w:p>
            <w:r>
              <w:rPr>
                <w:b w:val="false"/>
                <w:bCs w:val="false"/>
                <w:sz w:val="20"/>
                <w:szCs w:val="20"/>
              </w:rPr>
              <w:t xml:space="preserve">0.03</w:t>
            </w:r>
          </w:p>
        </w:tc>
        <w:tc>
          <w:tcPr>
            <w:tcW w:type="dxa" w:w="2000"/>
          </w:tcPr>
          <w:p>
            <w:r>
              <w:rPr>
                <w:b w:val="false"/>
                <w:bCs w:val="false"/>
                <w:sz w:val="20"/>
                <w:szCs w:val="20"/>
              </w:rPr>
              <w:t xml:space="preserve">0.48</w:t>
            </w:r>
          </w:p>
        </w:tc>
        <w:tc>
          <w:tcPr>
            <w:tcW w:type="dxa" w:w="960"/>
          </w:tcPr>
          <w:p>
            <w:r>
              <w:rPr>
                <w:b w:val="false"/>
                <w:bCs w:val="false"/>
                <w:sz w:val="20"/>
                <w:szCs w:val="20"/>
              </w:rPr>
              <w:t xml:space="preserve">0.75</w:t>
            </w:r>
          </w:p>
        </w:tc>
      </w:tr>
      <w:tr>
        <w:tc>
          <w:tcPr>
            <w:tcW w:type="dxa" w:w="3200"/>
          </w:tcPr>
          <w:p>
            <w:r>
              <w:rPr>
                <w:b w:val="false"/>
                <w:bCs w:val="false"/>
                <w:sz w:val="20"/>
                <w:szCs w:val="20"/>
              </w:rPr>
              <w:t xml:space="preserve">SMOTE oversampling</w:t>
            </w:r>
          </w:p>
        </w:tc>
        <w:tc>
          <w:tcPr>
            <w:tcW w:type="dxa" w:w="1600"/>
          </w:tcPr>
          <w:p>
            <w:r>
              <w:rPr>
                <w:b w:val="false"/>
                <w:bCs w:val="false"/>
                <w:sz w:val="20"/>
                <w:szCs w:val="20"/>
              </w:rPr>
              <w:t xml:space="preserve">0.02</w:t>
            </w:r>
          </w:p>
        </w:tc>
        <w:tc>
          <w:tcPr>
            <w:tcW w:type="dxa" w:w="1600"/>
          </w:tcPr>
          <w:p>
            <w:r>
              <w:rPr>
                <w:b w:val="false"/>
                <w:bCs w:val="false"/>
                <w:sz w:val="20"/>
                <w:szCs w:val="20"/>
              </w:rPr>
              <w:t xml:space="preserve">0.09</w:t>
            </w:r>
          </w:p>
        </w:tc>
        <w:tc>
          <w:tcPr>
            <w:tcW w:type="dxa" w:w="2000"/>
          </w:tcPr>
          <w:p>
            <w:r>
              <w:rPr>
                <w:b w:val="false"/>
                <w:bCs w:val="false"/>
                <w:sz w:val="20"/>
                <w:szCs w:val="20"/>
              </w:rPr>
              <w:t xml:space="preserve">0.50</w:t>
            </w:r>
          </w:p>
        </w:tc>
        <w:tc>
          <w:tcPr>
            <w:tcW w:type="dxa" w:w="960"/>
          </w:tcPr>
          <w:p>
            <w:r>
              <w:rPr>
                <w:b w:val="false"/>
                <w:bCs w:val="false"/>
                <w:sz w:val="20"/>
                <w:szCs w:val="20"/>
              </w:rPr>
              <w:t xml:space="preserve">0.75</w:t>
            </w:r>
          </w:p>
        </w:tc>
      </w:tr>
    </w:tbl>
    <w:p>
      <w:pPr>
        <w:spacing w:after="160" w:before="160"/>
      </w:pPr>
    </w:p>
    <w:p>
      <w:pPr>
        <w:spacing w:after="160"/>
      </w:pPr>
      <w:r>
        <w:rPr>
          <w:sz w:val="22"/>
          <w:szCs w:val="22"/>
        </w:rPr>
        <w:t xml:space="preserve">Class weighting did not improve, and slightly worsened, R2L recall, confirming that the problem is not simple imbalance. SMOTE oversampling also failed to improve R2L recall, consistent with the subtype mismatch identified in Section 5.4: synthetic interpolation between existing minority examples cannot recreate attack patterns the model has never seen in any form. SMOTE did, however, roughly triple U2R recall (0.03 to 0.09), suggesting oversampling can help when real examples are merely scarce, as opposed to critically misaligned with the test distribution.</w:t>
      </w:r>
    </w:p>
    <w:p>
      <w:pPr>
        <w:pStyle w:val="Heading1"/>
        <w:spacing w:after="160" w:before="320"/>
      </w:pPr>
      <w:r>
        <w:t xml:space="preserve">6. Discussion</w:t>
      </w:r>
    </w:p>
    <w:p>
      <w:pPr>
        <w:spacing w:after="160"/>
      </w:pPr>
      <w:r>
        <w:rPr>
          <w:sz w:val="22"/>
          <w:szCs w:val="22"/>
        </w:rPr>
        <w:t xml:space="preserve">The results demonstrate that a Random Forest classifier can reliably distinguish normal traffic from DoS and Probe attacks using volume- and repetition-based features, achieving recall above 0.6 for both categories. However, the system is not reliable for detecting R2L and U2R attacks, which are both rare in the training data and behaviourally similar to legitimate traffic.</w:t>
      </w:r>
    </w:p>
    <w:p>
      <w:pPr>
        <w:spacing w:after="160"/>
      </w:pPr>
      <w:r>
        <w:rPr>
          <w:sz w:val="22"/>
          <w:szCs w:val="22"/>
        </w:rPr>
        <w:t xml:space="preserve">Critically, this project's error analysis shows the R2L weakness is driven primarily by a mismatch between which attack subtypes appear in training versus testing, rather than overall class rarity alone. This is a known, intentional property of the NSL-KDD test set, designed to prevent models from achieving unrealistically high scores through memorization. It also means that standard imbalance-correction techniques, such as class weighting and oversampling, have limited ability to close this particular gap, as confirmed experimentally in Section 5.5.</w:t>
      </w:r>
    </w:p>
    <w:p>
      <w:pPr>
        <w:spacing w:after="160"/>
      </w:pPr>
      <w:r>
        <w:rPr>
          <w:sz w:val="22"/>
          <w:szCs w:val="22"/>
        </w:rPr>
        <w:t xml:space="preserve">These findings have practical implications: an IDS built and evaluated only on this dataset, using these features and models, should not be deployed for production use without further work, since it would miss the large majority of real-world R2L-style intrusion attempts such as password guessing.</w:t>
      </w:r>
    </w:p>
    <w:p>
      <w:pPr>
        <w:pStyle w:val="Heading1"/>
        <w:spacing w:after="160" w:before="320"/>
      </w:pPr>
      <w:r>
        <w:t xml:space="preserve">7. Conclusion</w:t>
      </w:r>
    </w:p>
    <w:p>
      <w:pPr>
        <w:spacing w:after="160"/>
      </w:pPr>
      <w:r>
        <w:rPr>
          <w:sz w:val="22"/>
          <w:szCs w:val="22"/>
        </w:rPr>
        <w:t xml:space="preserve">This project implemented a complete machine learning pipeline for network intrusion detection using the NSL-KDD dataset, comparing Logistic Regression and Random Forest models on both binary and multi-class classification tasks. Random Forest consistently outperformed Logistic Regression, achieving 76% accuracy and 0.60 recall on binary classification. In multi-class classification, the model performed well on DoS and Probe attacks but failed to detect the majority of R2L and U2R attacks. Through targeted error analysis, this weakness was traced to a distributional mismatch between training and test attack subtypes rather than simple class imbalance, a conclusion supported by the limited effectiveness of both class weighting and SMOTE oversampling. These results underscore the importance of per-class evaluation and root-cause analysis over aggregate accuracy when developing ML-based security systems.</w:t>
      </w:r>
    </w:p>
    <w:p>
      <w:pPr>
        <w:pStyle w:val="Heading1"/>
        <w:spacing w:after="160" w:before="320"/>
      </w:pPr>
      <w:r>
        <w:t xml:space="preserve">8. Future Work</w:t>
      </w:r>
    </w:p>
    <w:p>
      <w:pPr>
        <w:pStyle w:val="ListParagraph"/>
        <w:numPr>
          <w:ilvl w:val="0"/>
          <w:numId w:val="1"/>
        </w:numPr>
        <w:spacing w:after="100"/>
      </w:pPr>
      <w:r>
        <w:t xml:space="preserve">Evaluate on a more modern, larger-scale dataset such as CICIDS2017/2018 to assess whether findings generalize beyond NSL-KDD</w:t>
      </w:r>
    </w:p>
    <w:p>
      <w:pPr>
        <w:pStyle w:val="ListParagraph"/>
        <w:numPr>
          <w:ilvl w:val="0"/>
          <w:numId w:val="1"/>
        </w:numPr>
        <w:spacing w:after="100"/>
      </w:pPr>
      <w:r>
        <w:t xml:space="preserve">Explore gradient boosting methods (XGBoost, LightGBM) as alternatives to Random Forest</w:t>
      </w:r>
    </w:p>
    <w:p>
      <w:pPr>
        <w:pStyle w:val="ListParagraph"/>
        <w:numPr>
          <w:ilvl w:val="0"/>
          <w:numId w:val="1"/>
        </w:numPr>
        <w:spacing w:after="100"/>
      </w:pPr>
      <w:r>
        <w:t xml:space="preserve">Engineer features specifically targeted at authentication-based attacks (e.g., failed login sequences) to improve R2L detection</w:t>
      </w:r>
    </w:p>
    <w:p>
      <w:pPr>
        <w:pStyle w:val="ListParagraph"/>
        <w:numPr>
          <w:ilvl w:val="0"/>
          <w:numId w:val="1"/>
        </w:numPr>
        <w:spacing w:after="100"/>
      </w:pPr>
      <w:r>
        <w:t xml:space="preserve">Apply k-fold cross-validation for more statistically robust performance estimates</w:t>
      </w:r>
    </w:p>
    <w:p>
      <w:pPr>
        <w:pStyle w:val="ListParagraph"/>
        <w:numPr>
          <w:ilvl w:val="0"/>
          <w:numId w:val="1"/>
        </w:numPr>
        <w:spacing w:after="100"/>
      </w:pPr>
      <w:r>
        <w:t xml:space="preserve">Extend the system toward real-time traffic capture and classification for practical deployment</w:t>
      </w:r>
    </w:p>
    <w:p>
      <w:pPr>
        <w:pStyle w:val="Heading1"/>
        <w:spacing w:after="160" w:before="320"/>
      </w:pPr>
      <w:r>
        <w:t xml:space="preserve">9. References</w:t>
      </w:r>
    </w:p>
    <w:p>
      <w:pPr>
        <w:spacing w:after="160"/>
      </w:pPr>
      <w:r>
        <w:rPr>
          <w:sz w:val="22"/>
          <w:szCs w:val="22"/>
        </w:rPr>
        <w:t xml:space="preserve">[1] M. Tavallaee, E. Bagheri, W. Lu and A. A. Ghorbani, "A Detailed Analysis of the KDD CUP 99 Data Set," in Proc. IEEE Symposium on Computational Intelligence for Security and Defense Applications (CISDA), 2009.</w:t>
      </w:r>
    </w:p>
    <w:p>
      <w:pPr>
        <w:spacing w:after="160"/>
      </w:pPr>
      <w:r>
        <w:rPr>
          <w:sz w:val="22"/>
          <w:szCs w:val="22"/>
        </w:rPr>
        <w:t xml:space="preserve">[2] Canadian Institute for Cybersecurity, "NSL-KDD Dataset," University of New Brunswick. [Online]. Available: https://www.unb.ca/cic/datasets/nsl.html</w:t>
      </w:r>
    </w:p>
    <w:p>
      <w:pPr>
        <w:spacing w:after="160"/>
      </w:pPr>
      <w:r>
        <w:rPr>
          <w:sz w:val="22"/>
          <w:szCs w:val="22"/>
        </w:rPr>
        <w:t xml:space="preserve">[3] Pedregosa, F. et al., "Scikit-learn: Machine Learning in Python," Journal of Machine Learning Research, vol. 12, pp. 2825-2830, 2011.</w:t>
      </w:r>
    </w:p>
    <w:p>
      <w:pPr>
        <w:spacing w:after="160"/>
      </w:pPr>
      <w:r>
        <w:rPr>
          <w:sz w:val="22"/>
          <w:szCs w:val="22"/>
        </w:rPr>
        <w:t xml:space="preserve">[4] Chawla, N. V., Bowyer, K. W., Hall, L. O., and Kegelmeyer, W. P., "SMOTE: Synthetic Minority Over-sampling Technique," Journal of Artificial Intelligence Research, vol. 16, pp. 321-357, 2002.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ML-Based Intrusion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2026-10-02T07:52:38.570Z</dcterms:created>
  <dcterms:modified xsi:type="dcterms:W3CDTF">2026-10-02T07:52:38.577Z</dcterms:modified>
</cp:coreProperties>
</file>

<file path=docProps/custom.xml><?xml version="1.0" encoding="utf-8"?>
<Properties xmlns="http://schemas.openxmlformats.org/officeDocument/2006/custom-properties" xmlns:vt="http://schemas.openxmlformats.org/officeDocument/2006/docPropsVTypes"/>
</file>