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600"/>
        <w:jc w:val="center"/>
      </w:pPr>
      <w:r>
        <w:rPr>
          <w:rFonts w:ascii="Calibri" w:cs="Calibri" w:eastAsia="Calibri" w:hAnsi="Calibri"/>
          <w:b/>
          <w:bCs/>
          <w:color w:val="17324A"/>
          <w:sz w:val="68"/>
          <w:szCs w:val="68"/>
        </w:rPr>
        <w:t xml:space="preserve">TULIS </w:t>
      </w:r>
      <w:r>
        <w:rPr>
          <w:rFonts w:ascii="Calibri" w:cs="Calibri" w:eastAsia="Calibri" w:hAnsi="Calibri"/>
          <w:b/>
          <w:bCs/>
          <w:color w:val="2E86AB"/>
          <w:sz w:val="68"/>
          <w:szCs w:val="68"/>
        </w:rPr>
        <w:t xml:space="preserve">CORPORATE</w:t>
      </w:r>
    </w:p>
    <w:p>
      <w:pPr>
        <w:spacing w:after="40"/>
        <w:jc w:val="center"/>
      </w:pPr>
      <w:r>
        <w:rPr>
          <w:rFonts w:ascii="Calibri" w:cs="Calibri" w:eastAsia="Calibri" w:hAnsi="Calibri"/>
          <w:i/>
          <w:iCs/>
          <w:color w:val="5B6660"/>
          <w:sz w:val="24"/>
          <w:szCs w:val="24"/>
        </w:rPr>
        <w:t xml:space="preserve">One Trip. One Ledger. One Policy. Zero Confusion.</w:t>
      </w:r>
    </w:p>
    <w:p>
      <w:pPr>
        <w:spacing w:after="40" w:before="300"/>
        <w:jc w:val="center"/>
      </w:pPr>
      <w:r>
        <w:rPr>
          <w:rFonts w:ascii="Calibri" w:cs="Calibri" w:eastAsia="Calibri" w:hAnsi="Calibri"/>
          <w:b/>
          <w:bCs/>
          <w:color w:val="1F5A82"/>
          <w:sz w:val="32"/>
          <w:szCs w:val="32"/>
        </w:rPr>
        <w:t xml:space="preserve">Building the World's Best Corporate Trip Planner</w:t>
      </w:r>
    </w:p>
    <w:p>
      <w:pPr>
        <w:spacing w:after="20"/>
        <w:jc w:val="center"/>
      </w:pPr>
      <w:r>
        <w:rPr>
          <w:rFonts w:ascii="Calibri" w:cs="Calibri" w:eastAsia="Calibri" w:hAnsi="Calibri"/>
          <w:color w:val="1B2119"/>
          <w:sz w:val="22"/>
          <w:szCs w:val="22"/>
        </w:rPr>
        <w:t xml:space="preserve">A feature roadmap adapting all six TULIS pillars for business travel, offsites, and B2B trip management</w:t>
      </w:r>
    </w:p>
    <w:p>
      <w:pPr>
        <w:spacing w:before="800"/>
        <w:jc w:val="center"/>
      </w:pPr>
      <w:r>
        <w:rPr>
          <w:rFonts w:ascii="Calibri" w:cs="Calibri" w:eastAsia="Calibri" w:hAnsi="Calibri"/>
          <w:color w:val="5B6660"/>
          <w:sz w:val="20"/>
          <w:szCs w:val="20"/>
        </w:rPr>
        <w:t xml:space="preserve">Prepared for Aditya  ·  26 September 2026</w:t>
      </w:r>
    </w:p>
    <w:p>
      <w:pPr>
        <w:spacing w:before="40"/>
        <w:jc w:val="center"/>
      </w:pPr>
      <w:r>
        <w:rPr>
          <w:rFonts w:ascii="Calibri" w:cs="Calibri" w:eastAsia="Calibri" w:hAnsi="Calibri"/>
          <w:i/>
          <w:iCs/>
          <w:color w:val="5B6660"/>
          <w:sz w:val="18"/>
          <w:szCs w:val="18"/>
        </w:rPr>
        <w:t xml:space="preserve">Working document — ideas at varying stages of feasibility, flagged accordingly</w:t>
      </w:r>
    </w:p>
    <w:p>
      <w:r>
        <w:br w:type="page"/>
      </w:r>
    </w:p>
    <w:p>
      <w:pPr>
        <w:pStyle w:val="Heading1"/>
        <w:pBdr>
          <w:bottom w:val="single" w:color="2E86AB" w:sz="8" w:space="4"/>
        </w:pBdr>
        <w:spacing w:after="200" w:before="400"/>
      </w:pPr>
      <w:r>
        <w:rPr>
          <w:rFonts w:ascii="Calibri" w:cs="Calibri" w:eastAsia="Calibri" w:hAnsi="Calibri"/>
          <w:b/>
          <w:bCs/>
          <w:color w:val="17324A"/>
          <w:sz w:val="32"/>
          <w:szCs w:val="32"/>
        </w:rPr>
        <w:t xml:space="preserve">Why a Separate Corporate Product, Not Just a “Business Mode” Toggle</w:t>
      </w:r>
    </w:p>
    <w:p>
      <w:pPr>
        <w:spacing w:after="160" w:line="300"/>
      </w:pPr>
      <w:r>
        <w:rPr>
          <w:rFonts w:ascii="Calibri" w:cs="Calibri" w:eastAsia="Calibri" w:hAnsi="Calibri"/>
          <w:color w:val="1B2119"/>
          <w:sz w:val="21"/>
          <w:szCs w:val="21"/>
        </w:rPr>
        <w:t xml:space="preserve">The consumer TULIS roadmap already sketches a corporate layer — organizations, expense policies, approval queues, cost centers — as one of four Phase 2 pillars. This document takes that seed and treats it as its own product surface, built on the same six pillars (Trip Planner, Organizer, Arranging, Financial, Safety &amp; Security, AI), because business travel is a genuinely different job than a friends' trip:</w:t>
      </w:r>
    </w:p>
    <w:p>
      <w:pPr>
        <w:pStyle w:val="ListParagraph"/>
        <w:numPr>
          <w:ilvl w:val="0"/>
          <w:numId w:val="2"/>
        </w:numPr>
        <w:spacing w:after="90" w:line="280"/>
      </w:pPr>
      <w:r>
        <w:rPr>
          <w:rFonts w:ascii="Calibri" w:cs="Calibri" w:eastAsia="Calibri" w:hAnsi="Calibri"/>
          <w:color w:val="1B2119"/>
          <w:sz w:val="21"/>
          <w:szCs w:val="21"/>
        </w:rPr>
        <w:t xml:space="preserve">The payer isn't a person, it's a budget line — cost centers, approval thresholds, and reimbursement rules replace “who owes whom.”</w:t>
      </w:r>
    </w:p>
    <w:p>
      <w:pPr>
        <w:pStyle w:val="ListParagraph"/>
        <w:numPr>
          <w:ilvl w:val="0"/>
          <w:numId w:val="2"/>
        </w:numPr>
        <w:spacing w:after="90" w:line="280"/>
      </w:pPr>
      <w:r>
        <w:rPr>
          <w:rFonts w:ascii="Calibri" w:cs="Calibri" w:eastAsia="Calibri" w:hAnsi="Calibri"/>
          <w:color w:val="1B2119"/>
          <w:sz w:val="21"/>
          <w:szCs w:val="21"/>
        </w:rPr>
        <w:t xml:space="preserve">The organizer isn't the trip's most invested friend, it's an admin or travel coordinator managing many trips at once, often for people they don't personally know.</w:t>
      </w:r>
    </w:p>
    <w:p>
      <w:pPr>
        <w:pStyle w:val="ListParagraph"/>
        <w:numPr>
          <w:ilvl w:val="0"/>
          <w:numId w:val="2"/>
        </w:numPr>
        <w:spacing w:after="90" w:line="280"/>
      </w:pPr>
      <w:r>
        <w:rPr>
          <w:rFonts w:ascii="Calibri" w:cs="Calibri" w:eastAsia="Calibri" w:hAnsi="Calibri"/>
          <w:color w:val="1B2119"/>
          <w:sz w:val="21"/>
          <w:szCs w:val="21"/>
        </w:rPr>
        <w:t xml:space="preserve">“Safety” becomes a legal duty of care, not just a nice-to-have — companies have real obligations toward travelling employees that friend groups don't.</w:t>
      </w:r>
    </w:p>
    <w:p>
      <w:pPr>
        <w:pStyle w:val="ListParagraph"/>
        <w:numPr>
          <w:ilvl w:val="0"/>
          <w:numId w:val="2"/>
        </w:numPr>
        <w:spacing w:after="90" w:line="280"/>
      </w:pPr>
      <w:r>
        <w:rPr>
          <w:rFonts w:ascii="Calibri" w:cs="Calibri" w:eastAsia="Calibri" w:hAnsi="Calibri"/>
          <w:color w:val="1B2119"/>
          <w:sz w:val="21"/>
          <w:szCs w:val="21"/>
        </w:rPr>
        <w:t xml:space="preserve">Trust and compliance requirements (audit trails, data handling, approval evidence) are the entire sale, not a feature among many.</w:t>
      </w:r>
    </w:p>
    <w:p>
      <w:pPr>
        <w:spacing w:after="160" w:line="300"/>
      </w:pPr>
      <w:r>
        <w:rPr>
          <w:rFonts w:ascii="Calibri" w:cs="Calibri" w:eastAsia="Calibri" w:hAnsi="Calibri"/>
          <w:color w:val="1B2119"/>
          <w:sz w:val="21"/>
          <w:szCs w:val="21"/>
        </w:rPr>
        <w:t xml:space="preserve">The zero-sum, event-sourced ledger core stays identical — that's the asset. What changes is who's asking “who owes whom, and why,” and what they need proven to them.</w:t>
      </w:r>
    </w:p>
    <w:p>
      <w:pPr>
        <w:spacing w:after="160"/>
      </w:pPr>
    </w:p>
    <w:p>
      <w:pPr>
        <w:pStyle w:val="Heading1"/>
        <w:pBdr>
          <w:bottom w:val="single" w:color="2E86AB" w:sz="8" w:space="4"/>
        </w:pBdr>
        <w:spacing w:after="200" w:before="400"/>
      </w:pPr>
      <w:r>
        <w:rPr>
          <w:rFonts w:ascii="Calibri" w:cs="Calibri" w:eastAsia="Calibri" w:hAnsi="Calibri"/>
          <w:b/>
          <w:bCs/>
          <w:color w:val="17324A"/>
          <w:sz w:val="32"/>
          <w:szCs w:val="32"/>
        </w:rPr>
        <w:t xml:space="preserve">Pillar 1 — Trip Planner (Corporate)</w:t>
      </w:r>
    </w:p>
    <w:p>
      <w:pPr>
        <w:spacing w:after="160" w:line="300"/>
      </w:pPr>
      <w:r>
        <w:rPr>
          <w:rFonts w:ascii="Calibri" w:cs="Calibri" w:eastAsia="Calibri" w:hAnsi="Calibri"/>
          <w:color w:val="1B2119"/>
          <w:sz w:val="21"/>
          <w:szCs w:val="21"/>
        </w:rPr>
        <w:t xml:space="preserve">For a company, “planning a trip” means offsites, client visits, conferences, and recurring sales travel — each with a different shape, and all of them constrained by a travel policy the traveller didn't write.</w:t>
      </w:r>
    </w:p>
    <w:tbl>
      <w:tblPr>
        <w:tblW w:type="dxa" w:w="9100"/>
        <w:tblBorders>
          <w:top w:val="single" w:color="C9D5DE" w:sz="2"/>
          <w:left w:val="single" w:color="C9D5DE" w:sz="2"/>
          <w:bottom w:val="single" w:color="C9D5DE" w:sz="2"/>
          <w:right w:val="single" w:color="C9D5DE" w:sz="2"/>
          <w:insideH w:val="single" w:color="C9D5DE" w:sz="2"/>
          <w:insideV w:val="single" w:color="C9D5DE" w:sz="2"/>
        </w:tblBorders>
      </w:tblPr>
      <w:tblGrid>
        <w:gridCol w:w="2200"/>
        <w:gridCol w:w="3600"/>
        <w:gridCol w:w="3300"/>
      </w:tblGrid>
      <w:tr>
        <w:trPr>
          <w:tblHeader/>
        </w:trPr>
        <w:tc>
          <w:tcPr>
            <w:tcW w:type="dxa" w:w="2200"/>
            <w:shd w:fill="E7F0F6" w:val="clear"/>
            <w:tcMar>
              <w:top w:type="dxa" w:w="80"/>
              <w:left w:type="dxa" w:w="100"/>
              <w:bottom w:type="dxa" w:w="80"/>
              <w:right w:type="dxa" w:w="100"/>
            </w:tcMar>
          </w:tcPr>
          <w:p>
            <w:r>
              <w:rPr>
                <w:rFonts w:ascii="Calibri" w:cs="Calibri" w:eastAsia="Calibri" w:hAnsi="Calibri"/>
                <w:b/>
                <w:bCs/>
                <w:color w:val="1F5A82"/>
                <w:sz w:val="19"/>
                <w:szCs w:val="19"/>
              </w:rPr>
              <w:t xml:space="preserve">Feature</w:t>
            </w:r>
          </w:p>
        </w:tc>
        <w:tc>
          <w:tcPr>
            <w:tcW w:type="dxa" w:w="3600"/>
            <w:shd w:fill="E7F0F6" w:val="clear"/>
            <w:tcMar>
              <w:top w:type="dxa" w:w="80"/>
              <w:left w:type="dxa" w:w="100"/>
              <w:bottom w:type="dxa" w:w="80"/>
              <w:right w:type="dxa" w:w="100"/>
            </w:tcMar>
          </w:tcPr>
          <w:p>
            <w:r>
              <w:rPr>
                <w:rFonts w:ascii="Calibri" w:cs="Calibri" w:eastAsia="Calibri" w:hAnsi="Calibri"/>
                <w:b/>
                <w:bCs/>
                <w:color w:val="1F5A82"/>
                <w:sz w:val="19"/>
                <w:szCs w:val="19"/>
              </w:rPr>
              <w:t xml:space="preserve">What it does</w:t>
            </w:r>
          </w:p>
        </w:tc>
        <w:tc>
          <w:tcPr>
            <w:tcW w:type="dxa" w:w="3300"/>
            <w:shd w:fill="E7F0F6" w:val="clear"/>
            <w:tcMar>
              <w:top w:type="dxa" w:w="80"/>
              <w:left w:type="dxa" w:w="100"/>
              <w:bottom w:type="dxa" w:w="80"/>
              <w:right w:type="dxa" w:w="100"/>
            </w:tcMar>
          </w:tcPr>
          <w:p>
            <w:r>
              <w:rPr>
                <w:rFonts w:ascii="Calibri" w:cs="Calibri" w:eastAsia="Calibri" w:hAnsi="Calibri"/>
                <w:b/>
                <w:bCs/>
                <w:color w:val="1F5A82"/>
                <w:sz w:val="19"/>
                <w:szCs w:val="19"/>
              </w:rPr>
              <w:t xml:space="preserve">Why it matters</w:t>
            </w:r>
          </w:p>
        </w:tc>
      </w:tr>
      <w:tr>
        <w:tc>
          <w:tcPr>
            <w:tcW w:type="dxa" w:w="2200"/>
            <w:shd w:fill="FFFFFF" w:val="clear"/>
            <w:tcMar>
              <w:top w:type="dxa" w:w="80"/>
              <w:left w:type="dxa" w:w="100"/>
              <w:bottom w:type="dxa" w:w="80"/>
              <w:right w:type="dxa" w:w="100"/>
            </w:tcMar>
            <w:vAlign w:val="center"/>
          </w:tcPr>
          <w:p>
            <w:pPr>
              <w:spacing w:line="260"/>
            </w:pPr>
            <w:r>
              <w:rPr>
                <w:rFonts w:ascii="Calibri" w:cs="Calibri" w:eastAsia="Calibri" w:hAnsi="Calibri"/>
                <w:b/>
                <w:bCs/>
                <w:color w:val="1B2119"/>
                <w:sz w:val="19"/>
                <w:szCs w:val="19"/>
              </w:rPr>
              <w:t xml:space="preserve">Trip-type templates</w:t>
            </w:r>
          </w:p>
        </w:tc>
        <w:tc>
          <w:tcPr>
            <w:tcW w:type="dxa" w:w="3600"/>
            <w:shd w:fill="FFFFFF" w:val="clear"/>
            <w:tcMar>
              <w:top w:type="dxa" w:w="80"/>
              <w:left w:type="dxa" w:w="100"/>
              <w:bottom w:type="dxa" w:w="80"/>
              <w:right w:type="dxa" w:w="100"/>
            </w:tcMar>
            <w:vAlign w:val="center"/>
          </w:tcPr>
          <w:p>
            <w:pPr>
              <w:spacing w:line="260"/>
            </w:pPr>
            <w:r>
              <w:rPr>
                <w:rFonts w:ascii="Calibri" w:cs="Calibri" w:eastAsia="Calibri" w:hAnsi="Calibri"/>
                <w:b w:val="false"/>
                <w:bCs w:val="false"/>
                <w:color w:val="1B2119"/>
                <w:sz w:val="19"/>
                <w:szCs w:val="19"/>
              </w:rPr>
              <w:t xml:space="preserve">Pre-built flows for offsite, client visit, conference, and sales trip, each with sensible defaults and required fields.</w:t>
            </w:r>
          </w:p>
        </w:tc>
        <w:tc>
          <w:tcPr>
            <w:tcW w:type="dxa" w:w="3300"/>
            <w:shd w:fill="FFFFFF" w:val="clear"/>
            <w:tcMar>
              <w:top w:type="dxa" w:w="80"/>
              <w:left w:type="dxa" w:w="100"/>
              <w:bottom w:type="dxa" w:w="80"/>
              <w:right w:type="dxa" w:w="100"/>
            </w:tcMar>
            <w:vAlign w:val="center"/>
          </w:tcPr>
          <w:p>
            <w:pPr>
              <w:spacing w:line="260"/>
            </w:pPr>
            <w:r>
              <w:rPr>
                <w:rFonts w:ascii="Calibri" w:cs="Calibri" w:eastAsia="Calibri" w:hAnsi="Calibri"/>
                <w:b w:val="false"/>
                <w:bCs w:val="false"/>
                <w:color w:val="1B2119"/>
                <w:sz w:val="19"/>
                <w:szCs w:val="19"/>
              </w:rPr>
              <w:t xml:space="preserve">A client visit and a team offsite need different data (billable client vs. team headcount) — one generic form serves neither well.</w:t>
            </w:r>
          </w:p>
        </w:tc>
      </w:tr>
      <w:tr>
        <w:tc>
          <w:tcPr>
            <w:tcW w:type="dxa" w:w="2200"/>
            <w:shd w:fill="F2F7FA" w:val="clear"/>
            <w:tcMar>
              <w:top w:type="dxa" w:w="80"/>
              <w:left w:type="dxa" w:w="100"/>
              <w:bottom w:type="dxa" w:w="80"/>
              <w:right w:type="dxa" w:w="100"/>
            </w:tcMar>
            <w:vAlign w:val="center"/>
          </w:tcPr>
          <w:p>
            <w:pPr>
              <w:spacing w:line="260"/>
            </w:pPr>
            <w:r>
              <w:rPr>
                <w:rFonts w:ascii="Calibri" w:cs="Calibri" w:eastAsia="Calibri" w:hAnsi="Calibri"/>
                <w:b/>
                <w:bCs/>
                <w:color w:val="1B2119"/>
                <w:sz w:val="19"/>
                <w:szCs w:val="19"/>
              </w:rPr>
              <w:t xml:space="preserve">Policy-aware itinerary generation</w:t>
            </w:r>
          </w:p>
        </w:tc>
        <w:tc>
          <w:tcPr>
            <w:tcW w:type="dxa" w:w="3600"/>
            <w:shd w:fill="F2F7FA" w:val="clear"/>
            <w:tcMar>
              <w:top w:type="dxa" w:w="80"/>
              <w:left w:type="dxa" w:w="100"/>
              <w:bottom w:type="dxa" w:w="80"/>
              <w:right w:type="dxa" w:w="100"/>
            </w:tcMar>
            <w:vAlign w:val="center"/>
          </w:tcPr>
          <w:p>
            <w:pPr>
              <w:spacing w:line="260"/>
            </w:pPr>
            <w:r>
              <w:rPr>
                <w:rFonts w:ascii="Calibri" w:cs="Calibri" w:eastAsia="Calibri" w:hAnsi="Calibri"/>
                <w:b w:val="false"/>
                <w:bCs w:val="false"/>
                <w:color w:val="1B2119"/>
                <w:sz w:val="19"/>
                <w:szCs w:val="19"/>
              </w:rPr>
              <w:t xml:space="preserve">Gogo filters every suggestion — flight class, hotel tier, per-diem meals — through the traveller's actual company policy automatically.</w:t>
            </w:r>
          </w:p>
        </w:tc>
        <w:tc>
          <w:tcPr>
            <w:tcW w:type="dxa" w:w="3300"/>
            <w:shd w:fill="F2F7FA" w:val="clear"/>
            <w:tcMar>
              <w:top w:type="dxa" w:w="80"/>
              <w:left w:type="dxa" w:w="100"/>
              <w:bottom w:type="dxa" w:w="80"/>
              <w:right w:type="dxa" w:w="100"/>
            </w:tcMar>
            <w:vAlign w:val="center"/>
          </w:tcPr>
          <w:p>
            <w:pPr>
              <w:spacing w:line="260"/>
            </w:pPr>
            <w:r>
              <w:rPr>
                <w:rFonts w:ascii="Calibri" w:cs="Calibri" w:eastAsia="Calibri" w:hAnsi="Calibri"/>
                <w:b w:val="false"/>
                <w:bCs w:val="false"/>
                <w:color w:val="1B2119"/>
                <w:sz w:val="19"/>
                <w:szCs w:val="19"/>
              </w:rPr>
              <w:t xml:space="preserve">Removes the single biggest source of corporate travel friction: booking something that gets rejected at approval time.</w:t>
            </w:r>
          </w:p>
        </w:tc>
      </w:tr>
      <w:tr>
        <w:tc>
          <w:tcPr>
            <w:tcW w:type="dxa" w:w="2200"/>
            <w:shd w:fill="FFFFFF" w:val="clear"/>
            <w:tcMar>
              <w:top w:type="dxa" w:w="80"/>
              <w:left w:type="dxa" w:w="100"/>
              <w:bottom w:type="dxa" w:w="80"/>
              <w:right w:type="dxa" w:w="100"/>
            </w:tcMar>
            <w:vAlign w:val="center"/>
          </w:tcPr>
          <w:p>
            <w:pPr>
              <w:spacing w:line="260"/>
            </w:pPr>
            <w:r>
              <w:rPr>
                <w:rFonts w:ascii="Calibri" w:cs="Calibri" w:eastAsia="Calibri" w:hAnsi="Calibri"/>
                <w:b/>
                <w:bCs/>
                <w:color w:val="1B2119"/>
                <w:sz w:val="19"/>
                <w:szCs w:val="19"/>
              </w:rPr>
              <w:t xml:space="preserve">Approval-gated draft-to-booking flow</w:t>
            </w:r>
          </w:p>
        </w:tc>
        <w:tc>
          <w:tcPr>
            <w:tcW w:type="dxa" w:w="3600"/>
            <w:shd w:fill="FFFFFF" w:val="clear"/>
            <w:tcMar>
              <w:top w:type="dxa" w:w="80"/>
              <w:left w:type="dxa" w:w="100"/>
              <w:bottom w:type="dxa" w:w="80"/>
              <w:right w:type="dxa" w:w="100"/>
            </w:tcMar>
            <w:vAlign w:val="center"/>
          </w:tcPr>
          <w:p>
            <w:pPr>
              <w:spacing w:line="260"/>
            </w:pPr>
            <w:r>
              <w:rPr>
                <w:rFonts w:ascii="Calibri" w:cs="Calibri" w:eastAsia="Calibri" w:hAnsi="Calibri"/>
                <w:b w:val="false"/>
                <w:bCs w:val="false"/>
                <w:color w:val="1B2119"/>
                <w:sz w:val="19"/>
                <w:szCs w:val="19"/>
              </w:rPr>
              <w:t xml:space="preserve">A trip draft requires manager or travel-desk sign-off before it converts into real bookings.</w:t>
            </w:r>
          </w:p>
        </w:tc>
        <w:tc>
          <w:tcPr>
            <w:tcW w:type="dxa" w:w="3300"/>
            <w:shd w:fill="FFFFFF" w:val="clear"/>
            <w:tcMar>
              <w:top w:type="dxa" w:w="80"/>
              <w:left w:type="dxa" w:w="100"/>
              <w:bottom w:type="dxa" w:w="80"/>
              <w:right w:type="dxa" w:w="100"/>
            </w:tcMar>
            <w:vAlign w:val="center"/>
          </w:tcPr>
          <w:p>
            <w:pPr>
              <w:spacing w:line="260"/>
            </w:pPr>
            <w:r>
              <w:rPr>
                <w:rFonts w:ascii="Calibri" w:cs="Calibri" w:eastAsia="Calibri" w:hAnsi="Calibri"/>
                <w:b w:val="false"/>
                <w:bCs w:val="false"/>
                <w:color w:val="1B2119"/>
                <w:sz w:val="19"/>
                <w:szCs w:val="19"/>
              </w:rPr>
              <w:t xml:space="preserve">Matches how corporate travel actually has to work — spend needs sign-off before it happens, not just after.</w:t>
            </w:r>
          </w:p>
        </w:tc>
      </w:tr>
      <w:tr>
        <w:tc>
          <w:tcPr>
            <w:tcW w:type="dxa" w:w="2200"/>
            <w:shd w:fill="F2F7FA" w:val="clear"/>
            <w:tcMar>
              <w:top w:type="dxa" w:w="80"/>
              <w:left w:type="dxa" w:w="100"/>
              <w:bottom w:type="dxa" w:w="80"/>
              <w:right w:type="dxa" w:w="100"/>
            </w:tcMar>
            <w:vAlign w:val="center"/>
          </w:tcPr>
          <w:p>
            <w:pPr>
              <w:spacing w:line="260"/>
            </w:pPr>
            <w:r>
              <w:rPr>
                <w:rFonts w:ascii="Calibri" w:cs="Calibri" w:eastAsia="Calibri" w:hAnsi="Calibri"/>
                <w:b/>
                <w:bCs/>
                <w:color w:val="1B2119"/>
                <w:sz w:val="19"/>
                <w:szCs w:val="19"/>
              </w:rPr>
              <w:t xml:space="preserve">Consolidated multi-employee booking</w:t>
            </w:r>
          </w:p>
        </w:tc>
        <w:tc>
          <w:tcPr>
            <w:tcW w:type="dxa" w:w="3600"/>
            <w:shd w:fill="F2F7FA" w:val="clear"/>
            <w:tcMar>
              <w:top w:type="dxa" w:w="80"/>
              <w:left w:type="dxa" w:w="100"/>
              <w:bottom w:type="dxa" w:w="80"/>
              <w:right w:type="dxa" w:w="100"/>
            </w:tcMar>
            <w:vAlign w:val="center"/>
          </w:tcPr>
          <w:p>
            <w:pPr>
              <w:spacing w:line="260"/>
            </w:pPr>
            <w:r>
              <w:rPr>
                <w:rFonts w:ascii="Calibri" w:cs="Calibri" w:eastAsia="Calibri" w:hAnsi="Calibri"/>
                <w:b w:val="false"/>
                <w:bCs w:val="false"/>
                <w:color w:val="1B2119"/>
                <w:sz w:val="19"/>
                <w:szCs w:val="19"/>
              </w:rPr>
              <w:t xml:space="preserve">One admin plans and books for many employees attending the same event in a single flow, not trip-by-trip.</w:t>
            </w:r>
          </w:p>
        </w:tc>
        <w:tc>
          <w:tcPr>
            <w:tcW w:type="dxa" w:w="3300"/>
            <w:shd w:fill="F2F7FA" w:val="clear"/>
            <w:tcMar>
              <w:top w:type="dxa" w:w="80"/>
              <w:left w:type="dxa" w:w="100"/>
              <w:bottom w:type="dxa" w:w="80"/>
              <w:right w:type="dxa" w:w="100"/>
            </w:tcMar>
            <w:vAlign w:val="center"/>
          </w:tcPr>
          <w:p>
            <w:pPr>
              <w:spacing w:line="260"/>
            </w:pPr>
            <w:r>
              <w:rPr>
                <w:rFonts w:ascii="Calibri" w:cs="Calibri" w:eastAsia="Calibri" w:hAnsi="Calibri"/>
                <w:b w:val="false"/>
                <w:bCs w:val="false"/>
                <w:color w:val="1B2119"/>
                <w:sz w:val="19"/>
                <w:szCs w:val="19"/>
              </w:rPr>
              <w:t xml:space="preserve">The realistic corporate case (12 people flying to the same conference) is painful today in every consumer-first tool.</w:t>
            </w:r>
          </w:p>
        </w:tc>
      </w:tr>
      <w:tr>
        <w:tc>
          <w:tcPr>
            <w:tcW w:type="dxa" w:w="2200"/>
            <w:shd w:fill="FFFFFF" w:val="clear"/>
            <w:tcMar>
              <w:top w:type="dxa" w:w="80"/>
              <w:left w:type="dxa" w:w="100"/>
              <w:bottom w:type="dxa" w:w="80"/>
              <w:right w:type="dxa" w:w="100"/>
            </w:tcMar>
            <w:vAlign w:val="center"/>
          </w:tcPr>
          <w:p>
            <w:pPr>
              <w:spacing w:line="260"/>
            </w:pPr>
            <w:r>
              <w:rPr>
                <w:rFonts w:ascii="Calibri" w:cs="Calibri" w:eastAsia="Calibri" w:hAnsi="Calibri"/>
                <w:b/>
                <w:bCs/>
                <w:color w:val="1B2119"/>
                <w:sz w:val="19"/>
                <w:szCs w:val="19"/>
              </w:rPr>
              <w:t xml:space="preserve">Offsite / team-building venue mode</w:t>
            </w:r>
          </w:p>
        </w:tc>
        <w:tc>
          <w:tcPr>
            <w:tcW w:type="dxa" w:w="3600"/>
            <w:shd w:fill="FFFFFF" w:val="clear"/>
            <w:tcMar>
              <w:top w:type="dxa" w:w="80"/>
              <w:left w:type="dxa" w:w="100"/>
              <w:bottom w:type="dxa" w:w="80"/>
              <w:right w:type="dxa" w:w="100"/>
            </w:tcMar>
            <w:vAlign w:val="center"/>
          </w:tcPr>
          <w:p>
            <w:pPr>
              <w:spacing w:line="260"/>
            </w:pPr>
            <w:r>
              <w:rPr>
                <w:rFonts w:ascii="Calibri" w:cs="Calibri" w:eastAsia="Calibri" w:hAnsi="Calibri"/>
                <w:b w:val="false"/>
                <w:bCs w:val="false"/>
                <w:color w:val="1B2119"/>
                <w:sz w:val="19"/>
                <w:szCs w:val="19"/>
              </w:rPr>
              <w:t xml:space="preserve">Venue and activity suggestions specifically for team offsites, factoring headcount, budget, and meeting-room needs.</w:t>
            </w:r>
          </w:p>
        </w:tc>
        <w:tc>
          <w:tcPr>
            <w:tcW w:type="dxa" w:w="3300"/>
            <w:shd w:fill="FFFFFF" w:val="clear"/>
            <w:tcMar>
              <w:top w:type="dxa" w:w="80"/>
              <w:left w:type="dxa" w:w="100"/>
              <w:bottom w:type="dxa" w:w="80"/>
              <w:right w:type="dxa" w:w="100"/>
            </w:tcMar>
            <w:vAlign w:val="center"/>
          </w:tcPr>
          <w:p>
            <w:pPr>
              <w:spacing w:line="260"/>
            </w:pPr>
            <w:r>
              <w:rPr>
                <w:rFonts w:ascii="Calibri" w:cs="Calibri" w:eastAsia="Calibri" w:hAnsi="Calibri"/>
                <w:b w:val="false"/>
                <w:bCs w:val="false"/>
                <w:color w:val="1B2119"/>
                <w:sz w:val="19"/>
                <w:szCs w:val="19"/>
              </w:rPr>
              <w:t xml:space="preserve">A genuinely different planning job from booking flights and hotels — deserves its own guided flow.</w:t>
            </w:r>
          </w:p>
        </w:tc>
      </w:tr>
      <w:tr>
        <w:tc>
          <w:tcPr>
            <w:tcW w:type="dxa" w:w="2200"/>
            <w:shd w:fill="F2F7FA" w:val="clear"/>
            <w:tcMar>
              <w:top w:type="dxa" w:w="80"/>
              <w:left w:type="dxa" w:w="100"/>
              <w:bottom w:type="dxa" w:w="80"/>
              <w:right w:type="dxa" w:w="100"/>
            </w:tcMar>
            <w:vAlign w:val="center"/>
          </w:tcPr>
          <w:p>
            <w:pPr>
              <w:spacing w:line="260"/>
            </w:pPr>
            <w:r>
              <w:rPr>
                <w:rFonts w:ascii="Calibri" w:cs="Calibri" w:eastAsia="Calibri" w:hAnsi="Calibri"/>
                <w:b/>
                <w:bCs/>
                <w:color w:val="1B2119"/>
                <w:sz w:val="19"/>
                <w:szCs w:val="19"/>
              </w:rPr>
              <w:t xml:space="preserve">Calendar-aware scheduling</w:t>
            </w:r>
          </w:p>
        </w:tc>
        <w:tc>
          <w:tcPr>
            <w:tcW w:type="dxa" w:w="3600"/>
            <w:shd w:fill="F2F7FA" w:val="clear"/>
            <w:tcMar>
              <w:top w:type="dxa" w:w="80"/>
              <w:left w:type="dxa" w:w="100"/>
              <w:bottom w:type="dxa" w:w="80"/>
              <w:right w:type="dxa" w:w="100"/>
            </w:tcMar>
            <w:vAlign w:val="center"/>
          </w:tcPr>
          <w:p>
            <w:pPr>
              <w:spacing w:line="260"/>
            </w:pPr>
            <w:r>
              <w:rPr>
                <w:rFonts w:ascii="Calibri" w:cs="Calibri" w:eastAsia="Calibri" w:hAnsi="Calibri"/>
                <w:b w:val="false"/>
                <w:bCs w:val="false"/>
                <w:color w:val="1B2119"/>
                <w:sz w:val="19"/>
                <w:szCs w:val="19"/>
              </w:rPr>
              <w:t xml:space="preserve">Checks the itinerary against the traveller's and attendees' company calendars for meeting conflicts.</w:t>
            </w:r>
          </w:p>
        </w:tc>
        <w:tc>
          <w:tcPr>
            <w:tcW w:type="dxa" w:w="3300"/>
            <w:shd w:fill="F2F7FA" w:val="clear"/>
            <w:tcMar>
              <w:top w:type="dxa" w:w="80"/>
              <w:left w:type="dxa" w:w="100"/>
              <w:bottom w:type="dxa" w:w="80"/>
              <w:right w:type="dxa" w:w="100"/>
            </w:tcMar>
            <w:vAlign w:val="center"/>
          </w:tcPr>
          <w:p>
            <w:pPr>
              <w:spacing w:line="260"/>
            </w:pPr>
            <w:r>
              <w:rPr>
                <w:rFonts w:ascii="Calibri" w:cs="Calibri" w:eastAsia="Calibri" w:hAnsi="Calibri"/>
                <w:b w:val="false"/>
                <w:bCs w:val="false"/>
                <w:color w:val="1B2119"/>
                <w:sz w:val="19"/>
                <w:szCs w:val="19"/>
              </w:rPr>
              <w:t xml:space="preserve">A missed internal meeting because of a badly timed flight is a real, recurring corporate travel complaint.</w:t>
            </w:r>
          </w:p>
        </w:tc>
      </w:tr>
      <w:tr>
        <w:tc>
          <w:tcPr>
            <w:tcW w:type="dxa" w:w="2200"/>
            <w:shd w:fill="FFFFFF" w:val="clear"/>
            <w:tcMar>
              <w:top w:type="dxa" w:w="80"/>
              <w:left w:type="dxa" w:w="100"/>
              <w:bottom w:type="dxa" w:w="80"/>
              <w:right w:type="dxa" w:w="100"/>
            </w:tcMar>
            <w:vAlign w:val="center"/>
          </w:tcPr>
          <w:p>
            <w:pPr>
              <w:spacing w:line="260"/>
            </w:pPr>
            <w:r>
              <w:rPr>
                <w:rFonts w:ascii="Calibri" w:cs="Calibri" w:eastAsia="Calibri" w:hAnsi="Calibri"/>
                <w:b/>
                <w:bCs/>
                <w:color w:val="1B2119"/>
                <w:sz w:val="19"/>
                <w:szCs w:val="19"/>
              </w:rPr>
              <w:t xml:space="preserve">Recurring trip templates</w:t>
            </w:r>
          </w:p>
        </w:tc>
        <w:tc>
          <w:tcPr>
            <w:tcW w:type="dxa" w:w="3600"/>
            <w:shd w:fill="FFFFFF" w:val="clear"/>
            <w:tcMar>
              <w:top w:type="dxa" w:w="80"/>
              <w:left w:type="dxa" w:w="100"/>
              <w:bottom w:type="dxa" w:w="80"/>
              <w:right w:type="dxa" w:w="100"/>
            </w:tcMar>
            <w:vAlign w:val="center"/>
          </w:tcPr>
          <w:p>
            <w:pPr>
              <w:spacing w:line="260"/>
            </w:pPr>
            <w:r>
              <w:rPr>
                <w:rFonts w:ascii="Calibri" w:cs="Calibri" w:eastAsia="Calibri" w:hAnsi="Calibri"/>
                <w:b w:val="false"/>
                <w:bCs w:val="false"/>
                <w:color w:val="1B2119"/>
                <w:sz w:val="19"/>
                <w:szCs w:val="19"/>
              </w:rPr>
              <w:t xml:space="preserve">Save a recurring trip (quarterly regional sales visit, monthly client check-in) as a reusable template.</w:t>
            </w:r>
          </w:p>
        </w:tc>
        <w:tc>
          <w:tcPr>
            <w:tcW w:type="dxa" w:w="3300"/>
            <w:shd w:fill="FFFFFF" w:val="clear"/>
            <w:tcMar>
              <w:top w:type="dxa" w:w="80"/>
              <w:left w:type="dxa" w:w="100"/>
              <w:bottom w:type="dxa" w:w="80"/>
              <w:right w:type="dxa" w:w="100"/>
            </w:tcMar>
            <w:vAlign w:val="center"/>
          </w:tcPr>
          <w:p>
            <w:pPr>
              <w:spacing w:line="260"/>
            </w:pPr>
            <w:r>
              <w:rPr>
                <w:rFonts w:ascii="Calibri" w:cs="Calibri" w:eastAsia="Calibri" w:hAnsi="Calibri"/>
                <w:b w:val="false"/>
                <w:bCs w:val="false"/>
                <w:color w:val="1B2119"/>
                <w:sz w:val="19"/>
                <w:szCs w:val="19"/>
              </w:rPr>
              <w:t xml:space="preserve">Corporate travel is disproportionately repetitive compared to leisure trips — this is where automation pays off fastest.</w:t>
            </w:r>
          </w:p>
        </w:tc>
      </w:tr>
    </w:tbl>
    <w:p>
      <w:pPr>
        <w:spacing w:after="160"/>
      </w:pPr>
    </w:p>
    <w:tbl>
      <w:tblPr>
        <w:tblW w:type="pct" w:w="100%"/>
        <w:tblBorders>
          <w:top w:val="single" w:color="9C7A1E" w:sz="4"/>
          <w:left w:val="single" w:color="9C7A1E" w:sz="24"/>
          <w:bottom w:val="single" w:color="9C7A1E" w:sz="4"/>
          <w:right w:val="single" w:color="9C7A1E" w:sz="4"/>
          <w:insideH w:val="single" w:color="auto" w:sz="4"/>
          <w:insideV w:val="single" w:color="auto" w:sz="4"/>
        </w:tblBorders>
      </w:tblPr>
      <w:tblGrid>
        <w:gridCol w:w="100"/>
      </w:tblGrid>
      <w:tr>
        <w:tc>
          <w:tcPr>
            <w:tcW w:type="pct" w:w="100%"/>
            <w:shd w:fill="FBF3DC" w:val="clear"/>
            <w:tcMar>
              <w:top w:type="dxa" w:w="140"/>
              <w:left w:type="dxa" w:w="220"/>
              <w:bottom w:type="dxa" w:w="140"/>
              <w:right w:type="dxa" w:w="220"/>
            </w:tcMar>
          </w:tcPr>
          <w:p>
            <w:pPr>
              <w:spacing w:after="80"/>
            </w:pPr>
            <w:r>
              <w:rPr>
                <w:rFonts w:ascii="Calibri" w:cs="Calibri" w:eastAsia="Calibri" w:hAnsi="Calibri"/>
                <w:b/>
                <w:bCs/>
                <w:color w:val="9C7A1E"/>
                <w:sz w:val="19"/>
                <w:szCs w:val="19"/>
              </w:rPr>
              <w:t xml:space="preserve">MOONSHOT — </w:t>
            </w:r>
            <w:r>
              <w:rPr>
                <w:rFonts w:ascii="Calibri" w:cs="Calibri" w:eastAsia="Calibri" w:hAnsi="Calibri"/>
                <w:b/>
                <w:bCs/>
                <w:color w:val="1B2119"/>
                <w:sz w:val="21"/>
                <w:szCs w:val="21"/>
              </w:rPr>
              <w:t xml:space="preserve">The itinerary that already knows the policy, before anyone has to check.</w:t>
            </w:r>
          </w:p>
          <w:p>
            <w:pPr>
              <w:spacing w:after="60" w:line="280"/>
              <w:ind w:left="120"/>
            </w:pPr>
            <w:r>
              <w:rPr>
                <w:rFonts w:ascii="Calibri" w:cs="Calibri" w:eastAsia="Calibri" w:hAnsi="Calibri"/>
                <w:color w:val="1B2119"/>
                <w:sz w:val="20"/>
                <w:szCs w:val="20"/>
              </w:rPr>
              <w:t xml:space="preserve">•  Policy-aware generation means an employee never drafts something that gets rejected two days later — the constraint is applied at generation time, not enforcement time.</w:t>
            </w:r>
          </w:p>
          <w:p>
            <w:pPr>
              <w:spacing w:after="60" w:line="280"/>
              <w:ind w:left="120"/>
            </w:pPr>
            <w:r>
              <w:rPr>
                <w:rFonts w:ascii="Calibri" w:cs="Calibri" w:eastAsia="Calibri" w:hAnsi="Calibri"/>
                <w:color w:val="1B2119"/>
                <w:sz w:val="20"/>
                <w:szCs w:val="20"/>
              </w:rPr>
              <w:t xml:space="preserve">•  This alone would beat most legacy corporate travel tools, where policy is a document nobody reads until an expense report bounces.</w:t>
            </w:r>
          </w:p>
        </w:tc>
      </w:tr>
    </w:tbl>
    <w:p>
      <w:pPr>
        <w:spacing w:after="140"/>
      </w:pPr>
    </w:p>
    <w:p>
      <w:pPr>
        <w:pStyle w:val="Heading1"/>
        <w:pBdr>
          <w:bottom w:val="single" w:color="2E86AB" w:sz="8" w:space="4"/>
        </w:pBdr>
        <w:spacing w:after="200" w:before="400"/>
      </w:pPr>
      <w:r>
        <w:rPr>
          <w:rFonts w:ascii="Calibri" w:cs="Calibri" w:eastAsia="Calibri" w:hAnsi="Calibri"/>
          <w:b/>
          <w:bCs/>
          <w:color w:val="17324A"/>
          <w:sz w:val="32"/>
          <w:szCs w:val="32"/>
        </w:rPr>
        <w:t xml:space="preserve">Pillar 2 — Organizer (Corporate Travel Desk)</w:t>
      </w:r>
    </w:p>
    <w:p>
      <w:pPr>
        <w:spacing w:after="160" w:line="300"/>
      </w:pPr>
      <w:r>
        <w:rPr>
          <w:rFonts w:ascii="Calibri" w:cs="Calibri" w:eastAsia="Calibri" w:hAnsi="Calibri"/>
          <w:color w:val="1B2119"/>
          <w:sz w:val="21"/>
          <w:szCs w:val="21"/>
        </w:rPr>
        <w:t xml:space="preserve">The consumer “organizer” becomes a travel coordinator or admin managing many trips across many teams at once. The load-bearing ideas from the consumer roadmap — delegation, succession, a health score — matter even more here, at scale.</w:t>
      </w:r>
    </w:p>
    <w:tbl>
      <w:tblPr>
        <w:tblW w:type="dxa" w:w="9100"/>
        <w:tblBorders>
          <w:top w:val="single" w:color="C9D5DE" w:sz="2"/>
          <w:left w:val="single" w:color="C9D5DE" w:sz="2"/>
          <w:bottom w:val="single" w:color="C9D5DE" w:sz="2"/>
          <w:right w:val="single" w:color="C9D5DE" w:sz="2"/>
          <w:insideH w:val="single" w:color="C9D5DE" w:sz="2"/>
          <w:insideV w:val="single" w:color="C9D5DE" w:sz="2"/>
        </w:tblBorders>
      </w:tblPr>
      <w:tblGrid>
        <w:gridCol w:w="2200"/>
        <w:gridCol w:w="3600"/>
        <w:gridCol w:w="3300"/>
      </w:tblGrid>
      <w:tr>
        <w:trPr>
          <w:tblHeader/>
        </w:trPr>
        <w:tc>
          <w:tcPr>
            <w:tcW w:type="dxa" w:w="2200"/>
            <w:shd w:fill="E7F0F6" w:val="clear"/>
            <w:tcMar>
              <w:top w:type="dxa" w:w="80"/>
              <w:left w:type="dxa" w:w="100"/>
              <w:bottom w:type="dxa" w:w="80"/>
              <w:right w:type="dxa" w:w="100"/>
            </w:tcMar>
          </w:tcPr>
          <w:p>
            <w:r>
              <w:rPr>
                <w:rFonts w:ascii="Calibri" w:cs="Calibri" w:eastAsia="Calibri" w:hAnsi="Calibri"/>
                <w:b/>
                <w:bCs/>
                <w:color w:val="1F5A82"/>
                <w:sz w:val="19"/>
                <w:szCs w:val="19"/>
              </w:rPr>
              <w:t xml:space="preserve">Feature</w:t>
            </w:r>
          </w:p>
        </w:tc>
        <w:tc>
          <w:tcPr>
            <w:tcW w:type="dxa" w:w="3600"/>
            <w:shd w:fill="E7F0F6" w:val="clear"/>
            <w:tcMar>
              <w:top w:type="dxa" w:w="80"/>
              <w:left w:type="dxa" w:w="100"/>
              <w:bottom w:type="dxa" w:w="80"/>
              <w:right w:type="dxa" w:w="100"/>
            </w:tcMar>
          </w:tcPr>
          <w:p>
            <w:r>
              <w:rPr>
                <w:rFonts w:ascii="Calibri" w:cs="Calibri" w:eastAsia="Calibri" w:hAnsi="Calibri"/>
                <w:b/>
                <w:bCs/>
                <w:color w:val="1F5A82"/>
                <w:sz w:val="19"/>
                <w:szCs w:val="19"/>
              </w:rPr>
              <w:t xml:space="preserve">What it does</w:t>
            </w:r>
          </w:p>
        </w:tc>
        <w:tc>
          <w:tcPr>
            <w:tcW w:type="dxa" w:w="3300"/>
            <w:shd w:fill="E7F0F6" w:val="clear"/>
            <w:tcMar>
              <w:top w:type="dxa" w:w="80"/>
              <w:left w:type="dxa" w:w="100"/>
              <w:bottom w:type="dxa" w:w="80"/>
              <w:right w:type="dxa" w:w="100"/>
            </w:tcMar>
          </w:tcPr>
          <w:p>
            <w:r>
              <w:rPr>
                <w:rFonts w:ascii="Calibri" w:cs="Calibri" w:eastAsia="Calibri" w:hAnsi="Calibri"/>
                <w:b/>
                <w:bCs/>
                <w:color w:val="1F5A82"/>
                <w:sz w:val="19"/>
                <w:szCs w:val="19"/>
              </w:rPr>
              <w:t xml:space="preserve">Why it matters</w:t>
            </w:r>
          </w:p>
        </w:tc>
      </w:tr>
      <w:tr>
        <w:tc>
          <w:tcPr>
            <w:tcW w:type="dxa" w:w="2200"/>
            <w:shd w:fill="FFFFFF" w:val="clear"/>
            <w:tcMar>
              <w:top w:type="dxa" w:w="80"/>
              <w:left w:type="dxa" w:w="100"/>
              <w:bottom w:type="dxa" w:w="80"/>
              <w:right w:type="dxa" w:w="100"/>
            </w:tcMar>
            <w:vAlign w:val="center"/>
          </w:tcPr>
          <w:p>
            <w:pPr>
              <w:spacing w:line="260"/>
            </w:pPr>
            <w:r>
              <w:rPr>
                <w:rFonts w:ascii="Calibri" w:cs="Calibri" w:eastAsia="Calibri" w:hAnsi="Calibri"/>
                <w:b/>
                <w:bCs/>
                <w:color w:val="1B2119"/>
                <w:sz w:val="19"/>
                <w:szCs w:val="19"/>
              </w:rPr>
              <w:t xml:space="preserve">Central travel-desk dashboard</w:t>
            </w:r>
          </w:p>
        </w:tc>
        <w:tc>
          <w:tcPr>
            <w:tcW w:type="dxa" w:w="3600"/>
            <w:shd w:fill="FFFFFF" w:val="clear"/>
            <w:tcMar>
              <w:top w:type="dxa" w:w="80"/>
              <w:left w:type="dxa" w:w="100"/>
              <w:bottom w:type="dxa" w:w="80"/>
              <w:right w:type="dxa" w:w="100"/>
            </w:tcMar>
            <w:vAlign w:val="center"/>
          </w:tcPr>
          <w:p>
            <w:pPr>
              <w:spacing w:line="260"/>
            </w:pPr>
            <w:r>
              <w:rPr>
                <w:rFonts w:ascii="Calibri" w:cs="Calibri" w:eastAsia="Calibri" w:hAnsi="Calibri"/>
                <w:b w:val="false"/>
                <w:bCs w:val="false"/>
                <w:color w:val="1B2119"/>
                <w:sz w:val="19"/>
                <w:szCs w:val="19"/>
              </w:rPr>
              <w:t xml:space="preserve">One view across every active trip in the organization: status, spend, pending approvals, upcoming departures.</w:t>
            </w:r>
          </w:p>
        </w:tc>
        <w:tc>
          <w:tcPr>
            <w:tcW w:type="dxa" w:w="3300"/>
            <w:shd w:fill="FFFFFF" w:val="clear"/>
            <w:tcMar>
              <w:top w:type="dxa" w:w="80"/>
              <w:left w:type="dxa" w:w="100"/>
              <w:bottom w:type="dxa" w:w="80"/>
              <w:right w:type="dxa" w:w="100"/>
            </w:tcMar>
            <w:vAlign w:val="center"/>
          </w:tcPr>
          <w:p>
            <w:pPr>
              <w:spacing w:line="260"/>
            </w:pPr>
            <w:r>
              <w:rPr>
                <w:rFonts w:ascii="Calibri" w:cs="Calibri" w:eastAsia="Calibri" w:hAnsi="Calibri"/>
                <w:b w:val="false"/>
                <w:bCs w:val="false"/>
                <w:color w:val="1B2119"/>
                <w:sz w:val="19"/>
                <w:szCs w:val="19"/>
              </w:rPr>
              <w:t xml:space="preserve">The corporate organizer's real job is portfolio management, not single-trip management — the consumer dashboard doesn't scale to this.</w:t>
            </w:r>
          </w:p>
        </w:tc>
      </w:tr>
      <w:tr>
        <w:tc>
          <w:tcPr>
            <w:tcW w:type="dxa" w:w="2200"/>
            <w:shd w:fill="F2F7FA" w:val="clear"/>
            <w:tcMar>
              <w:top w:type="dxa" w:w="80"/>
              <w:left w:type="dxa" w:w="100"/>
              <w:bottom w:type="dxa" w:w="80"/>
              <w:right w:type="dxa" w:w="100"/>
            </w:tcMar>
            <w:vAlign w:val="center"/>
          </w:tcPr>
          <w:p>
            <w:pPr>
              <w:spacing w:line="260"/>
            </w:pPr>
            <w:r>
              <w:rPr>
                <w:rFonts w:ascii="Calibri" w:cs="Calibri" w:eastAsia="Calibri" w:hAnsi="Calibri"/>
                <w:b/>
                <w:bCs/>
                <w:color w:val="1B2119"/>
                <w:sz w:val="19"/>
                <w:szCs w:val="19"/>
              </w:rPr>
              <w:t xml:space="preserve">Role-scoped org hierarchy</w:t>
            </w:r>
          </w:p>
        </w:tc>
        <w:tc>
          <w:tcPr>
            <w:tcW w:type="dxa" w:w="3600"/>
            <w:shd w:fill="F2F7FA" w:val="clear"/>
            <w:tcMar>
              <w:top w:type="dxa" w:w="80"/>
              <w:left w:type="dxa" w:w="100"/>
              <w:bottom w:type="dxa" w:w="80"/>
              <w:right w:type="dxa" w:w="100"/>
            </w:tcMar>
            <w:vAlign w:val="center"/>
          </w:tcPr>
          <w:p>
            <w:pPr>
              <w:spacing w:line="260"/>
            </w:pPr>
            <w:r>
              <w:rPr>
                <w:rFonts w:ascii="Calibri" w:cs="Calibri" w:eastAsia="Calibri" w:hAnsi="Calibri"/>
                <w:b w:val="false"/>
                <w:bCs w:val="false"/>
                <w:color w:val="1B2119"/>
                <w:sz w:val="19"/>
                <w:szCs w:val="19"/>
              </w:rPr>
              <w:t xml:space="preserve">org_admin, manager, travel coordinator, employee — each with a different capability set, matching the existing organizations/roles spec.</w:t>
            </w:r>
          </w:p>
        </w:tc>
        <w:tc>
          <w:tcPr>
            <w:tcW w:type="dxa" w:w="3300"/>
            <w:shd w:fill="F2F7FA" w:val="clear"/>
            <w:tcMar>
              <w:top w:type="dxa" w:w="80"/>
              <w:left w:type="dxa" w:w="100"/>
              <w:bottom w:type="dxa" w:w="80"/>
              <w:right w:type="dxa" w:w="100"/>
            </w:tcMar>
            <w:vAlign w:val="center"/>
          </w:tcPr>
          <w:p>
            <w:pPr>
              <w:spacing w:line="260"/>
            </w:pPr>
            <w:r>
              <w:rPr>
                <w:rFonts w:ascii="Calibri" w:cs="Calibri" w:eastAsia="Calibri" w:hAnsi="Calibri"/>
                <w:b w:val="false"/>
                <w:bCs w:val="false"/>
                <w:color w:val="1B2119"/>
                <w:sz w:val="19"/>
                <w:szCs w:val="19"/>
              </w:rPr>
              <w:t xml:space="preserve">Corporate structure is inherently hierarchical; a flat permission model fails on day one of a real company deployment.</w:t>
            </w:r>
          </w:p>
        </w:tc>
      </w:tr>
      <w:tr>
        <w:tc>
          <w:tcPr>
            <w:tcW w:type="dxa" w:w="2200"/>
            <w:shd w:fill="FFFFFF" w:val="clear"/>
            <w:tcMar>
              <w:top w:type="dxa" w:w="80"/>
              <w:left w:type="dxa" w:w="100"/>
              <w:bottom w:type="dxa" w:w="80"/>
              <w:right w:type="dxa" w:w="100"/>
            </w:tcMar>
            <w:vAlign w:val="center"/>
          </w:tcPr>
          <w:p>
            <w:pPr>
              <w:spacing w:line="260"/>
            </w:pPr>
            <w:r>
              <w:rPr>
                <w:rFonts w:ascii="Calibri" w:cs="Calibri" w:eastAsia="Calibri" w:hAnsi="Calibri"/>
                <w:b/>
                <w:bCs/>
                <w:color w:val="1B2119"/>
                <w:sz w:val="19"/>
                <w:szCs w:val="19"/>
              </w:rPr>
              <w:t xml:space="preserve">Bulk trip creation</w:t>
            </w:r>
          </w:p>
        </w:tc>
        <w:tc>
          <w:tcPr>
            <w:tcW w:type="dxa" w:w="3600"/>
            <w:shd w:fill="FFFFFF" w:val="clear"/>
            <w:tcMar>
              <w:top w:type="dxa" w:w="80"/>
              <w:left w:type="dxa" w:w="100"/>
              <w:bottom w:type="dxa" w:w="80"/>
              <w:right w:type="dxa" w:w="100"/>
            </w:tcMar>
            <w:vAlign w:val="center"/>
          </w:tcPr>
          <w:p>
            <w:pPr>
              <w:spacing w:line="260"/>
            </w:pPr>
            <w:r>
              <w:rPr>
                <w:rFonts w:ascii="Calibri" w:cs="Calibri" w:eastAsia="Calibri" w:hAnsi="Calibri"/>
                <w:b w:val="false"/>
                <w:bCs w:val="false"/>
                <w:color w:val="1B2119"/>
                <w:sz w:val="19"/>
                <w:szCs w:val="19"/>
              </w:rPr>
              <w:t xml:space="preserve">Create and staff multiple trips at once (e.g., five regional teams attending the same summit) from one workflow.</w:t>
            </w:r>
          </w:p>
        </w:tc>
        <w:tc>
          <w:tcPr>
            <w:tcW w:type="dxa" w:w="3300"/>
            <w:shd w:fill="FFFFFF" w:val="clear"/>
            <w:tcMar>
              <w:top w:type="dxa" w:w="80"/>
              <w:left w:type="dxa" w:w="100"/>
              <w:bottom w:type="dxa" w:w="80"/>
              <w:right w:type="dxa" w:w="100"/>
            </w:tcMar>
            <w:vAlign w:val="center"/>
          </w:tcPr>
          <w:p>
            <w:pPr>
              <w:spacing w:line="260"/>
            </w:pPr>
            <w:r>
              <w:rPr>
                <w:rFonts w:ascii="Calibri" w:cs="Calibri" w:eastAsia="Calibri" w:hAnsi="Calibri"/>
                <w:b w:val="false"/>
                <w:bCs w:val="false"/>
                <w:color w:val="1B2119"/>
                <w:sz w:val="19"/>
                <w:szCs w:val="19"/>
              </w:rPr>
              <w:t xml:space="preserve">Saves the travel desk from repeating the same manual setup five times over.</w:t>
            </w:r>
          </w:p>
        </w:tc>
      </w:tr>
      <w:tr>
        <w:tc>
          <w:tcPr>
            <w:tcW w:type="dxa" w:w="2200"/>
            <w:shd w:fill="F2F7FA" w:val="clear"/>
            <w:tcMar>
              <w:top w:type="dxa" w:w="80"/>
              <w:left w:type="dxa" w:w="100"/>
              <w:bottom w:type="dxa" w:w="80"/>
              <w:right w:type="dxa" w:w="100"/>
            </w:tcMar>
            <w:vAlign w:val="center"/>
          </w:tcPr>
          <w:p>
            <w:pPr>
              <w:spacing w:line="260"/>
            </w:pPr>
            <w:r>
              <w:rPr>
                <w:rFonts w:ascii="Calibri" w:cs="Calibri" w:eastAsia="Calibri" w:hAnsi="Calibri"/>
                <w:b/>
                <w:bCs/>
                <w:color w:val="1B2119"/>
                <w:sz w:val="19"/>
                <w:szCs w:val="19"/>
              </w:rPr>
              <w:t xml:space="preserve">Coordinator succession and coverage</w:t>
            </w:r>
          </w:p>
        </w:tc>
        <w:tc>
          <w:tcPr>
            <w:tcW w:type="dxa" w:w="3600"/>
            <w:shd w:fill="F2F7FA" w:val="clear"/>
            <w:tcMar>
              <w:top w:type="dxa" w:w="80"/>
              <w:left w:type="dxa" w:w="100"/>
              <w:bottom w:type="dxa" w:w="80"/>
              <w:right w:type="dxa" w:w="100"/>
            </w:tcMar>
            <w:vAlign w:val="center"/>
          </w:tcPr>
          <w:p>
            <w:pPr>
              <w:spacing w:line="260"/>
            </w:pPr>
            <w:r>
              <w:rPr>
                <w:rFonts w:ascii="Calibri" w:cs="Calibri" w:eastAsia="Calibri" w:hAnsi="Calibri"/>
                <w:b w:val="false"/>
                <w:bCs w:val="false"/>
                <w:color w:val="1B2119"/>
                <w:sz w:val="19"/>
                <w:szCs w:val="19"/>
              </w:rPr>
              <w:t xml:space="preserve">If the travel coordinator is out, delegate or auto-route their pending approvals and bookings to a backup without losing trip history.</w:t>
            </w:r>
          </w:p>
        </w:tc>
        <w:tc>
          <w:tcPr>
            <w:tcW w:type="dxa" w:w="3300"/>
            <w:shd w:fill="F2F7FA" w:val="clear"/>
            <w:tcMar>
              <w:top w:type="dxa" w:w="80"/>
              <w:left w:type="dxa" w:w="100"/>
              <w:bottom w:type="dxa" w:w="80"/>
              <w:right w:type="dxa" w:w="100"/>
            </w:tcMar>
            <w:vAlign w:val="center"/>
          </w:tcPr>
          <w:p>
            <w:pPr>
              <w:spacing w:line="260"/>
            </w:pPr>
            <w:r>
              <w:rPr>
                <w:rFonts w:ascii="Calibri" w:cs="Calibri" w:eastAsia="Calibri" w:hAnsi="Calibri"/>
                <w:b w:val="false"/>
                <w:bCs w:val="false"/>
                <w:color w:val="1B2119"/>
                <w:sz w:val="19"/>
                <w:szCs w:val="19"/>
              </w:rPr>
              <w:t xml:space="preserve">Corporate travel doesn't pause for someone's leave — this is the enterprise version of the consumer “organizer succession” idea.</w:t>
            </w:r>
          </w:p>
        </w:tc>
      </w:tr>
      <w:tr>
        <w:tc>
          <w:tcPr>
            <w:tcW w:type="dxa" w:w="2200"/>
            <w:shd w:fill="FFFFFF" w:val="clear"/>
            <w:tcMar>
              <w:top w:type="dxa" w:w="80"/>
              <w:left w:type="dxa" w:w="100"/>
              <w:bottom w:type="dxa" w:w="80"/>
              <w:right w:type="dxa" w:w="100"/>
            </w:tcMar>
            <w:vAlign w:val="center"/>
          </w:tcPr>
          <w:p>
            <w:pPr>
              <w:spacing w:line="260"/>
            </w:pPr>
            <w:r>
              <w:rPr>
                <w:rFonts w:ascii="Calibri" w:cs="Calibri" w:eastAsia="Calibri" w:hAnsi="Calibri"/>
                <w:b/>
                <w:bCs/>
                <w:color w:val="1B2119"/>
                <w:sz w:val="19"/>
                <w:szCs w:val="19"/>
              </w:rPr>
              <w:t xml:space="preserve">SLA and turnaround tracking</w:t>
            </w:r>
          </w:p>
        </w:tc>
        <w:tc>
          <w:tcPr>
            <w:tcW w:type="dxa" w:w="3600"/>
            <w:shd w:fill="FFFFFF" w:val="clear"/>
            <w:tcMar>
              <w:top w:type="dxa" w:w="80"/>
              <w:left w:type="dxa" w:w="100"/>
              <w:bottom w:type="dxa" w:w="80"/>
              <w:right w:type="dxa" w:w="100"/>
            </w:tcMar>
            <w:vAlign w:val="center"/>
          </w:tcPr>
          <w:p>
            <w:pPr>
              <w:spacing w:line="260"/>
            </w:pPr>
            <w:r>
              <w:rPr>
                <w:rFonts w:ascii="Calibri" w:cs="Calibri" w:eastAsia="Calibri" w:hAnsi="Calibri"/>
                <w:b w:val="false"/>
                <w:bCs w:val="false"/>
                <w:color w:val="1B2119"/>
                <w:sz w:val="19"/>
                <w:szCs w:val="19"/>
              </w:rPr>
              <w:t xml:space="preserve">Measures how long approvals and bookings actually take, surfaced to the travel-desk lead.</w:t>
            </w:r>
          </w:p>
        </w:tc>
        <w:tc>
          <w:tcPr>
            <w:tcW w:type="dxa" w:w="3300"/>
            <w:shd w:fill="FFFFFF" w:val="clear"/>
            <w:tcMar>
              <w:top w:type="dxa" w:w="80"/>
              <w:left w:type="dxa" w:w="100"/>
              <w:bottom w:type="dxa" w:w="80"/>
              <w:right w:type="dxa" w:w="100"/>
            </w:tcMar>
            <w:vAlign w:val="center"/>
          </w:tcPr>
          <w:p>
            <w:pPr>
              <w:spacing w:line="260"/>
            </w:pPr>
            <w:r>
              <w:rPr>
                <w:rFonts w:ascii="Calibri" w:cs="Calibri" w:eastAsia="Calibri" w:hAnsi="Calibri"/>
                <w:b w:val="false"/>
                <w:bCs w:val="false"/>
                <w:color w:val="1B2119"/>
                <w:sz w:val="19"/>
                <w:szCs w:val="19"/>
              </w:rPr>
              <w:t xml:space="preserve">Gives management a concrete number to improve, instead of anecdotal “approvals feel slow.”</w:t>
            </w:r>
          </w:p>
        </w:tc>
      </w:tr>
      <w:tr>
        <w:tc>
          <w:tcPr>
            <w:tcW w:type="dxa" w:w="2200"/>
            <w:shd w:fill="F2F7FA" w:val="clear"/>
            <w:tcMar>
              <w:top w:type="dxa" w:w="80"/>
              <w:left w:type="dxa" w:w="100"/>
              <w:bottom w:type="dxa" w:w="80"/>
              <w:right w:type="dxa" w:w="100"/>
            </w:tcMar>
            <w:vAlign w:val="center"/>
          </w:tcPr>
          <w:p>
            <w:pPr>
              <w:spacing w:line="260"/>
            </w:pPr>
            <w:r>
              <w:rPr>
                <w:rFonts w:ascii="Calibri" w:cs="Calibri" w:eastAsia="Calibri" w:hAnsi="Calibri"/>
                <w:b/>
                <w:bCs/>
                <w:color w:val="1B2119"/>
                <w:sz w:val="19"/>
                <w:szCs w:val="19"/>
              </w:rPr>
              <w:t xml:space="preserve">Negotiated-vendor dashboard</w:t>
            </w:r>
          </w:p>
        </w:tc>
        <w:tc>
          <w:tcPr>
            <w:tcW w:type="dxa" w:w="3600"/>
            <w:shd w:fill="F2F7FA" w:val="clear"/>
            <w:tcMar>
              <w:top w:type="dxa" w:w="80"/>
              <w:left w:type="dxa" w:w="100"/>
              <w:bottom w:type="dxa" w:w="80"/>
              <w:right w:type="dxa" w:w="100"/>
            </w:tcMar>
            <w:vAlign w:val="center"/>
          </w:tcPr>
          <w:p>
            <w:pPr>
              <w:spacing w:line="260"/>
            </w:pPr>
            <w:r>
              <w:rPr>
                <w:rFonts w:ascii="Calibri" w:cs="Calibri" w:eastAsia="Calibri" w:hAnsi="Calibri"/>
                <w:b w:val="false"/>
                <w:bCs w:val="false"/>
                <w:color w:val="1B2119"/>
                <w:sz w:val="19"/>
                <w:szCs w:val="19"/>
              </w:rPr>
              <w:t xml:space="preserve">Surfaces the company's own negotiated hotel/flight rates and preferred vendors directly inside the booking flow.</w:t>
            </w:r>
          </w:p>
        </w:tc>
        <w:tc>
          <w:tcPr>
            <w:tcW w:type="dxa" w:w="3300"/>
            <w:shd w:fill="F2F7FA" w:val="clear"/>
            <w:tcMar>
              <w:top w:type="dxa" w:w="80"/>
              <w:left w:type="dxa" w:w="100"/>
              <w:bottom w:type="dxa" w:w="80"/>
              <w:right w:type="dxa" w:w="100"/>
            </w:tcMar>
            <w:vAlign w:val="center"/>
          </w:tcPr>
          <w:p>
            <w:pPr>
              <w:spacing w:line="260"/>
            </w:pPr>
            <w:r>
              <w:rPr>
                <w:rFonts w:ascii="Calibri" w:cs="Calibri" w:eastAsia="Calibri" w:hAnsi="Calibri"/>
                <w:b w:val="false"/>
                <w:bCs w:val="false"/>
                <w:color w:val="1B2119"/>
                <w:sz w:val="19"/>
                <w:szCs w:val="19"/>
              </w:rPr>
              <w:t xml:space="preserve">Makes policy compliance the path of least resistance instead of a rule to remember.</w:t>
            </w:r>
          </w:p>
        </w:tc>
      </w:tr>
      <w:tr>
        <w:tc>
          <w:tcPr>
            <w:tcW w:type="dxa" w:w="2200"/>
            <w:shd w:fill="FFFFFF" w:val="clear"/>
            <w:tcMar>
              <w:top w:type="dxa" w:w="80"/>
              <w:left w:type="dxa" w:w="100"/>
              <w:bottom w:type="dxa" w:w="80"/>
              <w:right w:type="dxa" w:w="100"/>
            </w:tcMar>
            <w:vAlign w:val="center"/>
          </w:tcPr>
          <w:p>
            <w:pPr>
              <w:spacing w:line="260"/>
            </w:pPr>
            <w:r>
              <w:rPr>
                <w:rFonts w:ascii="Calibri" w:cs="Calibri" w:eastAsia="Calibri" w:hAnsi="Calibri"/>
                <w:b/>
                <w:bCs/>
                <w:color w:val="1B2119"/>
                <w:sz w:val="19"/>
                <w:szCs w:val="19"/>
              </w:rPr>
              <w:t xml:space="preserve">Org-wide readiness and health view</w:t>
            </w:r>
          </w:p>
        </w:tc>
        <w:tc>
          <w:tcPr>
            <w:tcW w:type="dxa" w:w="3600"/>
            <w:shd w:fill="FFFFFF" w:val="clear"/>
            <w:tcMar>
              <w:top w:type="dxa" w:w="80"/>
              <w:left w:type="dxa" w:w="100"/>
              <w:bottom w:type="dxa" w:w="80"/>
              <w:right w:type="dxa" w:w="100"/>
            </w:tcMar>
            <w:vAlign w:val="center"/>
          </w:tcPr>
          <w:p>
            <w:pPr>
              <w:spacing w:line="260"/>
            </w:pPr>
            <w:r>
              <w:rPr>
                <w:rFonts w:ascii="Calibri" w:cs="Calibri" w:eastAsia="Calibri" w:hAnsi="Calibri"/>
                <w:b w:val="false"/>
                <w:bCs w:val="false"/>
                <w:color w:val="1B2119"/>
                <w:sz w:val="19"/>
                <w:szCs w:val="19"/>
              </w:rPr>
              <w:t xml:space="preserve">The consumer trip health score, rolled up: which trips are under control, which have stalled approvals or unresolved anomalies.</w:t>
            </w:r>
          </w:p>
        </w:tc>
        <w:tc>
          <w:tcPr>
            <w:tcW w:type="dxa" w:w="3300"/>
            <w:shd w:fill="FFFFFF" w:val="clear"/>
            <w:tcMar>
              <w:top w:type="dxa" w:w="80"/>
              <w:left w:type="dxa" w:w="100"/>
              <w:bottom w:type="dxa" w:w="80"/>
              <w:right w:type="dxa" w:w="100"/>
            </w:tcMar>
            <w:vAlign w:val="center"/>
          </w:tcPr>
          <w:p>
            <w:pPr>
              <w:spacing w:line="260"/>
            </w:pPr>
            <w:r>
              <w:rPr>
                <w:rFonts w:ascii="Calibri" w:cs="Calibri" w:eastAsia="Calibri" w:hAnsi="Calibri"/>
                <w:b w:val="false"/>
                <w:bCs w:val="false"/>
                <w:color w:val="1B2119"/>
                <w:sz w:val="19"/>
                <w:szCs w:val="19"/>
              </w:rPr>
              <w:t xml:space="preserve">One glance answers “which of our 30 active trips need my attention today.”</w:t>
            </w:r>
          </w:p>
        </w:tc>
      </w:tr>
    </w:tbl>
    <w:p>
      <w:pPr>
        <w:spacing w:after="160"/>
      </w:pPr>
    </w:p>
    <w:tbl>
      <w:tblPr>
        <w:tblW w:type="pct" w:w="100%"/>
        <w:tblBorders>
          <w:top w:val="single" w:color="9C7A1E" w:sz="4"/>
          <w:left w:val="single" w:color="9C7A1E" w:sz="24"/>
          <w:bottom w:val="single" w:color="9C7A1E" w:sz="4"/>
          <w:right w:val="single" w:color="9C7A1E" w:sz="4"/>
          <w:insideH w:val="single" w:color="auto" w:sz="4"/>
          <w:insideV w:val="single" w:color="auto" w:sz="4"/>
        </w:tblBorders>
      </w:tblPr>
      <w:tblGrid>
        <w:gridCol w:w="100"/>
      </w:tblGrid>
      <w:tr>
        <w:tc>
          <w:tcPr>
            <w:tcW w:type="pct" w:w="100%"/>
            <w:shd w:fill="FBF3DC" w:val="clear"/>
            <w:tcMar>
              <w:top w:type="dxa" w:w="140"/>
              <w:left w:type="dxa" w:w="220"/>
              <w:bottom w:type="dxa" w:w="140"/>
              <w:right w:type="dxa" w:w="220"/>
            </w:tcMar>
          </w:tcPr>
          <w:p>
            <w:pPr>
              <w:spacing w:after="80"/>
            </w:pPr>
            <w:r>
              <w:rPr>
                <w:rFonts w:ascii="Calibri" w:cs="Calibri" w:eastAsia="Calibri" w:hAnsi="Calibri"/>
                <w:b/>
                <w:bCs/>
                <w:color w:val="9C7A1E"/>
                <w:sz w:val="19"/>
                <w:szCs w:val="19"/>
              </w:rPr>
              <w:t xml:space="preserve">MOONSHOT — </w:t>
            </w:r>
            <w:r>
              <w:rPr>
                <w:rFonts w:ascii="Calibri" w:cs="Calibri" w:eastAsia="Calibri" w:hAnsi="Calibri"/>
                <w:b/>
                <w:bCs/>
                <w:color w:val="1B2119"/>
                <w:sz w:val="21"/>
                <w:szCs w:val="21"/>
              </w:rPr>
              <w:t xml:space="preserve">The travel desk that manages 50 trips as easily as one.</w:t>
            </w:r>
          </w:p>
          <w:p>
            <w:pPr>
              <w:spacing w:after="60" w:line="280"/>
              <w:ind w:left="120"/>
            </w:pPr>
            <w:r>
              <w:rPr>
                <w:rFonts w:ascii="Calibri" w:cs="Calibri" w:eastAsia="Calibri" w:hAnsi="Calibri"/>
                <w:color w:val="1B2119"/>
                <w:sz w:val="20"/>
                <w:szCs w:val="20"/>
              </w:rPr>
              <w:t xml:space="preserve">•  Bulk creation + the org-wide health rollup are the difference between a tool a coordinator merely tolerates and one that actually saves them hours every week.</w:t>
            </w:r>
          </w:p>
          <w:p>
            <w:pPr>
              <w:spacing w:after="60" w:line="280"/>
              <w:ind w:left="120"/>
            </w:pPr>
            <w:r>
              <w:rPr>
                <w:rFonts w:ascii="Calibri" w:cs="Calibri" w:eastAsia="Calibri" w:hAnsi="Calibri"/>
                <w:color w:val="1B2119"/>
                <w:sz w:val="20"/>
                <w:szCs w:val="20"/>
              </w:rPr>
              <w:t xml:space="preserve">•  This is the highest-leverage corporate-specific build in the whole document, because it's the thing legacy tools (built for individual expense reports, not trip portfolios) generally do badly.</w:t>
            </w:r>
          </w:p>
        </w:tc>
      </w:tr>
    </w:tbl>
    <w:p>
      <w:pPr>
        <w:spacing w:after="140"/>
      </w:pPr>
    </w:p>
    <w:p>
      <w:pPr>
        <w:pStyle w:val="Heading1"/>
        <w:pBdr>
          <w:bottom w:val="single" w:color="2E86AB" w:sz="8" w:space="4"/>
        </w:pBdr>
        <w:spacing w:after="200" w:before="400"/>
      </w:pPr>
      <w:r>
        <w:rPr>
          <w:rFonts w:ascii="Calibri" w:cs="Calibri" w:eastAsia="Calibri" w:hAnsi="Calibri"/>
          <w:b/>
          <w:bCs/>
          <w:color w:val="17324A"/>
          <w:sz w:val="32"/>
          <w:szCs w:val="32"/>
        </w:rPr>
        <w:t xml:space="preserve">Pillar 3 — Arranging (Corporate)</w:t>
      </w:r>
    </w:p>
    <w:p>
      <w:pPr>
        <w:spacing w:after="160" w:line="300"/>
      </w:pPr>
      <w:r>
        <w:rPr>
          <w:rFonts w:ascii="Calibri" w:cs="Calibri" w:eastAsia="Calibri" w:hAnsi="Calibri"/>
          <w:color w:val="1B2119"/>
          <w:sz w:val="21"/>
          <w:szCs w:val="21"/>
        </w:rPr>
        <w:t xml:space="preserve">Corporate arranging inherits the consumer pillar's logistics problems, plus two the consumer product never has to solve: enforcing an approved-vendor list, and negotiated-rate visibility.</w:t>
      </w:r>
    </w:p>
    <w:tbl>
      <w:tblPr>
        <w:tblW w:type="dxa" w:w="9100"/>
        <w:tblBorders>
          <w:top w:val="single" w:color="C9D5DE" w:sz="2"/>
          <w:left w:val="single" w:color="C9D5DE" w:sz="2"/>
          <w:bottom w:val="single" w:color="C9D5DE" w:sz="2"/>
          <w:right w:val="single" w:color="C9D5DE" w:sz="2"/>
          <w:insideH w:val="single" w:color="C9D5DE" w:sz="2"/>
          <w:insideV w:val="single" w:color="C9D5DE" w:sz="2"/>
        </w:tblBorders>
      </w:tblPr>
      <w:tblGrid>
        <w:gridCol w:w="2200"/>
        <w:gridCol w:w="3600"/>
        <w:gridCol w:w="3300"/>
      </w:tblGrid>
      <w:tr>
        <w:trPr>
          <w:tblHeader/>
        </w:trPr>
        <w:tc>
          <w:tcPr>
            <w:tcW w:type="dxa" w:w="2200"/>
            <w:shd w:fill="E7F0F6" w:val="clear"/>
            <w:tcMar>
              <w:top w:type="dxa" w:w="80"/>
              <w:left w:type="dxa" w:w="100"/>
              <w:bottom w:type="dxa" w:w="80"/>
              <w:right w:type="dxa" w:w="100"/>
            </w:tcMar>
          </w:tcPr>
          <w:p>
            <w:r>
              <w:rPr>
                <w:rFonts w:ascii="Calibri" w:cs="Calibri" w:eastAsia="Calibri" w:hAnsi="Calibri"/>
                <w:b/>
                <w:bCs/>
                <w:color w:val="1F5A82"/>
                <w:sz w:val="19"/>
                <w:szCs w:val="19"/>
              </w:rPr>
              <w:t xml:space="preserve">Feature</w:t>
            </w:r>
          </w:p>
        </w:tc>
        <w:tc>
          <w:tcPr>
            <w:tcW w:type="dxa" w:w="3600"/>
            <w:shd w:fill="E7F0F6" w:val="clear"/>
            <w:tcMar>
              <w:top w:type="dxa" w:w="80"/>
              <w:left w:type="dxa" w:w="100"/>
              <w:bottom w:type="dxa" w:w="80"/>
              <w:right w:type="dxa" w:w="100"/>
            </w:tcMar>
          </w:tcPr>
          <w:p>
            <w:r>
              <w:rPr>
                <w:rFonts w:ascii="Calibri" w:cs="Calibri" w:eastAsia="Calibri" w:hAnsi="Calibri"/>
                <w:b/>
                <w:bCs/>
                <w:color w:val="1F5A82"/>
                <w:sz w:val="19"/>
                <w:szCs w:val="19"/>
              </w:rPr>
              <w:t xml:space="preserve">What it does</w:t>
            </w:r>
          </w:p>
        </w:tc>
        <w:tc>
          <w:tcPr>
            <w:tcW w:type="dxa" w:w="3300"/>
            <w:shd w:fill="E7F0F6" w:val="clear"/>
            <w:tcMar>
              <w:top w:type="dxa" w:w="80"/>
              <w:left w:type="dxa" w:w="100"/>
              <w:bottom w:type="dxa" w:w="80"/>
              <w:right w:type="dxa" w:w="100"/>
            </w:tcMar>
          </w:tcPr>
          <w:p>
            <w:r>
              <w:rPr>
                <w:rFonts w:ascii="Calibri" w:cs="Calibri" w:eastAsia="Calibri" w:hAnsi="Calibri"/>
                <w:b/>
                <w:bCs/>
                <w:color w:val="1F5A82"/>
                <w:sz w:val="19"/>
                <w:szCs w:val="19"/>
              </w:rPr>
              <w:t xml:space="preserve">Why it matters</w:t>
            </w:r>
          </w:p>
        </w:tc>
      </w:tr>
      <w:tr>
        <w:tc>
          <w:tcPr>
            <w:tcW w:type="dxa" w:w="2200"/>
            <w:shd w:fill="FFFFFF" w:val="clear"/>
            <w:tcMar>
              <w:top w:type="dxa" w:w="80"/>
              <w:left w:type="dxa" w:w="100"/>
              <w:bottom w:type="dxa" w:w="80"/>
              <w:right w:type="dxa" w:w="100"/>
            </w:tcMar>
            <w:vAlign w:val="center"/>
          </w:tcPr>
          <w:p>
            <w:pPr>
              <w:spacing w:line="260"/>
            </w:pPr>
            <w:r>
              <w:rPr>
                <w:rFonts w:ascii="Calibri" w:cs="Calibri" w:eastAsia="Calibri" w:hAnsi="Calibri"/>
                <w:b/>
                <w:bCs/>
                <w:color w:val="1B2119"/>
                <w:sz w:val="19"/>
                <w:szCs w:val="19"/>
              </w:rPr>
              <w:t xml:space="preserve">Negotiated corporate rate integration</w:t>
            </w:r>
          </w:p>
        </w:tc>
        <w:tc>
          <w:tcPr>
            <w:tcW w:type="dxa" w:w="3600"/>
            <w:shd w:fill="FFFFFF" w:val="clear"/>
            <w:tcMar>
              <w:top w:type="dxa" w:w="80"/>
              <w:left w:type="dxa" w:w="100"/>
              <w:bottom w:type="dxa" w:w="80"/>
              <w:right w:type="dxa" w:w="100"/>
            </w:tcMar>
            <w:vAlign w:val="center"/>
          </w:tcPr>
          <w:p>
            <w:pPr>
              <w:spacing w:line="260"/>
            </w:pPr>
            <w:r>
              <w:rPr>
                <w:rFonts w:ascii="Calibri" w:cs="Calibri" w:eastAsia="Calibri" w:hAnsi="Calibri"/>
                <w:b w:val="false"/>
                <w:bCs w:val="false"/>
                <w:color w:val="1B2119"/>
                <w:sz w:val="19"/>
                <w:szCs w:val="19"/>
              </w:rPr>
              <w:t xml:space="preserve">Surfaces the company's own contracted hotel/flight/cab rates in-line with public rates during booking.</w:t>
            </w:r>
          </w:p>
        </w:tc>
        <w:tc>
          <w:tcPr>
            <w:tcW w:type="dxa" w:w="3300"/>
            <w:shd w:fill="FFFFFF" w:val="clear"/>
            <w:tcMar>
              <w:top w:type="dxa" w:w="80"/>
              <w:left w:type="dxa" w:w="100"/>
              <w:bottom w:type="dxa" w:w="80"/>
              <w:right w:type="dxa" w:w="100"/>
            </w:tcMar>
            <w:vAlign w:val="center"/>
          </w:tcPr>
          <w:p>
            <w:pPr>
              <w:spacing w:line="260"/>
            </w:pPr>
            <w:r>
              <w:rPr>
                <w:rFonts w:ascii="Calibri" w:cs="Calibri" w:eastAsia="Calibri" w:hAnsi="Calibri"/>
                <w:b w:val="false"/>
                <w:bCs w:val="false"/>
                <w:color w:val="1B2119"/>
                <w:sz w:val="19"/>
                <w:szCs w:val="19"/>
              </w:rPr>
              <w:t xml:space="preserve">Direct, quantifiable cost savings — the single easiest ROI argument for a finance buyer.</w:t>
            </w:r>
          </w:p>
        </w:tc>
      </w:tr>
      <w:tr>
        <w:tc>
          <w:tcPr>
            <w:tcW w:type="dxa" w:w="2200"/>
            <w:shd w:fill="F2F7FA" w:val="clear"/>
            <w:tcMar>
              <w:top w:type="dxa" w:w="80"/>
              <w:left w:type="dxa" w:w="100"/>
              <w:bottom w:type="dxa" w:w="80"/>
              <w:right w:type="dxa" w:w="100"/>
            </w:tcMar>
            <w:vAlign w:val="center"/>
          </w:tcPr>
          <w:p>
            <w:pPr>
              <w:spacing w:line="260"/>
            </w:pPr>
            <w:r>
              <w:rPr>
                <w:rFonts w:ascii="Calibri" w:cs="Calibri" w:eastAsia="Calibri" w:hAnsi="Calibri"/>
                <w:b/>
                <w:bCs/>
                <w:color w:val="1B2119"/>
                <w:sz w:val="19"/>
                <w:szCs w:val="19"/>
              </w:rPr>
              <w:t xml:space="preserve">Preferred-vendor policy enforcement</w:t>
            </w:r>
          </w:p>
        </w:tc>
        <w:tc>
          <w:tcPr>
            <w:tcW w:type="dxa" w:w="3600"/>
            <w:shd w:fill="F2F7FA" w:val="clear"/>
            <w:tcMar>
              <w:top w:type="dxa" w:w="80"/>
              <w:left w:type="dxa" w:w="100"/>
              <w:bottom w:type="dxa" w:w="80"/>
              <w:right w:type="dxa" w:w="100"/>
            </w:tcMar>
            <w:vAlign w:val="center"/>
          </w:tcPr>
          <w:p>
            <w:pPr>
              <w:spacing w:line="260"/>
            </w:pPr>
            <w:r>
              <w:rPr>
                <w:rFonts w:ascii="Calibri" w:cs="Calibri" w:eastAsia="Calibri" w:hAnsi="Calibri"/>
                <w:b w:val="false"/>
                <w:bCs w:val="false"/>
                <w:color w:val="1B2119"/>
                <w:sz w:val="19"/>
                <w:szCs w:val="19"/>
              </w:rPr>
              <w:t xml:space="preserve">Blocks or flags bookings outside the approved vendor list, with an override-and-justify path for exceptions.</w:t>
            </w:r>
          </w:p>
        </w:tc>
        <w:tc>
          <w:tcPr>
            <w:tcW w:type="dxa" w:w="3300"/>
            <w:shd w:fill="F2F7FA" w:val="clear"/>
            <w:tcMar>
              <w:top w:type="dxa" w:w="80"/>
              <w:left w:type="dxa" w:w="100"/>
              <w:bottom w:type="dxa" w:w="80"/>
              <w:right w:type="dxa" w:w="100"/>
            </w:tcMar>
            <w:vAlign w:val="center"/>
          </w:tcPr>
          <w:p>
            <w:pPr>
              <w:spacing w:line="260"/>
            </w:pPr>
            <w:r>
              <w:rPr>
                <w:rFonts w:ascii="Calibri" w:cs="Calibri" w:eastAsia="Calibri" w:hAnsi="Calibri"/>
                <w:b w:val="false"/>
                <w:bCs w:val="false"/>
                <w:color w:val="1B2119"/>
                <w:sz w:val="19"/>
                <w:szCs w:val="19"/>
              </w:rPr>
              <w:t xml:space="preserve">A real compliance requirement at most companies with negotiated travel contracts.</w:t>
            </w:r>
          </w:p>
        </w:tc>
      </w:tr>
      <w:tr>
        <w:tc>
          <w:tcPr>
            <w:tcW w:type="dxa" w:w="2200"/>
            <w:shd w:fill="FFFFFF" w:val="clear"/>
            <w:tcMar>
              <w:top w:type="dxa" w:w="80"/>
              <w:left w:type="dxa" w:w="100"/>
              <w:bottom w:type="dxa" w:w="80"/>
              <w:right w:type="dxa" w:w="100"/>
            </w:tcMar>
            <w:vAlign w:val="center"/>
          </w:tcPr>
          <w:p>
            <w:pPr>
              <w:spacing w:line="260"/>
            </w:pPr>
            <w:r>
              <w:rPr>
                <w:rFonts w:ascii="Calibri" w:cs="Calibri" w:eastAsia="Calibri" w:hAnsi="Calibri"/>
                <w:b/>
                <w:bCs/>
                <w:color w:val="1B2119"/>
                <w:sz w:val="19"/>
                <w:szCs w:val="19"/>
              </w:rPr>
              <w:t xml:space="preserve">Multi-city / multi-leg business itineraries</w:t>
            </w:r>
          </w:p>
        </w:tc>
        <w:tc>
          <w:tcPr>
            <w:tcW w:type="dxa" w:w="3600"/>
            <w:shd w:fill="FFFFFF" w:val="clear"/>
            <w:tcMar>
              <w:top w:type="dxa" w:w="80"/>
              <w:left w:type="dxa" w:w="100"/>
              <w:bottom w:type="dxa" w:w="80"/>
              <w:right w:type="dxa" w:w="100"/>
            </w:tcMar>
            <w:vAlign w:val="center"/>
          </w:tcPr>
          <w:p>
            <w:pPr>
              <w:spacing w:line="260"/>
            </w:pPr>
            <w:r>
              <w:rPr>
                <w:rFonts w:ascii="Calibri" w:cs="Calibri" w:eastAsia="Calibri" w:hAnsi="Calibri"/>
                <w:b w:val="false"/>
                <w:bCs w:val="false"/>
                <w:color w:val="1B2119"/>
                <w:sz w:val="19"/>
                <w:szCs w:val="19"/>
              </w:rPr>
              <w:t xml:space="preserve">First-class support for client-hop itineraries (Mumbai → client A → client B → home) rather than a single round-trip assumption.</w:t>
            </w:r>
          </w:p>
        </w:tc>
        <w:tc>
          <w:tcPr>
            <w:tcW w:type="dxa" w:w="3300"/>
            <w:shd w:fill="FFFFFF" w:val="clear"/>
            <w:tcMar>
              <w:top w:type="dxa" w:w="80"/>
              <w:left w:type="dxa" w:w="100"/>
              <w:bottom w:type="dxa" w:w="80"/>
              <w:right w:type="dxa" w:w="100"/>
            </w:tcMar>
            <w:vAlign w:val="center"/>
          </w:tcPr>
          <w:p>
            <w:pPr>
              <w:spacing w:line="260"/>
            </w:pPr>
            <w:r>
              <w:rPr>
                <w:rFonts w:ascii="Calibri" w:cs="Calibri" w:eastAsia="Calibri" w:hAnsi="Calibri"/>
                <w:b w:val="false"/>
                <w:bCs w:val="false"/>
                <w:color w:val="1B2119"/>
                <w:sz w:val="19"/>
                <w:szCs w:val="19"/>
              </w:rPr>
              <w:t xml:space="preserve">Business travel is disproportionately multi-leg compared to leisure travel; most consumer-first tools handle this poorly.</w:t>
            </w:r>
          </w:p>
        </w:tc>
      </w:tr>
      <w:tr>
        <w:tc>
          <w:tcPr>
            <w:tcW w:type="dxa" w:w="2200"/>
            <w:shd w:fill="F2F7FA" w:val="clear"/>
            <w:tcMar>
              <w:top w:type="dxa" w:w="80"/>
              <w:left w:type="dxa" w:w="100"/>
              <w:bottom w:type="dxa" w:w="80"/>
              <w:right w:type="dxa" w:w="100"/>
            </w:tcMar>
            <w:vAlign w:val="center"/>
          </w:tcPr>
          <w:p>
            <w:pPr>
              <w:spacing w:line="260"/>
            </w:pPr>
            <w:r>
              <w:rPr>
                <w:rFonts w:ascii="Calibri" w:cs="Calibri" w:eastAsia="Calibri" w:hAnsi="Calibri"/>
                <w:b/>
                <w:bCs/>
                <w:color w:val="1B2119"/>
                <w:sz w:val="19"/>
                <w:szCs w:val="19"/>
              </w:rPr>
              <w:t xml:space="preserve">Bulk room-block booking for offsites</w:t>
            </w:r>
          </w:p>
        </w:tc>
        <w:tc>
          <w:tcPr>
            <w:tcW w:type="dxa" w:w="3600"/>
            <w:shd w:fill="F2F7FA" w:val="clear"/>
            <w:tcMar>
              <w:top w:type="dxa" w:w="80"/>
              <w:left w:type="dxa" w:w="100"/>
              <w:bottom w:type="dxa" w:w="80"/>
              <w:right w:type="dxa" w:w="100"/>
            </w:tcMar>
            <w:vAlign w:val="center"/>
          </w:tcPr>
          <w:p>
            <w:pPr>
              <w:spacing w:line="260"/>
            </w:pPr>
            <w:r>
              <w:rPr>
                <w:rFonts w:ascii="Calibri" w:cs="Calibri" w:eastAsia="Calibri" w:hAnsi="Calibri"/>
                <w:b w:val="false"/>
                <w:bCs w:val="false"/>
                <w:color w:val="1B2119"/>
                <w:sz w:val="19"/>
                <w:szCs w:val="19"/>
              </w:rPr>
              <w:t xml:space="preserve">Books and fairly allocates a block of rooms for an offsite, reusing the consumer room-tier split logic underneath.</w:t>
            </w:r>
          </w:p>
        </w:tc>
        <w:tc>
          <w:tcPr>
            <w:tcW w:type="dxa" w:w="3300"/>
            <w:shd w:fill="F2F7FA" w:val="clear"/>
            <w:tcMar>
              <w:top w:type="dxa" w:w="80"/>
              <w:left w:type="dxa" w:w="100"/>
              <w:bottom w:type="dxa" w:w="80"/>
              <w:right w:type="dxa" w:w="100"/>
            </w:tcMar>
            <w:vAlign w:val="center"/>
          </w:tcPr>
          <w:p>
            <w:pPr>
              <w:spacing w:line="260"/>
            </w:pPr>
            <w:r>
              <w:rPr>
                <w:rFonts w:ascii="Calibri" w:cs="Calibri" w:eastAsia="Calibri" w:hAnsi="Calibri"/>
                <w:b w:val="false"/>
                <w:bCs w:val="false"/>
                <w:color w:val="1B2119"/>
                <w:sz w:val="19"/>
                <w:szCs w:val="19"/>
              </w:rPr>
              <w:t xml:space="preserve">Directly reuses your existing room optimizer — a genuine build-time shortcut, not a new engine.</w:t>
            </w:r>
          </w:p>
        </w:tc>
      </w:tr>
      <w:tr>
        <w:tc>
          <w:tcPr>
            <w:tcW w:type="dxa" w:w="2200"/>
            <w:shd w:fill="FFFFFF" w:val="clear"/>
            <w:tcMar>
              <w:top w:type="dxa" w:w="80"/>
              <w:left w:type="dxa" w:w="100"/>
              <w:bottom w:type="dxa" w:w="80"/>
              <w:right w:type="dxa" w:w="100"/>
            </w:tcMar>
            <w:vAlign w:val="center"/>
          </w:tcPr>
          <w:p>
            <w:pPr>
              <w:spacing w:line="260"/>
            </w:pPr>
            <w:r>
              <w:rPr>
                <w:rFonts w:ascii="Calibri" w:cs="Calibri" w:eastAsia="Calibri" w:hAnsi="Calibri"/>
                <w:b/>
                <w:bCs/>
                <w:color w:val="1B2119"/>
                <w:sz w:val="19"/>
                <w:szCs w:val="19"/>
              </w:rPr>
              <w:t xml:space="preserve">Meeting-room / venue booking in the itinerary</w:t>
            </w:r>
          </w:p>
        </w:tc>
        <w:tc>
          <w:tcPr>
            <w:tcW w:type="dxa" w:w="3600"/>
            <w:shd w:fill="FFFFFF" w:val="clear"/>
            <w:tcMar>
              <w:top w:type="dxa" w:w="80"/>
              <w:left w:type="dxa" w:w="100"/>
              <w:bottom w:type="dxa" w:w="80"/>
              <w:right w:type="dxa" w:w="100"/>
            </w:tcMar>
            <w:vAlign w:val="center"/>
          </w:tcPr>
          <w:p>
            <w:pPr>
              <w:spacing w:line="260"/>
            </w:pPr>
            <w:r>
              <w:rPr>
                <w:rFonts w:ascii="Calibri" w:cs="Calibri" w:eastAsia="Calibri" w:hAnsi="Calibri"/>
                <w:b w:val="false"/>
                <w:bCs w:val="false"/>
                <w:color w:val="1B2119"/>
                <w:sz w:val="19"/>
                <w:szCs w:val="19"/>
              </w:rPr>
              <w:t xml:space="preserve">Conference rooms and offsite venues become bookable itinerary items alongside flights and hotels.</w:t>
            </w:r>
          </w:p>
        </w:tc>
        <w:tc>
          <w:tcPr>
            <w:tcW w:type="dxa" w:w="3300"/>
            <w:shd w:fill="FFFFFF" w:val="clear"/>
            <w:tcMar>
              <w:top w:type="dxa" w:w="80"/>
              <w:left w:type="dxa" w:w="100"/>
              <w:bottom w:type="dxa" w:w="80"/>
              <w:right w:type="dxa" w:w="100"/>
            </w:tcMar>
            <w:vAlign w:val="center"/>
          </w:tcPr>
          <w:p>
            <w:pPr>
              <w:spacing w:line="260"/>
            </w:pPr>
            <w:r>
              <w:rPr>
                <w:rFonts w:ascii="Calibri" w:cs="Calibri" w:eastAsia="Calibri" w:hAnsi="Calibri"/>
                <w:b w:val="false"/>
                <w:bCs w:val="false"/>
                <w:color w:val="1B2119"/>
                <w:sz w:val="19"/>
                <w:szCs w:val="19"/>
              </w:rPr>
              <w:t xml:space="preserve">Keeps the whole trip — travel and the actual work it's for — in one place instead of two disconnected tools.</w:t>
            </w:r>
          </w:p>
        </w:tc>
      </w:tr>
      <w:tr>
        <w:tc>
          <w:tcPr>
            <w:tcW w:type="dxa" w:w="2200"/>
            <w:shd w:fill="F2F7FA" w:val="clear"/>
            <w:tcMar>
              <w:top w:type="dxa" w:w="80"/>
              <w:left w:type="dxa" w:w="100"/>
              <w:bottom w:type="dxa" w:w="80"/>
              <w:right w:type="dxa" w:w="100"/>
            </w:tcMar>
            <w:vAlign w:val="center"/>
          </w:tcPr>
          <w:p>
            <w:pPr>
              <w:spacing w:line="260"/>
            </w:pPr>
            <w:r>
              <w:rPr>
                <w:rFonts w:ascii="Calibri" w:cs="Calibri" w:eastAsia="Calibri" w:hAnsi="Calibri"/>
                <w:b/>
                <w:bCs/>
                <w:color w:val="1B2119"/>
                <w:sz w:val="19"/>
                <w:szCs w:val="19"/>
              </w:rPr>
              <w:t xml:space="preserve">Airport-transfer fleet integration</w:t>
            </w:r>
          </w:p>
        </w:tc>
        <w:tc>
          <w:tcPr>
            <w:tcW w:type="dxa" w:w="3600"/>
            <w:shd w:fill="F2F7FA" w:val="clear"/>
            <w:tcMar>
              <w:top w:type="dxa" w:w="80"/>
              <w:left w:type="dxa" w:w="100"/>
              <w:bottom w:type="dxa" w:w="80"/>
              <w:right w:type="dxa" w:w="100"/>
            </w:tcMar>
            <w:vAlign w:val="center"/>
          </w:tcPr>
          <w:p>
            <w:pPr>
              <w:spacing w:line="260"/>
            </w:pPr>
            <w:r>
              <w:rPr>
                <w:rFonts w:ascii="Calibri" w:cs="Calibri" w:eastAsia="Calibri" w:hAnsi="Calibri"/>
                <w:b w:val="false"/>
                <w:bCs w:val="false"/>
                <w:color w:val="1B2119"/>
                <w:sz w:val="19"/>
                <w:szCs w:val="19"/>
              </w:rPr>
              <w:t xml:space="preserve">Coordinates cab/shuttle bookings at scale for groups arriving at similar times.</w:t>
            </w:r>
          </w:p>
        </w:tc>
        <w:tc>
          <w:tcPr>
            <w:tcW w:type="dxa" w:w="3300"/>
            <w:shd w:fill="F2F7FA" w:val="clear"/>
            <w:tcMar>
              <w:top w:type="dxa" w:w="80"/>
              <w:left w:type="dxa" w:w="100"/>
              <w:bottom w:type="dxa" w:w="80"/>
              <w:right w:type="dxa" w:w="100"/>
            </w:tcMar>
            <w:vAlign w:val="center"/>
          </w:tcPr>
          <w:p>
            <w:pPr>
              <w:spacing w:line="260"/>
            </w:pPr>
            <w:r>
              <w:rPr>
                <w:rFonts w:ascii="Calibri" w:cs="Calibri" w:eastAsia="Calibri" w:hAnsi="Calibri"/>
                <w:b w:val="false"/>
                <w:bCs w:val="false"/>
                <w:color w:val="1B2119"/>
                <w:sz w:val="19"/>
                <w:szCs w:val="19"/>
              </w:rPr>
              <w:t xml:space="preserve">A small logistics detail that's disproportionately annoying to coordinate manually for a 12-person offsite.</w:t>
            </w:r>
          </w:p>
        </w:tc>
      </w:tr>
    </w:tbl>
    <w:p>
      <w:pPr>
        <w:spacing w:after="160"/>
      </w:pPr>
    </w:p>
    <w:tbl>
      <w:tblPr>
        <w:tblW w:type="pct" w:w="100%"/>
        <w:tblBorders>
          <w:top w:val="single" w:color="9C7A1E" w:sz="4"/>
          <w:left w:val="single" w:color="9C7A1E" w:sz="24"/>
          <w:bottom w:val="single" w:color="9C7A1E" w:sz="4"/>
          <w:right w:val="single" w:color="9C7A1E" w:sz="4"/>
          <w:insideH w:val="single" w:color="auto" w:sz="4"/>
          <w:insideV w:val="single" w:color="auto" w:sz="4"/>
        </w:tblBorders>
      </w:tblPr>
      <w:tblGrid>
        <w:gridCol w:w="100"/>
      </w:tblGrid>
      <w:tr>
        <w:tc>
          <w:tcPr>
            <w:tcW w:type="pct" w:w="100%"/>
            <w:shd w:fill="FBF3DC" w:val="clear"/>
            <w:tcMar>
              <w:top w:type="dxa" w:w="140"/>
              <w:left w:type="dxa" w:w="220"/>
              <w:bottom w:type="dxa" w:w="140"/>
              <w:right w:type="dxa" w:w="220"/>
            </w:tcMar>
          </w:tcPr>
          <w:p>
            <w:pPr>
              <w:spacing w:after="80"/>
            </w:pPr>
            <w:r>
              <w:rPr>
                <w:rFonts w:ascii="Calibri" w:cs="Calibri" w:eastAsia="Calibri" w:hAnsi="Calibri"/>
                <w:b/>
                <w:bCs/>
                <w:color w:val="9C7A1E"/>
                <w:sz w:val="19"/>
                <w:szCs w:val="19"/>
              </w:rPr>
              <w:t xml:space="preserve">MOONSHOT — </w:t>
            </w:r>
            <w:r>
              <w:rPr>
                <w:rFonts w:ascii="Calibri" w:cs="Calibri" w:eastAsia="Calibri" w:hAnsi="Calibri"/>
                <w:b/>
                <w:bCs/>
                <w:color w:val="1B2119"/>
                <w:sz w:val="21"/>
                <w:szCs w:val="21"/>
              </w:rPr>
              <w:t xml:space="preserve">Corporate rates, visible where the booking decision actually happens.</w:t>
            </w:r>
          </w:p>
          <w:p>
            <w:pPr>
              <w:spacing w:after="60" w:line="280"/>
              <w:ind w:left="120"/>
            </w:pPr>
            <w:r>
              <w:rPr>
                <w:rFonts w:ascii="Calibri" w:cs="Calibri" w:eastAsia="Calibri" w:hAnsi="Calibri"/>
                <w:color w:val="1B2119"/>
                <w:sz w:val="20"/>
                <w:szCs w:val="20"/>
              </w:rPr>
              <w:t xml:space="preserve">•  Most companies already negotiate rates but bury them in a separate portal nobody checks before booking elsewhere.</w:t>
            </w:r>
          </w:p>
          <w:p>
            <w:pPr>
              <w:spacing w:after="60" w:line="280"/>
              <w:ind w:left="120"/>
            </w:pPr>
            <w:r>
              <w:rPr>
                <w:rFonts w:ascii="Calibri" w:cs="Calibri" w:eastAsia="Calibri" w:hAnsi="Calibri"/>
                <w:color w:val="1B2119"/>
                <w:sz w:val="20"/>
                <w:szCs w:val="20"/>
              </w:rPr>
              <w:t xml:space="preserve">•  Surfacing them inline turns compliance from a rule into the obviously easier choice — the same design instinct as policy-aware planning in Pillar 1.</w:t>
            </w:r>
          </w:p>
        </w:tc>
      </w:tr>
    </w:tbl>
    <w:p>
      <w:pPr>
        <w:spacing w:after="140"/>
      </w:pPr>
    </w:p>
    <w:p>
      <w:pPr>
        <w:pStyle w:val="Heading1"/>
        <w:pBdr>
          <w:bottom w:val="single" w:color="2E86AB" w:sz="8" w:space="4"/>
        </w:pBdr>
        <w:spacing w:after="200" w:before="400"/>
      </w:pPr>
      <w:r>
        <w:rPr>
          <w:rFonts w:ascii="Calibri" w:cs="Calibri" w:eastAsia="Calibri" w:hAnsi="Calibri"/>
          <w:b/>
          <w:bCs/>
          <w:color w:val="17324A"/>
          <w:sz w:val="32"/>
          <w:szCs w:val="32"/>
        </w:rPr>
        <w:t xml:space="preserve">Pillar 4 — Financial (Corporate)</w:t>
      </w:r>
    </w:p>
    <w:p>
      <w:pPr>
        <w:spacing w:after="160" w:line="300"/>
      </w:pPr>
      <w:r>
        <w:rPr>
          <w:rFonts w:ascii="Calibri" w:cs="Calibri" w:eastAsia="Calibri" w:hAnsi="Calibri"/>
          <w:color w:val="1B2119"/>
          <w:sz w:val="21"/>
          <w:szCs w:val="21"/>
        </w:rPr>
        <w:t xml:space="preserve">This is where the existing Phase 2 spec already has real bones — organizations, expense_policies, approvals, cost centers. The corporate financial pillar should be the most fully-built of the six, because it's what a finance buyer is actually paying for.</w:t>
      </w:r>
    </w:p>
    <w:tbl>
      <w:tblPr>
        <w:tblW w:type="dxa" w:w="9100"/>
        <w:tblBorders>
          <w:top w:val="single" w:color="C9D5DE" w:sz="2"/>
          <w:left w:val="single" w:color="C9D5DE" w:sz="2"/>
          <w:bottom w:val="single" w:color="C9D5DE" w:sz="2"/>
          <w:right w:val="single" w:color="C9D5DE" w:sz="2"/>
          <w:insideH w:val="single" w:color="C9D5DE" w:sz="2"/>
          <w:insideV w:val="single" w:color="C9D5DE" w:sz="2"/>
        </w:tblBorders>
      </w:tblPr>
      <w:tblGrid>
        <w:gridCol w:w="2200"/>
        <w:gridCol w:w="3600"/>
        <w:gridCol w:w="3300"/>
      </w:tblGrid>
      <w:tr>
        <w:trPr>
          <w:tblHeader/>
        </w:trPr>
        <w:tc>
          <w:tcPr>
            <w:tcW w:type="dxa" w:w="2200"/>
            <w:shd w:fill="E7F0F6" w:val="clear"/>
            <w:tcMar>
              <w:top w:type="dxa" w:w="80"/>
              <w:left w:type="dxa" w:w="100"/>
              <w:bottom w:type="dxa" w:w="80"/>
              <w:right w:type="dxa" w:w="100"/>
            </w:tcMar>
          </w:tcPr>
          <w:p>
            <w:r>
              <w:rPr>
                <w:rFonts w:ascii="Calibri" w:cs="Calibri" w:eastAsia="Calibri" w:hAnsi="Calibri"/>
                <w:b/>
                <w:bCs/>
                <w:color w:val="1F5A82"/>
                <w:sz w:val="19"/>
                <w:szCs w:val="19"/>
              </w:rPr>
              <w:t xml:space="preserve">Feature</w:t>
            </w:r>
          </w:p>
        </w:tc>
        <w:tc>
          <w:tcPr>
            <w:tcW w:type="dxa" w:w="3600"/>
            <w:shd w:fill="E7F0F6" w:val="clear"/>
            <w:tcMar>
              <w:top w:type="dxa" w:w="80"/>
              <w:left w:type="dxa" w:w="100"/>
              <w:bottom w:type="dxa" w:w="80"/>
              <w:right w:type="dxa" w:w="100"/>
            </w:tcMar>
          </w:tcPr>
          <w:p>
            <w:r>
              <w:rPr>
                <w:rFonts w:ascii="Calibri" w:cs="Calibri" w:eastAsia="Calibri" w:hAnsi="Calibri"/>
                <w:b/>
                <w:bCs/>
                <w:color w:val="1F5A82"/>
                <w:sz w:val="19"/>
                <w:szCs w:val="19"/>
              </w:rPr>
              <w:t xml:space="preserve">What it does</w:t>
            </w:r>
          </w:p>
        </w:tc>
        <w:tc>
          <w:tcPr>
            <w:tcW w:type="dxa" w:w="3300"/>
            <w:shd w:fill="E7F0F6" w:val="clear"/>
            <w:tcMar>
              <w:top w:type="dxa" w:w="80"/>
              <w:left w:type="dxa" w:w="100"/>
              <w:bottom w:type="dxa" w:w="80"/>
              <w:right w:type="dxa" w:w="100"/>
            </w:tcMar>
          </w:tcPr>
          <w:p>
            <w:r>
              <w:rPr>
                <w:rFonts w:ascii="Calibri" w:cs="Calibri" w:eastAsia="Calibri" w:hAnsi="Calibri"/>
                <w:b/>
                <w:bCs/>
                <w:color w:val="1F5A82"/>
                <w:sz w:val="19"/>
                <w:szCs w:val="19"/>
              </w:rPr>
              <w:t xml:space="preserve">Why it matters</w:t>
            </w:r>
          </w:p>
        </w:tc>
      </w:tr>
      <w:tr>
        <w:tc>
          <w:tcPr>
            <w:tcW w:type="dxa" w:w="2200"/>
            <w:shd w:fill="FFFFFF" w:val="clear"/>
            <w:tcMar>
              <w:top w:type="dxa" w:w="80"/>
              <w:left w:type="dxa" w:w="100"/>
              <w:bottom w:type="dxa" w:w="80"/>
              <w:right w:type="dxa" w:w="100"/>
            </w:tcMar>
            <w:vAlign w:val="center"/>
          </w:tcPr>
          <w:p>
            <w:pPr>
              <w:spacing w:line="260"/>
            </w:pPr>
            <w:r>
              <w:rPr>
                <w:rFonts w:ascii="Calibri" w:cs="Calibri" w:eastAsia="Calibri" w:hAnsi="Calibri"/>
                <w:b/>
                <w:bCs/>
                <w:color w:val="1B2119"/>
                <w:sz w:val="19"/>
                <w:szCs w:val="19"/>
              </w:rPr>
              <w:t xml:space="preserve">Cost-center allocation with overrides</w:t>
            </w:r>
          </w:p>
        </w:tc>
        <w:tc>
          <w:tcPr>
            <w:tcW w:type="dxa" w:w="3600"/>
            <w:shd w:fill="FFFFFF" w:val="clear"/>
            <w:tcMar>
              <w:top w:type="dxa" w:w="80"/>
              <w:left w:type="dxa" w:w="100"/>
              <w:bottom w:type="dxa" w:w="80"/>
              <w:right w:type="dxa" w:w="100"/>
            </w:tcMar>
            <w:vAlign w:val="center"/>
          </w:tcPr>
          <w:p>
            <w:pPr>
              <w:spacing w:line="260"/>
            </w:pPr>
            <w:r>
              <w:rPr>
                <w:rFonts w:ascii="Calibri" w:cs="Calibri" w:eastAsia="Calibri" w:hAnsi="Calibri"/>
                <w:b w:val="false"/>
                <w:bCs w:val="false"/>
                <w:color w:val="1B2119"/>
                <w:sz w:val="19"/>
                <w:szCs w:val="19"/>
              </w:rPr>
              <w:t xml:space="preserve">Default cost center per employee, overridable per expense line (a shared team dinner tagged to a different department).</w:t>
            </w:r>
          </w:p>
        </w:tc>
        <w:tc>
          <w:tcPr>
            <w:tcW w:type="dxa" w:w="3300"/>
            <w:shd w:fill="FFFFFF" w:val="clear"/>
            <w:tcMar>
              <w:top w:type="dxa" w:w="80"/>
              <w:left w:type="dxa" w:w="100"/>
              <w:bottom w:type="dxa" w:w="80"/>
              <w:right w:type="dxa" w:w="100"/>
            </w:tcMar>
            <w:vAlign w:val="center"/>
          </w:tcPr>
          <w:p>
            <w:pPr>
              <w:spacing w:line="260"/>
            </w:pPr>
            <w:r>
              <w:rPr>
                <w:rFonts w:ascii="Calibri" w:cs="Calibri" w:eastAsia="Calibri" w:hAnsi="Calibri"/>
                <w:b w:val="false"/>
                <w:bCs w:val="false"/>
                <w:color w:val="1B2119"/>
                <w:sz w:val="19"/>
                <w:szCs w:val="19"/>
              </w:rPr>
              <w:t xml:space="preserve">Already spec'd in the existing schema — extend it, don't rebuild it.</w:t>
            </w:r>
          </w:p>
        </w:tc>
      </w:tr>
      <w:tr>
        <w:tc>
          <w:tcPr>
            <w:tcW w:type="dxa" w:w="2200"/>
            <w:shd w:fill="F2F7FA" w:val="clear"/>
            <w:tcMar>
              <w:top w:type="dxa" w:w="80"/>
              <w:left w:type="dxa" w:w="100"/>
              <w:bottom w:type="dxa" w:w="80"/>
              <w:right w:type="dxa" w:w="100"/>
            </w:tcMar>
            <w:vAlign w:val="center"/>
          </w:tcPr>
          <w:p>
            <w:pPr>
              <w:spacing w:line="260"/>
            </w:pPr>
            <w:r>
              <w:rPr>
                <w:rFonts w:ascii="Calibri" w:cs="Calibri" w:eastAsia="Calibri" w:hAnsi="Calibri"/>
                <w:b/>
                <w:bCs/>
                <w:color w:val="1B2119"/>
                <w:sz w:val="19"/>
                <w:szCs w:val="19"/>
              </w:rPr>
              <w:t xml:space="preserve">Category spend policies with thresholds</w:t>
            </w:r>
          </w:p>
        </w:tc>
        <w:tc>
          <w:tcPr>
            <w:tcW w:type="dxa" w:w="3600"/>
            <w:shd w:fill="F2F7FA" w:val="clear"/>
            <w:tcMar>
              <w:top w:type="dxa" w:w="80"/>
              <w:left w:type="dxa" w:w="100"/>
              <w:bottom w:type="dxa" w:w="80"/>
              <w:right w:type="dxa" w:w="100"/>
            </w:tcMar>
            <w:vAlign w:val="center"/>
          </w:tcPr>
          <w:p>
            <w:pPr>
              <w:spacing w:line="260"/>
            </w:pPr>
            <w:r>
              <w:rPr>
                <w:rFonts w:ascii="Calibri" w:cs="Calibri" w:eastAsia="Calibri" w:hAnsi="Calibri"/>
                <w:b w:val="false"/>
                <w:bCs w:val="false"/>
                <w:color w:val="1B2119"/>
                <w:sz w:val="19"/>
                <w:szCs w:val="19"/>
              </w:rPr>
              <w:t xml:space="preserve">Per-category max amounts and approval thresholds, enforced automatically when an expense is logged.</w:t>
            </w:r>
          </w:p>
        </w:tc>
        <w:tc>
          <w:tcPr>
            <w:tcW w:type="dxa" w:w="3300"/>
            <w:shd w:fill="F2F7FA" w:val="clear"/>
            <w:tcMar>
              <w:top w:type="dxa" w:w="80"/>
              <w:left w:type="dxa" w:w="100"/>
              <w:bottom w:type="dxa" w:w="80"/>
              <w:right w:type="dxa" w:w="100"/>
            </w:tcMar>
            <w:vAlign w:val="center"/>
          </w:tcPr>
          <w:p>
            <w:pPr>
              <w:spacing w:line="260"/>
            </w:pPr>
            <w:r>
              <w:rPr>
                <w:rFonts w:ascii="Calibri" w:cs="Calibri" w:eastAsia="Calibri" w:hAnsi="Calibri"/>
                <w:b w:val="false"/>
                <w:bCs w:val="false"/>
                <w:color w:val="1B2119"/>
                <w:sz w:val="19"/>
                <w:szCs w:val="19"/>
              </w:rPr>
              <w:t xml:space="preserve">Already spec'd (expense_policies) — the corporate financial pillar's foundation is already real.</w:t>
            </w:r>
          </w:p>
        </w:tc>
      </w:tr>
      <w:tr>
        <w:tc>
          <w:tcPr>
            <w:tcW w:type="dxa" w:w="2200"/>
            <w:shd w:fill="FFFFFF" w:val="clear"/>
            <w:tcMar>
              <w:top w:type="dxa" w:w="80"/>
              <w:left w:type="dxa" w:w="100"/>
              <w:bottom w:type="dxa" w:w="80"/>
              <w:right w:type="dxa" w:w="100"/>
            </w:tcMar>
            <w:vAlign w:val="center"/>
          </w:tcPr>
          <w:p>
            <w:pPr>
              <w:spacing w:line="260"/>
            </w:pPr>
            <w:r>
              <w:rPr>
                <w:rFonts w:ascii="Calibri" w:cs="Calibri" w:eastAsia="Calibri" w:hAnsi="Calibri"/>
                <w:b/>
                <w:bCs/>
                <w:color w:val="1B2119"/>
                <w:sz w:val="19"/>
                <w:szCs w:val="19"/>
              </w:rPr>
              <w:t xml:space="preserve">Multi-level approval chains</w:t>
            </w:r>
          </w:p>
        </w:tc>
        <w:tc>
          <w:tcPr>
            <w:tcW w:type="dxa" w:w="3600"/>
            <w:shd w:fill="FFFFFF" w:val="clear"/>
            <w:tcMar>
              <w:top w:type="dxa" w:w="80"/>
              <w:left w:type="dxa" w:w="100"/>
              <w:bottom w:type="dxa" w:w="80"/>
              <w:right w:type="dxa" w:w="100"/>
            </w:tcMar>
            <w:vAlign w:val="center"/>
          </w:tcPr>
          <w:p>
            <w:pPr>
              <w:spacing w:line="260"/>
            </w:pPr>
            <w:r>
              <w:rPr>
                <w:rFonts w:ascii="Calibri" w:cs="Calibri" w:eastAsia="Calibri" w:hAnsi="Calibri"/>
                <w:b w:val="false"/>
                <w:bCs w:val="false"/>
                <w:color w:val="1B2119"/>
                <w:sz w:val="19"/>
                <w:szCs w:val="19"/>
              </w:rPr>
              <w:t xml:space="preserve">Extends the existing single-approver flow to manager → finance for spend above a second, higher threshold.</w:t>
            </w:r>
          </w:p>
        </w:tc>
        <w:tc>
          <w:tcPr>
            <w:tcW w:type="dxa" w:w="3300"/>
            <w:shd w:fill="FFFFFF" w:val="clear"/>
            <w:tcMar>
              <w:top w:type="dxa" w:w="80"/>
              <w:left w:type="dxa" w:w="100"/>
              <w:bottom w:type="dxa" w:w="80"/>
              <w:right w:type="dxa" w:w="100"/>
            </w:tcMar>
            <w:vAlign w:val="center"/>
          </w:tcPr>
          <w:p>
            <w:pPr>
              <w:spacing w:line="260"/>
            </w:pPr>
            <w:r>
              <w:rPr>
                <w:rFonts w:ascii="Calibri" w:cs="Calibri" w:eastAsia="Calibri" w:hAnsi="Calibri"/>
                <w:b w:val="false"/>
                <w:bCs w:val="false"/>
                <w:color w:val="1B2119"/>
                <w:sz w:val="19"/>
                <w:szCs w:val="19"/>
              </w:rPr>
              <w:t xml:space="preserve">Real companies need tiered approval for large spend; a single approval step doesn't scale past a certain trip size.</w:t>
            </w:r>
          </w:p>
        </w:tc>
      </w:tr>
      <w:tr>
        <w:tc>
          <w:tcPr>
            <w:tcW w:type="dxa" w:w="2200"/>
            <w:shd w:fill="F2F7FA" w:val="clear"/>
            <w:tcMar>
              <w:top w:type="dxa" w:w="80"/>
              <w:left w:type="dxa" w:w="100"/>
              <w:bottom w:type="dxa" w:w="80"/>
              <w:right w:type="dxa" w:w="100"/>
            </w:tcMar>
            <w:vAlign w:val="center"/>
          </w:tcPr>
          <w:p>
            <w:pPr>
              <w:spacing w:line="260"/>
            </w:pPr>
            <w:r>
              <w:rPr>
                <w:rFonts w:ascii="Calibri" w:cs="Calibri" w:eastAsia="Calibri" w:hAnsi="Calibri"/>
                <w:b/>
                <w:bCs/>
                <w:color w:val="1B2119"/>
                <w:sz w:val="19"/>
                <w:szCs w:val="19"/>
              </w:rPr>
              <w:t xml:space="preserve">Per-diem auto-calculation</w:t>
            </w:r>
          </w:p>
        </w:tc>
        <w:tc>
          <w:tcPr>
            <w:tcW w:type="dxa" w:w="3600"/>
            <w:shd w:fill="F2F7FA" w:val="clear"/>
            <w:tcMar>
              <w:top w:type="dxa" w:w="80"/>
              <w:left w:type="dxa" w:w="100"/>
              <w:bottom w:type="dxa" w:w="80"/>
              <w:right w:type="dxa" w:w="100"/>
            </w:tcMar>
            <w:vAlign w:val="center"/>
          </w:tcPr>
          <w:p>
            <w:pPr>
              <w:spacing w:line="260"/>
            </w:pPr>
            <w:r>
              <w:rPr>
                <w:rFonts w:ascii="Calibri" w:cs="Calibri" w:eastAsia="Calibri" w:hAnsi="Calibri"/>
                <w:b w:val="false"/>
                <w:bCs w:val="false"/>
                <w:color w:val="1B2119"/>
                <w:sz w:val="19"/>
                <w:szCs w:val="19"/>
              </w:rPr>
              <w:t xml:space="preserve">Computes meal/incidental per-diem automatically by destination and employee grade, instead of manual claims.</w:t>
            </w:r>
          </w:p>
        </w:tc>
        <w:tc>
          <w:tcPr>
            <w:tcW w:type="dxa" w:w="3300"/>
            <w:shd w:fill="F2F7FA" w:val="clear"/>
            <w:tcMar>
              <w:top w:type="dxa" w:w="80"/>
              <w:left w:type="dxa" w:w="100"/>
              <w:bottom w:type="dxa" w:w="80"/>
              <w:right w:type="dxa" w:w="100"/>
            </w:tcMar>
            <w:vAlign w:val="center"/>
          </w:tcPr>
          <w:p>
            <w:pPr>
              <w:spacing w:line="260"/>
            </w:pPr>
            <w:r>
              <w:rPr>
                <w:rFonts w:ascii="Calibri" w:cs="Calibri" w:eastAsia="Calibri" w:hAnsi="Calibri"/>
                <w:b w:val="false"/>
                <w:bCs w:val="false"/>
                <w:color w:val="1B2119"/>
                <w:sz w:val="19"/>
                <w:szCs w:val="19"/>
              </w:rPr>
              <w:t xml:space="preserve">Removes one of the most tedious manual expense-reporting tasks entirely.</w:t>
            </w:r>
          </w:p>
        </w:tc>
      </w:tr>
      <w:tr>
        <w:tc>
          <w:tcPr>
            <w:tcW w:type="dxa" w:w="2200"/>
            <w:shd w:fill="FFFFFF" w:val="clear"/>
            <w:tcMar>
              <w:top w:type="dxa" w:w="80"/>
              <w:left w:type="dxa" w:w="100"/>
              <w:bottom w:type="dxa" w:w="80"/>
              <w:right w:type="dxa" w:w="100"/>
            </w:tcMar>
            <w:vAlign w:val="center"/>
          </w:tcPr>
          <w:p>
            <w:pPr>
              <w:spacing w:line="260"/>
            </w:pPr>
            <w:r>
              <w:rPr>
                <w:rFonts w:ascii="Calibri" w:cs="Calibri" w:eastAsia="Calibri" w:hAnsi="Calibri"/>
                <w:b/>
                <w:bCs/>
                <w:color w:val="1B2119"/>
                <w:sz w:val="19"/>
                <w:szCs w:val="19"/>
              </w:rPr>
              <w:t xml:space="preserve">Real-time department spend dashboard</w:t>
            </w:r>
          </w:p>
        </w:tc>
        <w:tc>
          <w:tcPr>
            <w:tcW w:type="dxa" w:w="3600"/>
            <w:shd w:fill="FFFFFF" w:val="clear"/>
            <w:tcMar>
              <w:top w:type="dxa" w:w="80"/>
              <w:left w:type="dxa" w:w="100"/>
              <w:bottom w:type="dxa" w:w="80"/>
              <w:right w:type="dxa" w:w="100"/>
            </w:tcMar>
            <w:vAlign w:val="center"/>
          </w:tcPr>
          <w:p>
            <w:pPr>
              <w:spacing w:line="260"/>
            </w:pPr>
            <w:r>
              <w:rPr>
                <w:rFonts w:ascii="Calibri" w:cs="Calibri" w:eastAsia="Calibri" w:hAnsi="Calibri"/>
                <w:b w:val="false"/>
                <w:bCs w:val="false"/>
                <w:color w:val="1B2119"/>
                <w:sz w:val="19"/>
                <w:szCs w:val="19"/>
              </w:rPr>
              <w:t xml:space="preserve">Finance sees live travel spend by department/cost center against budget, not a month-end report.</w:t>
            </w:r>
          </w:p>
        </w:tc>
        <w:tc>
          <w:tcPr>
            <w:tcW w:type="dxa" w:w="3300"/>
            <w:shd w:fill="FFFFFF" w:val="clear"/>
            <w:tcMar>
              <w:top w:type="dxa" w:w="80"/>
              <w:left w:type="dxa" w:w="100"/>
              <w:bottom w:type="dxa" w:w="80"/>
              <w:right w:type="dxa" w:w="100"/>
            </w:tcMar>
            <w:vAlign w:val="center"/>
          </w:tcPr>
          <w:p>
            <w:pPr>
              <w:spacing w:line="260"/>
            </w:pPr>
            <w:r>
              <w:rPr>
                <w:rFonts w:ascii="Calibri" w:cs="Calibri" w:eastAsia="Calibri" w:hAnsi="Calibri"/>
                <w:b w:val="false"/>
                <w:bCs w:val="false"/>
                <w:color w:val="1B2119"/>
                <w:sz w:val="19"/>
                <w:szCs w:val="19"/>
              </w:rPr>
              <w:t xml:space="preserve">Turns travel budgeting from reactive to proactive for finance teams.</w:t>
            </w:r>
          </w:p>
        </w:tc>
      </w:tr>
      <w:tr>
        <w:tc>
          <w:tcPr>
            <w:tcW w:type="dxa" w:w="2200"/>
            <w:shd w:fill="F2F7FA" w:val="clear"/>
            <w:tcMar>
              <w:top w:type="dxa" w:w="80"/>
              <w:left w:type="dxa" w:w="100"/>
              <w:bottom w:type="dxa" w:w="80"/>
              <w:right w:type="dxa" w:w="100"/>
            </w:tcMar>
            <w:vAlign w:val="center"/>
          </w:tcPr>
          <w:p>
            <w:pPr>
              <w:spacing w:line="260"/>
            </w:pPr>
            <w:r>
              <w:rPr>
                <w:rFonts w:ascii="Calibri" w:cs="Calibri" w:eastAsia="Calibri" w:hAnsi="Calibri"/>
                <w:b/>
                <w:bCs/>
                <w:color w:val="1B2119"/>
                <w:sz w:val="19"/>
                <w:szCs w:val="19"/>
              </w:rPr>
              <w:t xml:space="preserve">Corporate card statement reconciliation</w:t>
            </w:r>
          </w:p>
        </w:tc>
        <w:tc>
          <w:tcPr>
            <w:tcW w:type="dxa" w:w="3600"/>
            <w:shd w:fill="F2F7FA" w:val="clear"/>
            <w:tcMar>
              <w:top w:type="dxa" w:w="80"/>
              <w:left w:type="dxa" w:w="100"/>
              <w:bottom w:type="dxa" w:w="80"/>
              <w:right w:type="dxa" w:w="100"/>
            </w:tcMar>
            <w:vAlign w:val="center"/>
          </w:tcPr>
          <w:p>
            <w:pPr>
              <w:spacing w:line="260"/>
            </w:pPr>
            <w:r>
              <w:rPr>
                <w:rFonts w:ascii="Calibri" w:cs="Calibri" w:eastAsia="Calibri" w:hAnsi="Calibri"/>
                <w:b w:val="false"/>
                <w:bCs w:val="false"/>
                <w:color w:val="1B2119"/>
                <w:sz w:val="19"/>
                <w:szCs w:val="19"/>
              </w:rPr>
              <w:t xml:space="preserve">Matches corporate card transactions against logged expenses, flagging unmatched items on either side.</w:t>
            </w:r>
          </w:p>
        </w:tc>
        <w:tc>
          <w:tcPr>
            <w:tcW w:type="dxa" w:w="3300"/>
            <w:shd w:fill="F2F7FA" w:val="clear"/>
            <w:tcMar>
              <w:top w:type="dxa" w:w="80"/>
              <w:left w:type="dxa" w:w="100"/>
              <w:bottom w:type="dxa" w:w="80"/>
              <w:right w:type="dxa" w:w="100"/>
            </w:tcMar>
            <w:vAlign w:val="center"/>
          </w:tcPr>
          <w:p>
            <w:pPr>
              <w:spacing w:line="260"/>
            </w:pPr>
            <w:r>
              <w:rPr>
                <w:rFonts w:ascii="Calibri" w:cs="Calibri" w:eastAsia="Calibri" w:hAnsi="Calibri"/>
                <w:b w:val="false"/>
                <w:bCs w:val="false"/>
                <w:color w:val="1B2119"/>
                <w:sz w:val="19"/>
                <w:szCs w:val="19"/>
              </w:rPr>
              <w:t xml:space="preserve">A real, valuable integration — but depends on a card-network or bank feed partnership, so scope it as a mid-term build, not a v1 feature.</w:t>
            </w:r>
          </w:p>
        </w:tc>
      </w:tr>
      <w:tr>
        <w:tc>
          <w:tcPr>
            <w:tcW w:type="dxa" w:w="2200"/>
            <w:shd w:fill="FFFFFF" w:val="clear"/>
            <w:tcMar>
              <w:top w:type="dxa" w:w="80"/>
              <w:left w:type="dxa" w:w="100"/>
              <w:bottom w:type="dxa" w:w="80"/>
              <w:right w:type="dxa" w:w="100"/>
            </w:tcMar>
            <w:vAlign w:val="center"/>
          </w:tcPr>
          <w:p>
            <w:pPr>
              <w:spacing w:line="260"/>
            </w:pPr>
            <w:r>
              <w:rPr>
                <w:rFonts w:ascii="Calibri" w:cs="Calibri" w:eastAsia="Calibri" w:hAnsi="Calibri"/>
                <w:b/>
                <w:bCs/>
                <w:color w:val="1B2119"/>
                <w:sz w:val="19"/>
                <w:szCs w:val="19"/>
              </w:rPr>
              <w:t xml:space="preserve">Predictive quarterly spend forecasting</w:t>
            </w:r>
          </w:p>
        </w:tc>
        <w:tc>
          <w:tcPr>
            <w:tcW w:type="dxa" w:w="3600"/>
            <w:shd w:fill="FFFFFF" w:val="clear"/>
            <w:tcMar>
              <w:top w:type="dxa" w:w="80"/>
              <w:left w:type="dxa" w:w="100"/>
              <w:bottom w:type="dxa" w:w="80"/>
              <w:right w:type="dxa" w:w="100"/>
            </w:tcMar>
            <w:vAlign w:val="center"/>
          </w:tcPr>
          <w:p>
            <w:pPr>
              <w:spacing w:line="260"/>
            </w:pPr>
            <w:r>
              <w:rPr>
                <w:rFonts w:ascii="Calibri" w:cs="Calibri" w:eastAsia="Calibri" w:hAnsi="Calibri"/>
                <w:b w:val="false"/>
                <w:bCs w:val="false"/>
                <w:color w:val="1B2119"/>
                <w:sz w:val="19"/>
                <w:szCs w:val="19"/>
              </w:rPr>
              <w:t xml:space="preserve">Projects department travel spend for the quarter from current trip velocity and historical patterns.</w:t>
            </w:r>
          </w:p>
        </w:tc>
        <w:tc>
          <w:tcPr>
            <w:tcW w:type="dxa" w:w="3300"/>
            <w:shd w:fill="FFFFFF" w:val="clear"/>
            <w:tcMar>
              <w:top w:type="dxa" w:w="80"/>
              <w:left w:type="dxa" w:w="100"/>
              <w:bottom w:type="dxa" w:w="80"/>
              <w:right w:type="dxa" w:w="100"/>
            </w:tcMar>
            <w:vAlign w:val="center"/>
          </w:tcPr>
          <w:p>
            <w:pPr>
              <w:spacing w:line="260"/>
            </w:pPr>
            <w:r>
              <w:rPr>
                <w:rFonts w:ascii="Calibri" w:cs="Calibri" w:eastAsia="Calibri" w:hAnsi="Calibri"/>
                <w:b w:val="false"/>
                <w:bCs w:val="false"/>
                <w:color w:val="1B2119"/>
                <w:sz w:val="19"/>
                <w:szCs w:val="19"/>
              </w:rPr>
              <w:t xml:space="preserve">Directly useful for finance planning cycles; builds on the same time-series approach as the consumer predictive-variance idea.</w:t>
            </w:r>
          </w:p>
        </w:tc>
      </w:tr>
      <w:tr>
        <w:tc>
          <w:tcPr>
            <w:tcW w:type="dxa" w:w="2200"/>
            <w:shd w:fill="F2F7FA" w:val="clear"/>
            <w:tcMar>
              <w:top w:type="dxa" w:w="80"/>
              <w:left w:type="dxa" w:w="100"/>
              <w:bottom w:type="dxa" w:w="80"/>
              <w:right w:type="dxa" w:w="100"/>
            </w:tcMar>
            <w:vAlign w:val="center"/>
          </w:tcPr>
          <w:p>
            <w:pPr>
              <w:spacing w:line="260"/>
            </w:pPr>
            <w:r>
              <w:rPr>
                <w:rFonts w:ascii="Calibri" w:cs="Calibri" w:eastAsia="Calibri" w:hAnsi="Calibri"/>
                <w:b/>
                <w:bCs/>
                <w:color w:val="1B2119"/>
                <w:sz w:val="19"/>
                <w:szCs w:val="19"/>
              </w:rPr>
              <w:t xml:space="preserve">GST-ready export (India)</w:t>
            </w:r>
          </w:p>
        </w:tc>
        <w:tc>
          <w:tcPr>
            <w:tcW w:type="dxa" w:w="3600"/>
            <w:shd w:fill="F2F7FA" w:val="clear"/>
            <w:tcMar>
              <w:top w:type="dxa" w:w="80"/>
              <w:left w:type="dxa" w:w="100"/>
              <w:bottom w:type="dxa" w:w="80"/>
              <w:right w:type="dxa" w:w="100"/>
            </w:tcMar>
            <w:vAlign w:val="center"/>
          </w:tcPr>
          <w:p>
            <w:pPr>
              <w:spacing w:line="260"/>
            </w:pPr>
            <w:r>
              <w:rPr>
                <w:rFonts w:ascii="Calibri" w:cs="Calibri" w:eastAsia="Calibri" w:hAnsi="Calibri"/>
                <w:b w:val="false"/>
                <w:bCs w:val="false"/>
                <w:color w:val="1B2119"/>
                <w:sz w:val="19"/>
                <w:szCs w:val="19"/>
              </w:rPr>
              <w:t xml:space="preserve">Extends the existing CSV export with GST-relevant fields for corporate accounting.</w:t>
            </w:r>
          </w:p>
        </w:tc>
        <w:tc>
          <w:tcPr>
            <w:tcW w:type="dxa" w:w="3300"/>
            <w:shd w:fill="F2F7FA" w:val="clear"/>
            <w:tcMar>
              <w:top w:type="dxa" w:w="80"/>
              <w:left w:type="dxa" w:w="100"/>
              <w:bottom w:type="dxa" w:w="80"/>
              <w:right w:type="dxa" w:w="100"/>
            </w:tcMar>
            <w:vAlign w:val="center"/>
          </w:tcPr>
          <w:p>
            <w:pPr>
              <w:spacing w:line="260"/>
            </w:pPr>
            <w:r>
              <w:rPr>
                <w:rFonts w:ascii="Calibri" w:cs="Calibri" w:eastAsia="Calibri" w:hAnsi="Calibri"/>
                <w:b w:val="false"/>
                <w:bCs w:val="false"/>
                <w:color w:val="1B2119"/>
                <w:sz w:val="19"/>
                <w:szCs w:val="19"/>
              </w:rPr>
              <w:t xml:space="preserve">Genuinely valuable for an India-first customer base, but tax-compliant invoicing needs real accounting/legal review before you claim it's compliant — don't ship this as a compliance guarantee without that review.</w:t>
            </w:r>
          </w:p>
        </w:tc>
      </w:tr>
    </w:tbl>
    <w:p>
      <w:pPr>
        <w:spacing w:after="160"/>
      </w:pPr>
    </w:p>
    <w:tbl>
      <w:tblPr>
        <w:tblW w:type="pct" w:w="100%"/>
        <w:tblBorders>
          <w:top w:val="single" w:color="9C7A1E" w:sz="4"/>
          <w:left w:val="single" w:color="9C7A1E" w:sz="24"/>
          <w:bottom w:val="single" w:color="9C7A1E" w:sz="4"/>
          <w:right w:val="single" w:color="9C7A1E" w:sz="4"/>
          <w:insideH w:val="single" w:color="auto" w:sz="4"/>
          <w:insideV w:val="single" w:color="auto" w:sz="4"/>
        </w:tblBorders>
      </w:tblPr>
      <w:tblGrid>
        <w:gridCol w:w="100"/>
      </w:tblGrid>
      <w:tr>
        <w:tc>
          <w:tcPr>
            <w:tcW w:type="pct" w:w="100%"/>
            <w:shd w:fill="FBF3DC" w:val="clear"/>
            <w:tcMar>
              <w:top w:type="dxa" w:w="140"/>
              <w:left w:type="dxa" w:w="220"/>
              <w:bottom w:type="dxa" w:w="140"/>
              <w:right w:type="dxa" w:w="220"/>
            </w:tcMar>
          </w:tcPr>
          <w:p>
            <w:pPr>
              <w:spacing w:after="80"/>
            </w:pPr>
            <w:r>
              <w:rPr>
                <w:rFonts w:ascii="Calibri" w:cs="Calibri" w:eastAsia="Calibri" w:hAnsi="Calibri"/>
                <w:b/>
                <w:bCs/>
                <w:color w:val="9C7A1E"/>
                <w:sz w:val="19"/>
                <w:szCs w:val="19"/>
              </w:rPr>
              <w:t xml:space="preserve">MOONSHOT — </w:t>
            </w:r>
            <w:r>
              <w:rPr>
                <w:rFonts w:ascii="Calibri" w:cs="Calibri" w:eastAsia="Calibri" w:hAnsi="Calibri"/>
                <w:b/>
                <w:bCs/>
                <w:color w:val="1B2119"/>
                <w:sz w:val="21"/>
                <w:szCs w:val="21"/>
              </w:rPr>
              <w:t xml:space="preserve">The finance team's real-time answer to “what are we spending on travel, right now.”</w:t>
            </w:r>
          </w:p>
          <w:p>
            <w:pPr>
              <w:spacing w:after="60" w:line="280"/>
              <w:ind w:left="120"/>
            </w:pPr>
            <w:r>
              <w:rPr>
                <w:rFonts w:ascii="Calibri" w:cs="Calibri" w:eastAsia="Calibri" w:hAnsi="Calibri"/>
                <w:color w:val="1B2119"/>
                <w:sz w:val="20"/>
                <w:szCs w:val="20"/>
              </w:rPr>
              <w:t xml:space="preserve">•  Most companies only learn their travel spend after the fact, from a monthly report. A live dashboard tied to the same event-sourced ledger you've already built turns this into a standing capability, not a report someone compiles.</w:t>
            </w:r>
          </w:p>
          <w:p>
            <w:pPr>
              <w:spacing w:after="60" w:line="280"/>
              <w:ind w:left="120"/>
            </w:pPr>
            <w:r>
              <w:rPr>
                <w:rFonts w:ascii="Calibri" w:cs="Calibri" w:eastAsia="Calibri" w:hAnsi="Calibri"/>
                <w:color w:val="1B2119"/>
                <w:sz w:val="20"/>
                <w:szCs w:val="20"/>
              </w:rPr>
              <w:t xml:space="preserve">•  This is the single feature most likely to justify a paid corporate tier on its own.</w:t>
            </w:r>
          </w:p>
        </w:tc>
      </w:tr>
    </w:tbl>
    <w:p>
      <w:pPr>
        <w:spacing w:after="140"/>
      </w:pPr>
    </w:p>
    <w:p>
      <w:pPr>
        <w:pStyle w:val="Heading1"/>
        <w:pBdr>
          <w:bottom w:val="single" w:color="2E86AB" w:sz="8" w:space="4"/>
        </w:pBdr>
        <w:spacing w:after="200" w:before="400"/>
      </w:pPr>
      <w:r>
        <w:rPr>
          <w:rFonts w:ascii="Calibri" w:cs="Calibri" w:eastAsia="Calibri" w:hAnsi="Calibri"/>
          <w:b/>
          <w:bCs/>
          <w:color w:val="17324A"/>
          <w:sz w:val="32"/>
          <w:szCs w:val="32"/>
        </w:rPr>
        <w:t xml:space="preserve">Pillar 5 — Safety &amp; Security (Duty of Care)</w:t>
      </w:r>
    </w:p>
    <w:p>
      <w:pPr>
        <w:spacing w:after="160" w:line="300"/>
      </w:pPr>
      <w:r>
        <w:rPr>
          <w:rFonts w:ascii="Calibri" w:cs="Calibri" w:eastAsia="Calibri" w:hAnsi="Calibri"/>
          <w:color w:val="1B2119"/>
          <w:sz w:val="21"/>
          <w:szCs w:val="21"/>
        </w:rPr>
        <w:t xml:space="preserve">For a company, safety isn't a feature — in most jurisdictions it's a real legal duty of care toward travelling employees. Build on the same scoped, honest consumer SOS flagship; don't overclaim what a browser-based tool can promise for a corporate liability context.</w:t>
      </w:r>
    </w:p>
    <w:tbl>
      <w:tblPr>
        <w:tblW w:type="dxa" w:w="9100"/>
        <w:tblBorders>
          <w:top w:val="single" w:color="C9D5DE" w:sz="2"/>
          <w:left w:val="single" w:color="C9D5DE" w:sz="2"/>
          <w:bottom w:val="single" w:color="C9D5DE" w:sz="2"/>
          <w:right w:val="single" w:color="C9D5DE" w:sz="2"/>
          <w:insideH w:val="single" w:color="C9D5DE" w:sz="2"/>
          <w:insideV w:val="single" w:color="C9D5DE" w:sz="2"/>
        </w:tblBorders>
      </w:tblPr>
      <w:tblGrid>
        <w:gridCol w:w="2200"/>
        <w:gridCol w:w="3600"/>
        <w:gridCol w:w="3300"/>
      </w:tblGrid>
      <w:tr>
        <w:trPr>
          <w:tblHeader/>
        </w:trPr>
        <w:tc>
          <w:tcPr>
            <w:tcW w:type="dxa" w:w="2200"/>
            <w:shd w:fill="E7F0F6" w:val="clear"/>
            <w:tcMar>
              <w:top w:type="dxa" w:w="80"/>
              <w:left w:type="dxa" w:w="100"/>
              <w:bottom w:type="dxa" w:w="80"/>
              <w:right w:type="dxa" w:w="100"/>
            </w:tcMar>
          </w:tcPr>
          <w:p>
            <w:r>
              <w:rPr>
                <w:rFonts w:ascii="Calibri" w:cs="Calibri" w:eastAsia="Calibri" w:hAnsi="Calibri"/>
                <w:b/>
                <w:bCs/>
                <w:color w:val="1F5A82"/>
                <w:sz w:val="19"/>
                <w:szCs w:val="19"/>
              </w:rPr>
              <w:t xml:space="preserve">Feature</w:t>
            </w:r>
          </w:p>
        </w:tc>
        <w:tc>
          <w:tcPr>
            <w:tcW w:type="dxa" w:w="3600"/>
            <w:shd w:fill="E7F0F6" w:val="clear"/>
            <w:tcMar>
              <w:top w:type="dxa" w:w="80"/>
              <w:left w:type="dxa" w:w="100"/>
              <w:bottom w:type="dxa" w:w="80"/>
              <w:right w:type="dxa" w:w="100"/>
            </w:tcMar>
          </w:tcPr>
          <w:p>
            <w:r>
              <w:rPr>
                <w:rFonts w:ascii="Calibri" w:cs="Calibri" w:eastAsia="Calibri" w:hAnsi="Calibri"/>
                <w:b/>
                <w:bCs/>
                <w:color w:val="1F5A82"/>
                <w:sz w:val="19"/>
                <w:szCs w:val="19"/>
              </w:rPr>
              <w:t xml:space="preserve">What it does</w:t>
            </w:r>
          </w:p>
        </w:tc>
        <w:tc>
          <w:tcPr>
            <w:tcW w:type="dxa" w:w="3300"/>
            <w:shd w:fill="E7F0F6" w:val="clear"/>
            <w:tcMar>
              <w:top w:type="dxa" w:w="80"/>
              <w:left w:type="dxa" w:w="100"/>
              <w:bottom w:type="dxa" w:w="80"/>
              <w:right w:type="dxa" w:w="100"/>
            </w:tcMar>
          </w:tcPr>
          <w:p>
            <w:r>
              <w:rPr>
                <w:rFonts w:ascii="Calibri" w:cs="Calibri" w:eastAsia="Calibri" w:hAnsi="Calibri"/>
                <w:b/>
                <w:bCs/>
                <w:color w:val="1F5A82"/>
                <w:sz w:val="19"/>
                <w:szCs w:val="19"/>
              </w:rPr>
              <w:t xml:space="preserve">Why it matters</w:t>
            </w:r>
          </w:p>
        </w:tc>
      </w:tr>
      <w:tr>
        <w:tc>
          <w:tcPr>
            <w:tcW w:type="dxa" w:w="2200"/>
            <w:shd w:fill="FFFFFF" w:val="clear"/>
            <w:tcMar>
              <w:top w:type="dxa" w:w="80"/>
              <w:left w:type="dxa" w:w="100"/>
              <w:bottom w:type="dxa" w:w="80"/>
              <w:right w:type="dxa" w:w="100"/>
            </w:tcMar>
            <w:vAlign w:val="center"/>
          </w:tcPr>
          <w:p>
            <w:pPr>
              <w:spacing w:line="260"/>
            </w:pPr>
            <w:r>
              <w:rPr>
                <w:rFonts w:ascii="Calibri" w:cs="Calibri" w:eastAsia="Calibri" w:hAnsi="Calibri"/>
                <w:b/>
                <w:bCs/>
                <w:color w:val="1B2119"/>
                <w:sz w:val="19"/>
                <w:szCs w:val="19"/>
              </w:rPr>
              <w:t xml:space="preserve">Duty-of-care dashboard</w:t>
            </w:r>
          </w:p>
        </w:tc>
        <w:tc>
          <w:tcPr>
            <w:tcW w:type="dxa" w:w="3600"/>
            <w:shd w:fill="FFFFFF" w:val="clear"/>
            <w:tcMar>
              <w:top w:type="dxa" w:w="80"/>
              <w:left w:type="dxa" w:w="100"/>
              <w:bottom w:type="dxa" w:w="80"/>
              <w:right w:type="dxa" w:w="100"/>
            </w:tcMar>
            <w:vAlign w:val="center"/>
          </w:tcPr>
          <w:p>
            <w:pPr>
              <w:spacing w:line="260"/>
            </w:pPr>
            <w:r>
              <w:rPr>
                <w:rFonts w:ascii="Calibri" w:cs="Calibri" w:eastAsia="Calibri" w:hAnsi="Calibri"/>
                <w:b w:val="false"/>
                <w:bCs w:val="false"/>
                <w:color w:val="1B2119"/>
                <w:sz w:val="19"/>
                <w:szCs w:val="19"/>
              </w:rPr>
              <w:t xml:space="preserve">HR/travel-desk view of real-time safety status for every currently-travelling employee who has opted in.</w:t>
            </w:r>
          </w:p>
        </w:tc>
        <w:tc>
          <w:tcPr>
            <w:tcW w:type="dxa" w:w="3300"/>
            <w:shd w:fill="FFFFFF" w:val="clear"/>
            <w:tcMar>
              <w:top w:type="dxa" w:w="80"/>
              <w:left w:type="dxa" w:w="100"/>
              <w:bottom w:type="dxa" w:w="80"/>
              <w:right w:type="dxa" w:w="100"/>
            </w:tcMar>
            <w:vAlign w:val="center"/>
          </w:tcPr>
          <w:p>
            <w:pPr>
              <w:spacing w:line="260"/>
            </w:pPr>
            <w:r>
              <w:rPr>
                <w:rFonts w:ascii="Calibri" w:cs="Calibri" w:eastAsia="Calibri" w:hAnsi="Calibri"/>
                <w:b w:val="false"/>
                <w:bCs w:val="false"/>
                <w:color w:val="1B2119"/>
                <w:sz w:val="19"/>
                <w:szCs w:val="19"/>
              </w:rPr>
              <w:t xml:space="preserve">Directly answers the legal question every corporate travel policy has to address: “do we know our people are safe right now.”</w:t>
            </w:r>
          </w:p>
        </w:tc>
      </w:tr>
      <w:tr>
        <w:tc>
          <w:tcPr>
            <w:tcW w:type="dxa" w:w="2200"/>
            <w:shd w:fill="F2F7FA" w:val="clear"/>
            <w:tcMar>
              <w:top w:type="dxa" w:w="80"/>
              <w:left w:type="dxa" w:w="100"/>
              <w:bottom w:type="dxa" w:w="80"/>
              <w:right w:type="dxa" w:w="100"/>
            </w:tcMar>
            <w:vAlign w:val="center"/>
          </w:tcPr>
          <w:p>
            <w:pPr>
              <w:spacing w:line="260"/>
            </w:pPr>
            <w:r>
              <w:rPr>
                <w:rFonts w:ascii="Calibri" w:cs="Calibri" w:eastAsia="Calibri" w:hAnsi="Calibri"/>
                <w:b/>
                <w:bCs/>
                <w:color w:val="1B2119"/>
                <w:sz w:val="19"/>
                <w:szCs w:val="19"/>
              </w:rPr>
              <w:t xml:space="preserve">Mandatory pre-trip safety briefing sign-off</w:t>
            </w:r>
          </w:p>
        </w:tc>
        <w:tc>
          <w:tcPr>
            <w:tcW w:type="dxa" w:w="3600"/>
            <w:shd w:fill="F2F7FA" w:val="clear"/>
            <w:tcMar>
              <w:top w:type="dxa" w:w="80"/>
              <w:left w:type="dxa" w:w="100"/>
              <w:bottom w:type="dxa" w:w="80"/>
              <w:right w:type="dxa" w:w="100"/>
            </w:tcMar>
            <w:vAlign w:val="center"/>
          </w:tcPr>
          <w:p>
            <w:pPr>
              <w:spacing w:line="260"/>
            </w:pPr>
            <w:r>
              <w:rPr>
                <w:rFonts w:ascii="Calibri" w:cs="Calibri" w:eastAsia="Calibri" w:hAnsi="Calibri"/>
                <w:b w:val="false"/>
                <w:bCs w:val="false"/>
                <w:color w:val="1B2119"/>
                <w:sz w:val="19"/>
                <w:szCs w:val="19"/>
              </w:rPr>
              <w:t xml:space="preserve">For international or higher-risk destinations, require the traveller to view and acknowledge a safety brief before the trip is approved.</w:t>
            </w:r>
          </w:p>
        </w:tc>
        <w:tc>
          <w:tcPr>
            <w:tcW w:type="dxa" w:w="3300"/>
            <w:shd w:fill="F2F7FA" w:val="clear"/>
            <w:tcMar>
              <w:top w:type="dxa" w:w="80"/>
              <w:left w:type="dxa" w:w="100"/>
              <w:bottom w:type="dxa" w:w="80"/>
              <w:right w:type="dxa" w:w="100"/>
            </w:tcMar>
            <w:vAlign w:val="center"/>
          </w:tcPr>
          <w:p>
            <w:pPr>
              <w:spacing w:line="260"/>
            </w:pPr>
            <w:r>
              <w:rPr>
                <w:rFonts w:ascii="Calibri" w:cs="Calibri" w:eastAsia="Calibri" w:hAnsi="Calibri"/>
                <w:b w:val="false"/>
                <w:bCs w:val="false"/>
                <w:color w:val="1B2119"/>
                <w:sz w:val="19"/>
                <w:szCs w:val="19"/>
              </w:rPr>
              <w:t xml:space="preserve">A concrete, auditable compliance step companies can point to if something goes wrong.</w:t>
            </w:r>
          </w:p>
        </w:tc>
      </w:tr>
      <w:tr>
        <w:tc>
          <w:tcPr>
            <w:tcW w:type="dxa" w:w="2200"/>
            <w:shd w:fill="FFFFFF" w:val="clear"/>
            <w:tcMar>
              <w:top w:type="dxa" w:w="80"/>
              <w:left w:type="dxa" w:w="100"/>
              <w:bottom w:type="dxa" w:w="80"/>
              <w:right w:type="dxa" w:w="100"/>
            </w:tcMar>
            <w:vAlign w:val="center"/>
          </w:tcPr>
          <w:p>
            <w:pPr>
              <w:spacing w:line="260"/>
            </w:pPr>
            <w:r>
              <w:rPr>
                <w:rFonts w:ascii="Calibri" w:cs="Calibri" w:eastAsia="Calibri" w:hAnsi="Calibri"/>
                <w:b/>
                <w:bCs/>
                <w:color w:val="1B2119"/>
                <w:sz w:val="19"/>
                <w:szCs w:val="19"/>
              </w:rPr>
              <w:t xml:space="preserve">Document and compliance expiry tracking</w:t>
            </w:r>
          </w:p>
        </w:tc>
        <w:tc>
          <w:tcPr>
            <w:tcW w:type="dxa" w:w="3600"/>
            <w:shd w:fill="FFFFFF" w:val="clear"/>
            <w:tcMar>
              <w:top w:type="dxa" w:w="80"/>
              <w:left w:type="dxa" w:w="100"/>
              <w:bottom w:type="dxa" w:w="80"/>
              <w:right w:type="dxa" w:w="100"/>
            </w:tcMar>
            <w:vAlign w:val="center"/>
          </w:tcPr>
          <w:p>
            <w:pPr>
              <w:spacing w:line="260"/>
            </w:pPr>
            <w:r>
              <w:rPr>
                <w:rFonts w:ascii="Calibri" w:cs="Calibri" w:eastAsia="Calibri" w:hAnsi="Calibri"/>
                <w:b w:val="false"/>
                <w:bCs w:val="false"/>
                <w:color w:val="1B2119"/>
                <w:sz w:val="19"/>
                <w:szCs w:val="19"/>
              </w:rPr>
              <w:t xml:space="preserve">Tracks passport, visa, and travel-insurance validity for employees with upcoming trips, alerting well before expiry.</w:t>
            </w:r>
          </w:p>
        </w:tc>
        <w:tc>
          <w:tcPr>
            <w:tcW w:type="dxa" w:w="3300"/>
            <w:shd w:fill="FFFFFF" w:val="clear"/>
            <w:tcMar>
              <w:top w:type="dxa" w:w="80"/>
              <w:left w:type="dxa" w:w="100"/>
              <w:bottom w:type="dxa" w:w="80"/>
              <w:right w:type="dxa" w:w="100"/>
            </w:tcMar>
            <w:vAlign w:val="center"/>
          </w:tcPr>
          <w:p>
            <w:pPr>
              <w:spacing w:line="260"/>
            </w:pPr>
            <w:r>
              <w:rPr>
                <w:rFonts w:ascii="Calibri" w:cs="Calibri" w:eastAsia="Calibri" w:hAnsi="Calibri"/>
                <w:b w:val="false"/>
                <w:bCs w:val="false"/>
                <w:color w:val="1B2119"/>
                <w:sz w:val="19"/>
                <w:szCs w:val="19"/>
              </w:rPr>
              <w:t xml:space="preserve">A genuinely common, entirely preventable corporate travel failure mode.</w:t>
            </w:r>
          </w:p>
        </w:tc>
      </w:tr>
      <w:tr>
        <w:tc>
          <w:tcPr>
            <w:tcW w:type="dxa" w:w="2200"/>
            <w:shd w:fill="F2F7FA" w:val="clear"/>
            <w:tcMar>
              <w:top w:type="dxa" w:w="80"/>
              <w:left w:type="dxa" w:w="100"/>
              <w:bottom w:type="dxa" w:w="80"/>
              <w:right w:type="dxa" w:w="100"/>
            </w:tcMar>
            <w:vAlign w:val="center"/>
          </w:tcPr>
          <w:p>
            <w:pPr>
              <w:spacing w:line="260"/>
            </w:pPr>
            <w:r>
              <w:rPr>
                <w:rFonts w:ascii="Calibri" w:cs="Calibri" w:eastAsia="Calibri" w:hAnsi="Calibri"/>
                <w:b/>
                <w:bCs/>
                <w:color w:val="1B2119"/>
                <w:sz w:val="19"/>
                <w:szCs w:val="19"/>
              </w:rPr>
              <w:t xml:space="preserve">Opt-in live-location integrated with the existing SOS flagship</w:t>
            </w:r>
          </w:p>
        </w:tc>
        <w:tc>
          <w:tcPr>
            <w:tcW w:type="dxa" w:w="3600"/>
            <w:shd w:fill="F2F7FA" w:val="clear"/>
            <w:tcMar>
              <w:top w:type="dxa" w:w="80"/>
              <w:left w:type="dxa" w:w="100"/>
              <w:bottom w:type="dxa" w:w="80"/>
              <w:right w:type="dxa" w:w="100"/>
            </w:tcMar>
            <w:vAlign w:val="center"/>
          </w:tcPr>
          <w:p>
            <w:pPr>
              <w:spacing w:line="260"/>
            </w:pPr>
            <w:r>
              <w:rPr>
                <w:rFonts w:ascii="Calibri" w:cs="Calibri" w:eastAsia="Calibri" w:hAnsi="Calibri"/>
                <w:b w:val="false"/>
                <w:bCs w:val="false"/>
                <w:color w:val="1B2119"/>
                <w:sz w:val="19"/>
                <w:szCs w:val="19"/>
              </w:rPr>
              <w:t xml:space="preserve">The same live-location SOS page from the consumer product, scoped for a company's duty-of-care context and consented to explicitly.</w:t>
            </w:r>
          </w:p>
        </w:tc>
        <w:tc>
          <w:tcPr>
            <w:tcW w:type="dxa" w:w="3300"/>
            <w:shd w:fill="F2F7FA" w:val="clear"/>
            <w:tcMar>
              <w:top w:type="dxa" w:w="80"/>
              <w:left w:type="dxa" w:w="100"/>
              <w:bottom w:type="dxa" w:w="80"/>
              <w:right w:type="dxa" w:w="100"/>
            </w:tcMar>
            <w:vAlign w:val="center"/>
          </w:tcPr>
          <w:p>
            <w:pPr>
              <w:spacing w:line="260"/>
            </w:pPr>
            <w:r>
              <w:rPr>
                <w:rFonts w:ascii="Calibri" w:cs="Calibri" w:eastAsia="Calibri" w:hAnsi="Calibri"/>
                <w:b w:val="false"/>
                <w:bCs w:val="false"/>
                <w:color w:val="1B2119"/>
                <w:sz w:val="19"/>
                <w:szCs w:val="19"/>
              </w:rPr>
              <w:t xml:space="preserve">Reuses real, already-scoped infrastructure rather than building a second safety system from scratch.</w:t>
            </w:r>
          </w:p>
        </w:tc>
      </w:tr>
      <w:tr>
        <w:tc>
          <w:tcPr>
            <w:tcW w:type="dxa" w:w="2200"/>
            <w:shd w:fill="FFFFFF" w:val="clear"/>
            <w:tcMar>
              <w:top w:type="dxa" w:w="80"/>
              <w:left w:type="dxa" w:w="100"/>
              <w:bottom w:type="dxa" w:w="80"/>
              <w:right w:type="dxa" w:w="100"/>
            </w:tcMar>
            <w:vAlign w:val="center"/>
          </w:tcPr>
          <w:p>
            <w:pPr>
              <w:spacing w:line="260"/>
            </w:pPr>
            <w:r>
              <w:rPr>
                <w:rFonts w:ascii="Calibri" w:cs="Calibri" w:eastAsia="Calibri" w:hAnsi="Calibri"/>
                <w:b/>
                <w:bCs/>
                <w:color w:val="1B2119"/>
                <w:sz w:val="19"/>
                <w:szCs w:val="19"/>
              </w:rPr>
              <w:t xml:space="preserve">Post-incident audit trail</w:t>
            </w:r>
          </w:p>
        </w:tc>
        <w:tc>
          <w:tcPr>
            <w:tcW w:type="dxa" w:w="3600"/>
            <w:shd w:fill="FFFFFF" w:val="clear"/>
            <w:tcMar>
              <w:top w:type="dxa" w:w="80"/>
              <w:left w:type="dxa" w:w="100"/>
              <w:bottom w:type="dxa" w:w="80"/>
              <w:right w:type="dxa" w:w="100"/>
            </w:tcMar>
            <w:vAlign w:val="center"/>
          </w:tcPr>
          <w:p>
            <w:pPr>
              <w:spacing w:line="260"/>
            </w:pPr>
            <w:r>
              <w:rPr>
                <w:rFonts w:ascii="Calibri" w:cs="Calibri" w:eastAsia="Calibri" w:hAnsi="Calibri"/>
                <w:b w:val="false"/>
                <w:bCs w:val="false"/>
                <w:color w:val="1B2119"/>
                <w:sz w:val="19"/>
                <w:szCs w:val="19"/>
              </w:rPr>
              <w:t xml:space="preserve">The existing immutable event log doubles as a defensible record of what the company knew and did, if an incident occurs.</w:t>
            </w:r>
          </w:p>
        </w:tc>
        <w:tc>
          <w:tcPr>
            <w:tcW w:type="dxa" w:w="3300"/>
            <w:shd w:fill="FFFFFF" w:val="clear"/>
            <w:tcMar>
              <w:top w:type="dxa" w:w="80"/>
              <w:left w:type="dxa" w:w="100"/>
              <w:bottom w:type="dxa" w:w="80"/>
              <w:right w:type="dxa" w:w="100"/>
            </w:tcMar>
            <w:vAlign w:val="center"/>
          </w:tcPr>
          <w:p>
            <w:pPr>
              <w:spacing w:line="260"/>
            </w:pPr>
            <w:r>
              <w:rPr>
                <w:rFonts w:ascii="Calibri" w:cs="Calibri" w:eastAsia="Calibri" w:hAnsi="Calibri"/>
                <w:b w:val="false"/>
                <w:bCs w:val="false"/>
                <w:color w:val="1B2119"/>
                <w:sz w:val="19"/>
                <w:szCs w:val="19"/>
              </w:rPr>
              <w:t xml:space="preserve">No new engineering — the same positioning move as in the consumer roadmap, now applied to a context where it has real legal weight.</w:t>
            </w:r>
          </w:p>
        </w:tc>
      </w:tr>
      <w:tr>
        <w:tc>
          <w:tcPr>
            <w:tcW w:type="dxa" w:w="2200"/>
            <w:shd w:fill="F2F7FA" w:val="clear"/>
            <w:tcMar>
              <w:top w:type="dxa" w:w="80"/>
              <w:left w:type="dxa" w:w="100"/>
              <w:bottom w:type="dxa" w:w="80"/>
              <w:right w:type="dxa" w:w="100"/>
            </w:tcMar>
            <w:vAlign w:val="center"/>
          </w:tcPr>
          <w:p>
            <w:pPr>
              <w:spacing w:line="260"/>
            </w:pPr>
            <w:r>
              <w:rPr>
                <w:rFonts w:ascii="Calibri" w:cs="Calibri" w:eastAsia="Calibri" w:hAnsi="Calibri"/>
                <w:b/>
                <w:bCs/>
                <w:color w:val="1B2119"/>
                <w:sz w:val="19"/>
                <w:szCs w:val="19"/>
              </w:rPr>
              <w:t xml:space="preserve">Women's safety mode, corporate context</w:t>
            </w:r>
          </w:p>
        </w:tc>
        <w:tc>
          <w:tcPr>
            <w:tcW w:type="dxa" w:w="3600"/>
            <w:shd w:fill="F2F7FA" w:val="clear"/>
            <w:tcMar>
              <w:top w:type="dxa" w:w="80"/>
              <w:left w:type="dxa" w:w="100"/>
              <w:bottom w:type="dxa" w:w="80"/>
              <w:right w:type="dxa" w:w="100"/>
            </w:tcMar>
            <w:vAlign w:val="center"/>
          </w:tcPr>
          <w:p>
            <w:pPr>
              <w:spacing w:line="260"/>
            </w:pPr>
            <w:r>
              <w:rPr>
                <w:rFonts w:ascii="Calibri" w:cs="Calibri" w:eastAsia="Calibri" w:hAnsi="Calibri"/>
                <w:b w:val="false"/>
                <w:bCs w:val="false"/>
                <w:color w:val="1B2119"/>
                <w:sz w:val="19"/>
                <w:szCs w:val="19"/>
              </w:rPr>
              <w:t xml:space="preserve">Extends the consumer women's safety mode with company-level emergency contacts and HR escalation paths.</w:t>
            </w:r>
          </w:p>
        </w:tc>
        <w:tc>
          <w:tcPr>
            <w:tcW w:type="dxa" w:w="3300"/>
            <w:shd w:fill="F2F7FA" w:val="clear"/>
            <w:tcMar>
              <w:top w:type="dxa" w:w="80"/>
              <w:left w:type="dxa" w:w="100"/>
              <w:bottom w:type="dxa" w:w="80"/>
              <w:right w:type="dxa" w:w="100"/>
            </w:tcMar>
            <w:vAlign w:val="center"/>
          </w:tcPr>
          <w:p>
            <w:pPr>
              <w:spacing w:line="260"/>
            </w:pPr>
            <w:r>
              <w:rPr>
                <w:rFonts w:ascii="Calibri" w:cs="Calibri" w:eastAsia="Calibri" w:hAnsi="Calibri"/>
                <w:b w:val="false"/>
                <w:bCs w:val="false"/>
                <w:color w:val="1B2119"/>
                <w:sz w:val="19"/>
                <w:szCs w:val="19"/>
              </w:rPr>
              <w:t xml:space="preserve">Should stay opt-in and information-surfacing, exactly as scoped for consumer — a corporate liability context is not a reason to overclaim.</w:t>
            </w:r>
          </w:p>
        </w:tc>
      </w:tr>
    </w:tbl>
    <w:p>
      <w:pPr>
        <w:spacing w:after="160"/>
      </w:pPr>
    </w:p>
    <w:tbl>
      <w:tblPr>
        <w:tblW w:type="pct" w:w="100%"/>
        <w:tblBorders>
          <w:top w:val="single" w:color="9C7A1E" w:sz="4"/>
          <w:left w:val="single" w:color="9C7A1E" w:sz="24"/>
          <w:bottom w:val="single" w:color="9C7A1E" w:sz="4"/>
          <w:right w:val="single" w:color="9C7A1E" w:sz="4"/>
          <w:insideH w:val="single" w:color="auto" w:sz="4"/>
          <w:insideV w:val="single" w:color="auto" w:sz="4"/>
        </w:tblBorders>
      </w:tblPr>
      <w:tblGrid>
        <w:gridCol w:w="100"/>
      </w:tblGrid>
      <w:tr>
        <w:tc>
          <w:tcPr>
            <w:tcW w:type="pct" w:w="100%"/>
            <w:shd w:fill="FBF3DC" w:val="clear"/>
            <w:tcMar>
              <w:top w:type="dxa" w:w="140"/>
              <w:left w:type="dxa" w:w="220"/>
              <w:bottom w:type="dxa" w:w="140"/>
              <w:right w:type="dxa" w:w="220"/>
            </w:tcMar>
          </w:tcPr>
          <w:p>
            <w:pPr>
              <w:spacing w:after="80"/>
            </w:pPr>
            <w:r>
              <w:rPr>
                <w:rFonts w:ascii="Calibri" w:cs="Calibri" w:eastAsia="Calibri" w:hAnsi="Calibri"/>
                <w:b/>
                <w:bCs/>
                <w:color w:val="9C7A1E"/>
                <w:sz w:val="19"/>
                <w:szCs w:val="19"/>
              </w:rPr>
              <w:t xml:space="preserve">MOONSHOT — </w:t>
            </w:r>
            <w:r>
              <w:rPr>
                <w:rFonts w:ascii="Calibri" w:cs="Calibri" w:eastAsia="Calibri" w:hAnsi="Calibri"/>
                <w:b/>
                <w:bCs/>
                <w:color w:val="1B2119"/>
                <w:sz w:val="21"/>
                <w:szCs w:val="21"/>
              </w:rPr>
              <w:t xml:space="preserve">Duty of care as a dashboard, not a document.</w:t>
            </w:r>
          </w:p>
          <w:p>
            <w:pPr>
              <w:spacing w:after="60" w:line="280"/>
              <w:ind w:left="120"/>
            </w:pPr>
            <w:r>
              <w:rPr>
                <w:rFonts w:ascii="Calibri" w:cs="Calibri" w:eastAsia="Calibri" w:hAnsi="Calibri"/>
                <w:color w:val="1B2119"/>
                <w:sz w:val="20"/>
                <w:szCs w:val="20"/>
              </w:rPr>
              <w:t xml:space="preserve">•  Most companies discharge duty of care today via a static travel policy PDF nobody reads mid-trip.</w:t>
            </w:r>
          </w:p>
          <w:p>
            <w:pPr>
              <w:spacing w:after="60" w:line="280"/>
              <w:ind w:left="120"/>
            </w:pPr>
            <w:r>
              <w:rPr>
                <w:rFonts w:ascii="Calibri" w:cs="Calibri" w:eastAsia="Calibri" w:hAnsi="Calibri"/>
                <w:color w:val="1B2119"/>
                <w:sz w:val="20"/>
                <w:szCs w:val="20"/>
              </w:rPr>
              <w:t xml:space="preserve">•  A live, opt-in dashboard tied to real trip and location data is a genuinely different, more defensible posture — but only if what it promises matches what a wa.me link and browser geolocation can actually deliver. Overclaiming here is a liability risk, not just a product risk.</w:t>
            </w:r>
          </w:p>
        </w:tc>
      </w:tr>
    </w:tbl>
    <w:p>
      <w:pPr>
        <w:spacing w:after="140"/>
      </w:pPr>
    </w:p>
    <w:tbl>
      <w:tblPr>
        <w:tblW w:type="pct" w:w="100%"/>
        <w:tblBorders>
          <w:top w:val="single" w:color="9B2C2C" w:sz="4"/>
          <w:left w:val="single" w:color="9B2C2C" w:sz="24"/>
          <w:bottom w:val="single" w:color="9B2C2C" w:sz="4"/>
          <w:right w:val="single" w:color="9B2C2C" w:sz="4"/>
          <w:insideH w:val="single" w:color="auto" w:sz="4"/>
          <w:insideV w:val="single" w:color="auto" w:sz="4"/>
        </w:tblBorders>
      </w:tblPr>
      <w:tblGrid>
        <w:gridCol w:w="100"/>
      </w:tblGrid>
      <w:tr>
        <w:tc>
          <w:tcPr>
            <w:tcW w:type="pct" w:w="100%"/>
            <w:shd w:fill="FBEAEA" w:val="clear"/>
            <w:tcMar>
              <w:top w:type="dxa" w:w="140"/>
              <w:left w:type="dxa" w:w="220"/>
              <w:bottom w:type="dxa" w:w="140"/>
              <w:right w:type="dxa" w:w="220"/>
            </w:tcMar>
          </w:tcPr>
          <w:p>
            <w:pPr>
              <w:spacing w:after="80"/>
            </w:pPr>
            <w:r>
              <w:rPr>
                <w:rFonts w:ascii="Calibri" w:cs="Calibri" w:eastAsia="Calibri" w:hAnsi="Calibri"/>
                <w:b/>
                <w:bCs/>
                <w:color w:val="9B2C2C"/>
                <w:sz w:val="19"/>
                <w:szCs w:val="19"/>
              </w:rPr>
              <w:t xml:space="preserve">CAUTION — </w:t>
            </w:r>
            <w:r>
              <w:rPr>
                <w:rFonts w:ascii="Calibri" w:cs="Calibri" w:eastAsia="Calibri" w:hAnsi="Calibri"/>
                <w:b/>
                <w:bCs/>
                <w:color w:val="1B2119"/>
                <w:sz w:val="21"/>
                <w:szCs w:val="21"/>
              </w:rPr>
              <w:t xml:space="preserve">Where to stop on this pillar — corporate version.</w:t>
            </w:r>
          </w:p>
          <w:p>
            <w:pPr>
              <w:spacing w:after="60" w:line="280"/>
              <w:ind w:left="120"/>
            </w:pPr>
            <w:r>
              <w:rPr>
                <w:rFonts w:ascii="Calibri" w:cs="Calibri" w:eastAsia="Calibri" w:hAnsi="Calibri"/>
                <w:color w:val="1B2119"/>
                <w:sz w:val="20"/>
                <w:szCs w:val="20"/>
              </w:rPr>
              <w:t xml:space="preserve">•  A duty-of-care dashboard implies the company is actively monitoring employee safety. If you build it, the legal and HR implications of that claim need real review — a half-built version is worse than none, because it creates an expectation you can't back.</w:t>
            </w:r>
          </w:p>
          <w:p>
            <w:pPr>
              <w:spacing w:after="60" w:line="280"/>
              <w:ind w:left="120"/>
            </w:pPr>
            <w:r>
              <w:rPr>
                <w:rFonts w:ascii="Calibri" w:cs="Calibri" w:eastAsia="Calibri" w:hAnsi="Calibri"/>
                <w:color w:val="1B2119"/>
                <w:sz w:val="20"/>
                <w:szCs w:val="20"/>
              </w:rPr>
              <w:t xml:space="preserve">•  GST/tax export and any compliance-labeled feature need actual accounting or legal sign-off before being marketed as compliant. Ship the export; don't ship the compliance guarantee until it's been reviewed by someone qualified to give it.</w:t>
            </w:r>
          </w:p>
          <w:p>
            <w:pPr>
              <w:spacing w:after="60" w:line="280"/>
              <w:ind w:left="120"/>
            </w:pPr>
            <w:r>
              <w:rPr>
                <w:rFonts w:ascii="Calibri" w:cs="Calibri" w:eastAsia="Calibri" w:hAnsi="Calibri"/>
                <w:color w:val="1B2119"/>
                <w:sz w:val="20"/>
                <w:szCs w:val="20"/>
              </w:rPr>
              <w:t xml:space="preserve">•  This pillar is where a corporate product's liability exposure is highest across the whole roadmap. Sequence it carefully, and keep the same “surface information, never claim to rescue” discipline from the consumer plan.</w:t>
            </w:r>
          </w:p>
        </w:tc>
      </w:tr>
    </w:tbl>
    <w:p>
      <w:pPr>
        <w:spacing w:after="160"/>
      </w:pPr>
    </w:p>
    <w:p>
      <w:pPr>
        <w:pStyle w:val="Heading1"/>
        <w:pBdr>
          <w:bottom w:val="single" w:color="2E86AB" w:sz="8" w:space="4"/>
        </w:pBdr>
        <w:spacing w:after="200" w:before="400"/>
      </w:pPr>
      <w:r>
        <w:rPr>
          <w:rFonts w:ascii="Calibri" w:cs="Calibri" w:eastAsia="Calibri" w:hAnsi="Calibri"/>
          <w:b/>
          <w:bCs/>
          <w:color w:val="17324A"/>
          <w:sz w:val="32"/>
          <w:szCs w:val="32"/>
        </w:rPr>
        <w:t xml:space="preserve">Pillar 6 — AI Features (Corporate)</w:t>
      </w:r>
    </w:p>
    <w:p>
      <w:pPr>
        <w:spacing w:after="160" w:line="300"/>
      </w:pPr>
      <w:r>
        <w:rPr>
          <w:rFonts w:ascii="Calibri" w:cs="Calibri" w:eastAsia="Calibri" w:hAnsi="Calibri"/>
          <w:color w:val="1B2119"/>
          <w:sz w:val="21"/>
          <w:szCs w:val="21"/>
        </w:rPr>
        <w:t xml:space="preserve">The consumer AI principle carries over unchanged: AI suggests, the deterministic ledger and policy engine decide. In a corporate context, the highest-value AI moves are the ones that save the finance and travel-desk teams real hours, not just delight individual travellers.</w:t>
      </w:r>
    </w:p>
    <w:tbl>
      <w:tblPr>
        <w:tblW w:type="dxa" w:w="9100"/>
        <w:tblBorders>
          <w:top w:val="single" w:color="C9D5DE" w:sz="2"/>
          <w:left w:val="single" w:color="C9D5DE" w:sz="2"/>
          <w:bottom w:val="single" w:color="C9D5DE" w:sz="2"/>
          <w:right w:val="single" w:color="C9D5DE" w:sz="2"/>
          <w:insideH w:val="single" w:color="C9D5DE" w:sz="2"/>
          <w:insideV w:val="single" w:color="C9D5DE" w:sz="2"/>
        </w:tblBorders>
      </w:tblPr>
      <w:tblGrid>
        <w:gridCol w:w="2200"/>
        <w:gridCol w:w="3600"/>
        <w:gridCol w:w="3300"/>
      </w:tblGrid>
      <w:tr>
        <w:trPr>
          <w:tblHeader/>
        </w:trPr>
        <w:tc>
          <w:tcPr>
            <w:tcW w:type="dxa" w:w="2200"/>
            <w:shd w:fill="E7F0F6" w:val="clear"/>
            <w:tcMar>
              <w:top w:type="dxa" w:w="80"/>
              <w:left w:type="dxa" w:w="100"/>
              <w:bottom w:type="dxa" w:w="80"/>
              <w:right w:type="dxa" w:w="100"/>
            </w:tcMar>
          </w:tcPr>
          <w:p>
            <w:r>
              <w:rPr>
                <w:rFonts w:ascii="Calibri" w:cs="Calibri" w:eastAsia="Calibri" w:hAnsi="Calibri"/>
                <w:b/>
                <w:bCs/>
                <w:color w:val="1F5A82"/>
                <w:sz w:val="19"/>
                <w:szCs w:val="19"/>
              </w:rPr>
              <w:t xml:space="preserve">Feature</w:t>
            </w:r>
          </w:p>
        </w:tc>
        <w:tc>
          <w:tcPr>
            <w:tcW w:type="dxa" w:w="3600"/>
            <w:shd w:fill="E7F0F6" w:val="clear"/>
            <w:tcMar>
              <w:top w:type="dxa" w:w="80"/>
              <w:left w:type="dxa" w:w="100"/>
              <w:bottom w:type="dxa" w:w="80"/>
              <w:right w:type="dxa" w:w="100"/>
            </w:tcMar>
          </w:tcPr>
          <w:p>
            <w:r>
              <w:rPr>
                <w:rFonts w:ascii="Calibri" w:cs="Calibri" w:eastAsia="Calibri" w:hAnsi="Calibri"/>
                <w:b/>
                <w:bCs/>
                <w:color w:val="1F5A82"/>
                <w:sz w:val="19"/>
                <w:szCs w:val="19"/>
              </w:rPr>
              <w:t xml:space="preserve">What it does</w:t>
            </w:r>
          </w:p>
        </w:tc>
        <w:tc>
          <w:tcPr>
            <w:tcW w:type="dxa" w:w="3300"/>
            <w:shd w:fill="E7F0F6" w:val="clear"/>
            <w:tcMar>
              <w:top w:type="dxa" w:w="80"/>
              <w:left w:type="dxa" w:w="100"/>
              <w:bottom w:type="dxa" w:w="80"/>
              <w:right w:type="dxa" w:w="100"/>
            </w:tcMar>
          </w:tcPr>
          <w:p>
            <w:r>
              <w:rPr>
                <w:rFonts w:ascii="Calibri" w:cs="Calibri" w:eastAsia="Calibri" w:hAnsi="Calibri"/>
                <w:b/>
                <w:bCs/>
                <w:color w:val="1F5A82"/>
                <w:sz w:val="19"/>
                <w:szCs w:val="19"/>
              </w:rPr>
              <w:t xml:space="preserve">Why it matters</w:t>
            </w:r>
          </w:p>
        </w:tc>
      </w:tr>
      <w:tr>
        <w:tc>
          <w:tcPr>
            <w:tcW w:type="dxa" w:w="2200"/>
            <w:shd w:fill="FFFFFF" w:val="clear"/>
            <w:tcMar>
              <w:top w:type="dxa" w:w="80"/>
              <w:left w:type="dxa" w:w="100"/>
              <w:bottom w:type="dxa" w:w="80"/>
              <w:right w:type="dxa" w:w="100"/>
            </w:tcMar>
            <w:vAlign w:val="center"/>
          </w:tcPr>
          <w:p>
            <w:pPr>
              <w:spacing w:line="260"/>
            </w:pPr>
            <w:r>
              <w:rPr>
                <w:rFonts w:ascii="Calibri" w:cs="Calibri" w:eastAsia="Calibri" w:hAnsi="Calibri"/>
                <w:b/>
                <w:bCs/>
                <w:color w:val="1B2119"/>
                <w:sz w:val="19"/>
                <w:szCs w:val="19"/>
              </w:rPr>
              <w:t xml:space="preserve">Real-time policy compliance checking</w:t>
            </w:r>
          </w:p>
        </w:tc>
        <w:tc>
          <w:tcPr>
            <w:tcW w:type="dxa" w:w="3600"/>
            <w:shd w:fill="FFFFFF" w:val="clear"/>
            <w:tcMar>
              <w:top w:type="dxa" w:w="80"/>
              <w:left w:type="dxa" w:w="100"/>
              <w:bottom w:type="dxa" w:w="80"/>
              <w:right w:type="dxa" w:w="100"/>
            </w:tcMar>
            <w:vAlign w:val="center"/>
          </w:tcPr>
          <w:p>
            <w:pPr>
              <w:spacing w:line="260"/>
            </w:pPr>
            <w:r>
              <w:rPr>
                <w:rFonts w:ascii="Calibri" w:cs="Calibri" w:eastAsia="Calibri" w:hAnsi="Calibri"/>
                <w:b w:val="false"/>
                <w:bCs w:val="false"/>
                <w:color w:val="1B2119"/>
                <w:sz w:val="19"/>
                <w:szCs w:val="19"/>
              </w:rPr>
              <w:t xml:space="preserve">Flags a policy violation the moment a booking is drafted, with the specific rule and threshold named, not just “rejected” after submission.</w:t>
            </w:r>
          </w:p>
        </w:tc>
        <w:tc>
          <w:tcPr>
            <w:tcW w:type="dxa" w:w="3300"/>
            <w:shd w:fill="FFFFFF" w:val="clear"/>
            <w:tcMar>
              <w:top w:type="dxa" w:w="80"/>
              <w:left w:type="dxa" w:w="100"/>
              <w:bottom w:type="dxa" w:w="80"/>
              <w:right w:type="dxa" w:w="100"/>
            </w:tcMar>
            <w:vAlign w:val="center"/>
          </w:tcPr>
          <w:p>
            <w:pPr>
              <w:spacing w:line="260"/>
            </w:pPr>
            <w:r>
              <w:rPr>
                <w:rFonts w:ascii="Calibri" w:cs="Calibri" w:eastAsia="Calibri" w:hAnsi="Calibri"/>
                <w:b w:val="false"/>
                <w:bCs w:val="false"/>
                <w:color w:val="1B2119"/>
                <w:sz w:val="19"/>
                <w:szCs w:val="19"/>
              </w:rPr>
              <w:t xml:space="preserve">Turns policy from a bottleneck into a guardrail the traveller can see and work within.</w:t>
            </w:r>
          </w:p>
        </w:tc>
      </w:tr>
      <w:tr>
        <w:tc>
          <w:tcPr>
            <w:tcW w:type="dxa" w:w="2200"/>
            <w:shd w:fill="F2F7FA" w:val="clear"/>
            <w:tcMar>
              <w:top w:type="dxa" w:w="80"/>
              <w:left w:type="dxa" w:w="100"/>
              <w:bottom w:type="dxa" w:w="80"/>
              <w:right w:type="dxa" w:w="100"/>
            </w:tcMar>
            <w:vAlign w:val="center"/>
          </w:tcPr>
          <w:p>
            <w:pPr>
              <w:spacing w:line="260"/>
            </w:pPr>
            <w:r>
              <w:rPr>
                <w:rFonts w:ascii="Calibri" w:cs="Calibri" w:eastAsia="Calibri" w:hAnsi="Calibri"/>
                <w:b/>
                <w:bCs/>
                <w:color w:val="1B2119"/>
                <w:sz w:val="19"/>
                <w:szCs w:val="19"/>
              </w:rPr>
              <w:t xml:space="preserve">Auto-approval for low-risk spend</w:t>
            </w:r>
          </w:p>
        </w:tc>
        <w:tc>
          <w:tcPr>
            <w:tcW w:type="dxa" w:w="3600"/>
            <w:shd w:fill="F2F7FA" w:val="clear"/>
            <w:tcMar>
              <w:top w:type="dxa" w:w="80"/>
              <w:left w:type="dxa" w:w="100"/>
              <w:bottom w:type="dxa" w:w="80"/>
              <w:right w:type="dxa" w:w="100"/>
            </w:tcMar>
            <w:vAlign w:val="center"/>
          </w:tcPr>
          <w:p>
            <w:pPr>
              <w:spacing w:line="260"/>
            </w:pPr>
            <w:r>
              <w:rPr>
                <w:rFonts w:ascii="Calibri" w:cs="Calibri" w:eastAsia="Calibri" w:hAnsi="Calibri"/>
                <w:b w:val="false"/>
                <w:bCs w:val="false"/>
                <w:color w:val="1B2119"/>
                <w:sz w:val="19"/>
                <w:szCs w:val="19"/>
              </w:rPr>
              <w:t xml:space="preserve">Expenses well under policy thresholds are approved automatically, freeing managers to focus only on the exceptions that matter.</w:t>
            </w:r>
          </w:p>
        </w:tc>
        <w:tc>
          <w:tcPr>
            <w:tcW w:type="dxa" w:w="3300"/>
            <w:shd w:fill="F2F7FA" w:val="clear"/>
            <w:tcMar>
              <w:top w:type="dxa" w:w="80"/>
              <w:left w:type="dxa" w:w="100"/>
              <w:bottom w:type="dxa" w:w="80"/>
              <w:right w:type="dxa" w:w="100"/>
            </w:tcMar>
            <w:vAlign w:val="center"/>
          </w:tcPr>
          <w:p>
            <w:pPr>
              <w:spacing w:line="260"/>
            </w:pPr>
            <w:r>
              <w:rPr>
                <w:rFonts w:ascii="Calibri" w:cs="Calibri" w:eastAsia="Calibri" w:hAnsi="Calibri"/>
                <w:b w:val="false"/>
                <w:bCs w:val="false"/>
                <w:color w:val="1B2119"/>
                <w:sz w:val="19"/>
                <w:szCs w:val="19"/>
              </w:rPr>
              <w:t xml:space="preserve">Directly reduces the approval-queue load your own Phase 2 corporate flow already identifies as the core workflow.</w:t>
            </w:r>
          </w:p>
        </w:tc>
      </w:tr>
      <w:tr>
        <w:tc>
          <w:tcPr>
            <w:tcW w:type="dxa" w:w="2200"/>
            <w:shd w:fill="FFFFFF" w:val="clear"/>
            <w:tcMar>
              <w:top w:type="dxa" w:w="80"/>
              <w:left w:type="dxa" w:w="100"/>
              <w:bottom w:type="dxa" w:w="80"/>
              <w:right w:type="dxa" w:w="100"/>
            </w:tcMar>
            <w:vAlign w:val="center"/>
          </w:tcPr>
          <w:p>
            <w:pPr>
              <w:spacing w:line="260"/>
            </w:pPr>
            <w:r>
              <w:rPr>
                <w:rFonts w:ascii="Calibri" w:cs="Calibri" w:eastAsia="Calibri" w:hAnsi="Calibri"/>
                <w:b/>
                <w:bCs/>
                <w:color w:val="1B2119"/>
                <w:sz w:val="19"/>
                <w:szCs w:val="19"/>
              </w:rPr>
              <w:t xml:space="preserve">Natural-language spend analytics</w:t>
            </w:r>
          </w:p>
        </w:tc>
        <w:tc>
          <w:tcPr>
            <w:tcW w:type="dxa" w:w="3600"/>
            <w:shd w:fill="FFFFFF" w:val="clear"/>
            <w:tcMar>
              <w:top w:type="dxa" w:w="80"/>
              <w:left w:type="dxa" w:w="100"/>
              <w:bottom w:type="dxa" w:w="80"/>
              <w:right w:type="dxa" w:w="100"/>
            </w:tcMar>
            <w:vAlign w:val="center"/>
          </w:tcPr>
          <w:p>
            <w:pPr>
              <w:spacing w:line="260"/>
            </w:pPr>
            <w:r>
              <w:rPr>
                <w:rFonts w:ascii="Calibri" w:cs="Calibri" w:eastAsia="Calibri" w:hAnsi="Calibri"/>
                <w:b w:val="false"/>
                <w:bCs w:val="false"/>
                <w:color w:val="1B2119"/>
                <w:sz w:val="19"/>
                <w:szCs w:val="19"/>
              </w:rPr>
              <w:t xml:space="preserve">Finance can ask “how much did marketing spend on travel last quarter” and get a grounded answer from actual ledger events.</w:t>
            </w:r>
          </w:p>
        </w:tc>
        <w:tc>
          <w:tcPr>
            <w:tcW w:type="dxa" w:w="3300"/>
            <w:shd w:fill="FFFFFF" w:val="clear"/>
            <w:tcMar>
              <w:top w:type="dxa" w:w="80"/>
              <w:left w:type="dxa" w:w="100"/>
              <w:bottom w:type="dxa" w:w="80"/>
              <w:right w:type="dxa" w:w="100"/>
            </w:tcMar>
            <w:vAlign w:val="center"/>
          </w:tcPr>
          <w:p>
            <w:pPr>
              <w:spacing w:line="260"/>
            </w:pPr>
            <w:r>
              <w:rPr>
                <w:rFonts w:ascii="Calibri" w:cs="Calibri" w:eastAsia="Calibri" w:hAnsi="Calibri"/>
                <w:b w:val="false"/>
                <w:bCs w:val="false"/>
                <w:color w:val="1B2119"/>
                <w:sz w:val="19"/>
                <w:szCs w:val="19"/>
              </w:rPr>
              <w:t xml:space="preserve">The corporate equivalent of “explain any number” from the consumer roadmap — same architecture, a different audience.</w:t>
            </w:r>
          </w:p>
        </w:tc>
      </w:tr>
      <w:tr>
        <w:tc>
          <w:tcPr>
            <w:tcW w:type="dxa" w:w="2200"/>
            <w:shd w:fill="F2F7FA" w:val="clear"/>
            <w:tcMar>
              <w:top w:type="dxa" w:w="80"/>
              <w:left w:type="dxa" w:w="100"/>
              <w:bottom w:type="dxa" w:w="80"/>
              <w:right w:type="dxa" w:w="100"/>
            </w:tcMar>
            <w:vAlign w:val="center"/>
          </w:tcPr>
          <w:p>
            <w:pPr>
              <w:spacing w:line="260"/>
            </w:pPr>
            <w:r>
              <w:rPr>
                <w:rFonts w:ascii="Calibri" w:cs="Calibri" w:eastAsia="Calibri" w:hAnsi="Calibri"/>
                <w:b/>
                <w:bCs/>
                <w:color w:val="1B2119"/>
                <w:sz w:val="19"/>
                <w:szCs w:val="19"/>
              </w:rPr>
              <w:t xml:space="preserve">Cross-trip fraud and duplicate detection</w:t>
            </w:r>
          </w:p>
        </w:tc>
        <w:tc>
          <w:tcPr>
            <w:tcW w:type="dxa" w:w="3600"/>
            <w:shd w:fill="F2F7FA" w:val="clear"/>
            <w:tcMar>
              <w:top w:type="dxa" w:w="80"/>
              <w:left w:type="dxa" w:w="100"/>
              <w:bottom w:type="dxa" w:w="80"/>
              <w:right w:type="dxa" w:w="100"/>
            </w:tcMar>
            <w:vAlign w:val="center"/>
          </w:tcPr>
          <w:p>
            <w:pPr>
              <w:spacing w:line="260"/>
            </w:pPr>
            <w:r>
              <w:rPr>
                <w:rFonts w:ascii="Calibri" w:cs="Calibri" w:eastAsia="Calibri" w:hAnsi="Calibri"/>
                <w:b w:val="false"/>
                <w:bCs w:val="false"/>
                <w:color w:val="1B2119"/>
                <w:sz w:val="19"/>
                <w:szCs w:val="19"/>
              </w:rPr>
              <w:t xml:space="preserve">Extends the existing duplicate-expense guard company-wide, catching the same receipt claimed across two trips or two employees.</w:t>
            </w:r>
          </w:p>
        </w:tc>
        <w:tc>
          <w:tcPr>
            <w:tcW w:type="dxa" w:w="3300"/>
            <w:shd w:fill="F2F7FA" w:val="clear"/>
            <w:tcMar>
              <w:top w:type="dxa" w:w="80"/>
              <w:left w:type="dxa" w:w="100"/>
              <w:bottom w:type="dxa" w:w="80"/>
              <w:right w:type="dxa" w:w="100"/>
            </w:tcMar>
            <w:vAlign w:val="center"/>
          </w:tcPr>
          <w:p>
            <w:pPr>
              <w:spacing w:line="260"/>
            </w:pPr>
            <w:r>
              <w:rPr>
                <w:rFonts w:ascii="Calibri" w:cs="Calibri" w:eastAsia="Calibri" w:hAnsi="Calibri"/>
                <w:b w:val="false"/>
                <w:bCs w:val="false"/>
                <w:color w:val="1B2119"/>
                <w:sz w:val="19"/>
                <w:szCs w:val="19"/>
              </w:rPr>
              <w:t xml:space="preserve">A real, measurable cost-saving feature for any company processing travel expenses at volume.</w:t>
            </w:r>
          </w:p>
        </w:tc>
      </w:tr>
      <w:tr>
        <w:tc>
          <w:tcPr>
            <w:tcW w:type="dxa" w:w="2200"/>
            <w:shd w:fill="FFFFFF" w:val="clear"/>
            <w:tcMar>
              <w:top w:type="dxa" w:w="80"/>
              <w:left w:type="dxa" w:w="100"/>
              <w:bottom w:type="dxa" w:w="80"/>
              <w:right w:type="dxa" w:w="100"/>
            </w:tcMar>
            <w:vAlign w:val="center"/>
          </w:tcPr>
          <w:p>
            <w:pPr>
              <w:spacing w:line="260"/>
            </w:pPr>
            <w:r>
              <w:rPr>
                <w:rFonts w:ascii="Calibri" w:cs="Calibri" w:eastAsia="Calibri" w:hAnsi="Calibri"/>
                <w:b/>
                <w:bCs/>
                <w:color w:val="1B2119"/>
                <w:sz w:val="19"/>
                <w:szCs w:val="19"/>
              </w:rPr>
              <w:t xml:space="preserve">AI-drafted starter travel policy</w:t>
            </w:r>
          </w:p>
        </w:tc>
        <w:tc>
          <w:tcPr>
            <w:tcW w:type="dxa" w:w="3600"/>
            <w:shd w:fill="FFFFFF" w:val="clear"/>
            <w:tcMar>
              <w:top w:type="dxa" w:w="80"/>
              <w:left w:type="dxa" w:w="100"/>
              <w:bottom w:type="dxa" w:w="80"/>
              <w:right w:type="dxa" w:w="100"/>
            </w:tcMar>
            <w:vAlign w:val="center"/>
          </w:tcPr>
          <w:p>
            <w:pPr>
              <w:spacing w:line="260"/>
            </w:pPr>
            <w:r>
              <w:rPr>
                <w:rFonts w:ascii="Calibri" w:cs="Calibri" w:eastAsia="Calibri" w:hAnsi="Calibri"/>
                <w:b w:val="false"/>
                <w:bCs w:val="false"/>
                <w:color w:val="1B2119"/>
                <w:sz w:val="19"/>
                <w:szCs w:val="19"/>
              </w:rPr>
              <w:t xml:space="preserve">Generates a first-draft expense/travel policy based on company size and industry norms, for a company without one yet.</w:t>
            </w:r>
          </w:p>
        </w:tc>
        <w:tc>
          <w:tcPr>
            <w:tcW w:type="dxa" w:w="3300"/>
            <w:shd w:fill="FFFFFF" w:val="clear"/>
            <w:tcMar>
              <w:top w:type="dxa" w:w="80"/>
              <w:left w:type="dxa" w:w="100"/>
              <w:bottom w:type="dxa" w:w="80"/>
              <w:right w:type="dxa" w:w="100"/>
            </w:tcMar>
            <w:vAlign w:val="center"/>
          </w:tcPr>
          <w:p>
            <w:pPr>
              <w:spacing w:line="260"/>
            </w:pPr>
            <w:r>
              <w:rPr>
                <w:rFonts w:ascii="Calibri" w:cs="Calibri" w:eastAsia="Calibri" w:hAnsi="Calibri"/>
                <w:b w:val="false"/>
                <w:bCs w:val="false"/>
                <w:color w:val="1B2119"/>
                <w:sz w:val="19"/>
                <w:szCs w:val="19"/>
              </w:rPr>
              <w:t xml:space="preserve">Useful onboarding aid, but must be clearly labeled as a starting draft, not legal or compliance advice — a company still needs to review and own its own policy.</w:t>
            </w:r>
          </w:p>
        </w:tc>
      </w:tr>
      <w:tr>
        <w:tc>
          <w:tcPr>
            <w:tcW w:type="dxa" w:w="2200"/>
            <w:shd w:fill="F2F7FA" w:val="clear"/>
            <w:tcMar>
              <w:top w:type="dxa" w:w="80"/>
              <w:left w:type="dxa" w:w="100"/>
              <w:bottom w:type="dxa" w:w="80"/>
              <w:right w:type="dxa" w:w="100"/>
            </w:tcMar>
            <w:vAlign w:val="center"/>
          </w:tcPr>
          <w:p>
            <w:pPr>
              <w:spacing w:line="260"/>
            </w:pPr>
            <w:r>
              <w:rPr>
                <w:rFonts w:ascii="Calibri" w:cs="Calibri" w:eastAsia="Calibri" w:hAnsi="Calibri"/>
                <w:b/>
                <w:bCs/>
                <w:color w:val="1B2119"/>
                <w:sz w:val="19"/>
                <w:szCs w:val="19"/>
              </w:rPr>
              <w:t xml:space="preserve">Executive spend summary, auto-generated</w:t>
            </w:r>
          </w:p>
        </w:tc>
        <w:tc>
          <w:tcPr>
            <w:tcW w:type="dxa" w:w="3600"/>
            <w:shd w:fill="F2F7FA" w:val="clear"/>
            <w:tcMar>
              <w:top w:type="dxa" w:w="80"/>
              <w:left w:type="dxa" w:w="100"/>
              <w:bottom w:type="dxa" w:w="80"/>
              <w:right w:type="dxa" w:w="100"/>
            </w:tcMar>
            <w:vAlign w:val="center"/>
          </w:tcPr>
          <w:p>
            <w:pPr>
              <w:spacing w:line="260"/>
            </w:pPr>
            <w:r>
              <w:rPr>
                <w:rFonts w:ascii="Calibri" w:cs="Calibri" w:eastAsia="Calibri" w:hAnsi="Calibri"/>
                <w:b w:val="false"/>
                <w:bCs w:val="false"/>
                <w:color w:val="1B2119"/>
                <w:sz w:val="19"/>
                <w:szCs w:val="19"/>
              </w:rPr>
              <w:t xml:space="preserve">A plain-language quarterly summary for leadership: total spend, over/under budget by department, and why.</w:t>
            </w:r>
          </w:p>
        </w:tc>
        <w:tc>
          <w:tcPr>
            <w:tcW w:type="dxa" w:w="3300"/>
            <w:shd w:fill="F2F7FA" w:val="clear"/>
            <w:tcMar>
              <w:top w:type="dxa" w:w="80"/>
              <w:left w:type="dxa" w:w="100"/>
              <w:bottom w:type="dxa" w:w="80"/>
              <w:right w:type="dxa" w:w="100"/>
            </w:tcMar>
            <w:vAlign w:val="center"/>
          </w:tcPr>
          <w:p>
            <w:pPr>
              <w:spacing w:line="260"/>
            </w:pPr>
            <w:r>
              <w:rPr>
                <w:rFonts w:ascii="Calibri" w:cs="Calibri" w:eastAsia="Calibri" w:hAnsi="Calibri"/>
                <w:b w:val="false"/>
                <w:bCs w:val="false"/>
                <w:color w:val="1B2119"/>
                <w:sz w:val="19"/>
                <w:szCs w:val="19"/>
              </w:rPr>
              <w:t xml:space="preserve">Turns the same retrospective idea from the consumer roadmap into a document a CFO actually reads.</w:t>
            </w:r>
          </w:p>
        </w:tc>
      </w:tr>
      <w:tr>
        <w:tc>
          <w:tcPr>
            <w:tcW w:type="dxa" w:w="2200"/>
            <w:shd w:fill="FFFFFF" w:val="clear"/>
            <w:tcMar>
              <w:top w:type="dxa" w:w="80"/>
              <w:left w:type="dxa" w:w="100"/>
              <w:bottom w:type="dxa" w:w="80"/>
              <w:right w:type="dxa" w:w="100"/>
            </w:tcMar>
            <w:vAlign w:val="center"/>
          </w:tcPr>
          <w:p>
            <w:pPr>
              <w:spacing w:line="260"/>
            </w:pPr>
            <w:r>
              <w:rPr>
                <w:rFonts w:ascii="Calibri" w:cs="Calibri" w:eastAsia="Calibri" w:hAnsi="Calibri"/>
                <w:b/>
                <w:bCs/>
                <w:color w:val="1B2119"/>
                <w:sz w:val="19"/>
                <w:szCs w:val="19"/>
              </w:rPr>
              <w:t xml:space="preserve">Vendor negotiation insights</w:t>
            </w:r>
          </w:p>
        </w:tc>
        <w:tc>
          <w:tcPr>
            <w:tcW w:type="dxa" w:w="3600"/>
            <w:shd w:fill="FFFFFF" w:val="clear"/>
            <w:tcMar>
              <w:top w:type="dxa" w:w="80"/>
              <w:left w:type="dxa" w:w="100"/>
              <w:bottom w:type="dxa" w:w="80"/>
              <w:right w:type="dxa" w:w="100"/>
            </w:tcMar>
            <w:vAlign w:val="center"/>
          </w:tcPr>
          <w:p>
            <w:pPr>
              <w:spacing w:line="260"/>
            </w:pPr>
            <w:r>
              <w:rPr>
                <w:rFonts w:ascii="Calibri" w:cs="Calibri" w:eastAsia="Calibri" w:hAnsi="Calibri"/>
                <w:b w:val="false"/>
                <w:bCs w:val="false"/>
                <w:color w:val="1B2119"/>
                <w:sz w:val="19"/>
                <w:szCs w:val="19"/>
              </w:rPr>
              <w:t xml:space="preserve">Aggregates company-wide travel spend patterns to surface real leverage points for the next vendor rate negotiation.</w:t>
            </w:r>
          </w:p>
        </w:tc>
        <w:tc>
          <w:tcPr>
            <w:tcW w:type="dxa" w:w="3300"/>
            <w:shd w:fill="FFFFFF" w:val="clear"/>
            <w:tcMar>
              <w:top w:type="dxa" w:w="80"/>
              <w:left w:type="dxa" w:w="100"/>
              <w:bottom w:type="dxa" w:w="80"/>
              <w:right w:type="dxa" w:w="100"/>
            </w:tcMar>
            <w:vAlign w:val="center"/>
          </w:tcPr>
          <w:p>
            <w:pPr>
              <w:spacing w:line="260"/>
            </w:pPr>
            <w:r>
              <w:rPr>
                <w:rFonts w:ascii="Calibri" w:cs="Calibri" w:eastAsia="Calibri" w:hAnsi="Calibri"/>
                <w:b w:val="false"/>
                <w:bCs w:val="false"/>
                <w:color w:val="1B2119"/>
                <w:sz w:val="19"/>
                <w:szCs w:val="19"/>
              </w:rPr>
              <w:t xml:space="preserve">A genuinely differentiated, data-driven feature — but only credible once you have real spend volume behind it, so treat it as mid-term.</w:t>
            </w:r>
          </w:p>
        </w:tc>
      </w:tr>
    </w:tbl>
    <w:p>
      <w:pPr>
        <w:spacing w:after="160"/>
      </w:pPr>
    </w:p>
    <w:tbl>
      <w:tblPr>
        <w:tblW w:type="pct" w:w="100%"/>
        <w:tblBorders>
          <w:top w:val="single" w:color="9C7A1E" w:sz="4"/>
          <w:left w:val="single" w:color="9C7A1E" w:sz="24"/>
          <w:bottom w:val="single" w:color="9C7A1E" w:sz="4"/>
          <w:right w:val="single" w:color="9C7A1E" w:sz="4"/>
          <w:insideH w:val="single" w:color="auto" w:sz="4"/>
          <w:insideV w:val="single" w:color="auto" w:sz="4"/>
        </w:tblBorders>
      </w:tblPr>
      <w:tblGrid>
        <w:gridCol w:w="100"/>
      </w:tblGrid>
      <w:tr>
        <w:tc>
          <w:tcPr>
            <w:tcW w:type="pct" w:w="100%"/>
            <w:shd w:fill="FBF3DC" w:val="clear"/>
            <w:tcMar>
              <w:top w:type="dxa" w:w="140"/>
              <w:left w:type="dxa" w:w="220"/>
              <w:bottom w:type="dxa" w:w="140"/>
              <w:right w:type="dxa" w:w="220"/>
            </w:tcMar>
          </w:tcPr>
          <w:p>
            <w:pPr>
              <w:spacing w:after="80"/>
            </w:pPr>
            <w:r>
              <w:rPr>
                <w:rFonts w:ascii="Calibri" w:cs="Calibri" w:eastAsia="Calibri" w:hAnsi="Calibri"/>
                <w:b/>
                <w:bCs/>
                <w:color w:val="9C7A1E"/>
                <w:sz w:val="19"/>
                <w:szCs w:val="19"/>
              </w:rPr>
              <w:t xml:space="preserve">MOONSHOT — </w:t>
            </w:r>
            <w:r>
              <w:rPr>
                <w:rFonts w:ascii="Calibri" w:cs="Calibri" w:eastAsia="Calibri" w:hAnsi="Calibri"/>
                <w:b/>
                <w:bCs/>
                <w:color w:val="1B2119"/>
                <w:sz w:val="21"/>
                <w:szCs w:val="21"/>
              </w:rPr>
              <w:t xml:space="preserve">One AI, the whole corporate trip lifecycle — planning, policy, approval, and reporting.</w:t>
            </w:r>
          </w:p>
          <w:p>
            <w:pPr>
              <w:spacing w:after="60" w:line="280"/>
              <w:ind w:left="120"/>
            </w:pPr>
            <w:r>
              <w:rPr>
                <w:rFonts w:ascii="Calibri" w:cs="Calibri" w:eastAsia="Calibri" w:hAnsi="Calibri"/>
                <w:color w:val="1B2119"/>
                <w:sz w:val="20"/>
                <w:szCs w:val="20"/>
              </w:rPr>
              <w:t xml:space="preserve">•  The same consistency argument from the consumer roadmap applies here even more strongly: a finance leader trusts one coherent assistant far more readily than five disconnected AI-labeled buttons.</w:t>
            </w:r>
          </w:p>
          <w:p>
            <w:pPr>
              <w:spacing w:after="60" w:line="280"/>
              <w:ind w:left="120"/>
            </w:pPr>
            <w:r>
              <w:rPr>
                <w:rFonts w:ascii="Calibri" w:cs="Calibri" w:eastAsia="Calibri" w:hAnsi="Calibri"/>
                <w:color w:val="1B2119"/>
                <w:sz w:val="20"/>
                <w:szCs w:val="20"/>
              </w:rPr>
              <w:t xml:space="preserve">•  Policy-aware planning (Pillar 1) and real-time compliance checking (this pillar) are really the same capability seen from two different moments in the trip — build them as one system, not two.</w:t>
            </w:r>
          </w:p>
        </w:tc>
      </w:tr>
    </w:tbl>
    <w:p>
      <w:pPr>
        <w:spacing w:after="140"/>
      </w:pPr>
    </w:p>
    <w:p>
      <w:pPr>
        <w:spacing w:after="200"/>
      </w:pPr>
    </w:p>
    <w:p>
      <w:pPr>
        <w:pStyle w:val="Heading1"/>
        <w:pBdr>
          <w:bottom w:val="single" w:color="2E86AB" w:sz="8" w:space="4"/>
        </w:pBdr>
        <w:spacing w:after="200" w:before="400"/>
      </w:pPr>
      <w:r>
        <w:rPr>
          <w:rFonts w:ascii="Calibri" w:cs="Calibri" w:eastAsia="Calibri" w:hAnsi="Calibri"/>
          <w:b/>
          <w:bCs/>
          <w:color w:val="17324A"/>
          <w:sz w:val="32"/>
          <w:szCs w:val="32"/>
        </w:rPr>
        <w:t xml:space="preserve">Platform-Level Moves for a World-Class Corporate Product</w:t>
      </w:r>
    </w:p>
    <w:p>
      <w:pPr>
        <w:spacing w:after="160" w:line="300"/>
      </w:pPr>
      <w:r>
        <w:rPr>
          <w:rFonts w:ascii="Calibri" w:cs="Calibri" w:eastAsia="Calibri" w:hAnsi="Calibri"/>
          <w:color w:val="1B2119"/>
          <w:sz w:val="21"/>
          <w:szCs w:val="21"/>
        </w:rPr>
        <w:t xml:space="preserve">Winning individual features isn't enough to win enterprise buyers. A few structural bets matter more here than in the consumer product, precisely because the sale itself is different — finance and IT are buying trust as much as functionality.</w:t>
      </w:r>
    </w:p>
    <w:p>
      <w:pPr>
        <w:pStyle w:val="Heading2"/>
        <w:spacing w:after="120" w:before="280"/>
      </w:pPr>
      <w:r>
        <w:rPr>
          <w:rFonts w:ascii="Calibri" w:cs="Calibri" w:eastAsia="Calibri" w:hAnsi="Calibri"/>
          <w:b/>
          <w:bCs/>
          <w:color w:val="1F5A82"/>
          <w:sz w:val="25"/>
          <w:szCs w:val="25"/>
        </w:rPr>
        <w:t xml:space="preserve">Enterprise SSO and Identity</w:t>
      </w:r>
    </w:p>
    <w:p>
      <w:pPr>
        <w:spacing w:after="160" w:line="300"/>
      </w:pPr>
      <w:r>
        <w:rPr>
          <w:rFonts w:ascii="Calibri" w:cs="Calibri" w:eastAsia="Calibri" w:hAnsi="Calibri"/>
          <w:color w:val="1B2119"/>
          <w:sz w:val="21"/>
          <w:szCs w:val="21"/>
        </w:rPr>
        <w:t xml:space="preserve">The existing Phase 2 plan explicitly and correctly scopes SSO out of the hackathon build, relying on Google OAuth plus email-domain soft-join in the meantime. That's the right sequencing — but real enterprise sales, especially to larger companies, will eventually require SAML/SSO. Treat it as a genuine pre-requisite for moving upmarket, not an optional nice-to-have.</w:t>
      </w:r>
    </w:p>
    <w:p>
      <w:pPr>
        <w:pStyle w:val="Heading2"/>
        <w:spacing w:after="120" w:before="280"/>
      </w:pPr>
      <w:r>
        <w:rPr>
          <w:rFonts w:ascii="Calibri" w:cs="Calibri" w:eastAsia="Calibri" w:hAnsi="Calibri"/>
          <w:b/>
          <w:bCs/>
          <w:color w:val="1F5A82"/>
          <w:sz w:val="25"/>
          <w:szCs w:val="25"/>
        </w:rPr>
        <w:t xml:space="preserve">Compliance and Data-Handling Credibility</w:t>
      </w:r>
    </w:p>
    <w:p>
      <w:pPr>
        <w:spacing w:after="160" w:line="300"/>
      </w:pPr>
      <w:r>
        <w:rPr>
          <w:rFonts w:ascii="Calibri" w:cs="Calibri" w:eastAsia="Calibri" w:hAnsi="Calibri"/>
          <w:color w:val="1B2119"/>
          <w:sz w:val="21"/>
          <w:szCs w:val="21"/>
        </w:rPr>
        <w:t xml:space="preserve">Enterprise buyers will ask about data residency, security certifications (SOC 2 is the common bar), and audit rights before they ask about features. This isn't a feature to build so much as a program to run — but it belongs on this roadmap because without it, the AI and financial features above can't actually be sold into larger companies, however good they are.</w:t>
      </w:r>
    </w:p>
    <w:p>
      <w:pPr>
        <w:pStyle w:val="Heading2"/>
        <w:spacing w:after="120" w:before="280"/>
      </w:pPr>
      <w:r>
        <w:rPr>
          <w:rFonts w:ascii="Calibri" w:cs="Calibri" w:eastAsia="Calibri" w:hAnsi="Calibri"/>
          <w:b/>
          <w:bCs/>
          <w:color w:val="1F5A82"/>
          <w:sz w:val="25"/>
          <w:szCs w:val="25"/>
        </w:rPr>
        <w:t xml:space="preserve">HRMS / Finance System Integration</w:t>
      </w:r>
    </w:p>
    <w:p>
      <w:pPr>
        <w:spacing w:after="160" w:line="300"/>
      </w:pPr>
      <w:r>
        <w:rPr>
          <w:rFonts w:ascii="Calibri" w:cs="Calibri" w:eastAsia="Calibri" w:hAnsi="Calibri"/>
          <w:color w:val="1B2119"/>
          <w:sz w:val="21"/>
          <w:szCs w:val="21"/>
        </w:rPr>
        <w:t xml:space="preserve">Corporate travel doesn't live in isolation — it touches payroll, reimbursement, and existing expense tools (often Concur or SAP-adjacent systems). A real integration layer, even a narrow one-way export, removes the biggest practical adoption barrier for a company already running another system.</w:t>
      </w:r>
    </w:p>
    <w:p>
      <w:pPr>
        <w:pStyle w:val="Heading2"/>
        <w:spacing w:after="120" w:before="280"/>
      </w:pPr>
      <w:r>
        <w:rPr>
          <w:rFonts w:ascii="Calibri" w:cs="Calibri" w:eastAsia="Calibri" w:hAnsi="Calibri"/>
          <w:b/>
          <w:bCs/>
          <w:color w:val="1F5A82"/>
          <w:sz w:val="25"/>
          <w:szCs w:val="25"/>
        </w:rPr>
        <w:t xml:space="preserve">White-Label / Multi-Brand Option</w:t>
      </w:r>
    </w:p>
    <w:p>
      <w:pPr>
        <w:spacing w:after="160" w:line="300"/>
      </w:pPr>
      <w:r>
        <w:rPr>
          <w:rFonts w:ascii="Calibri" w:cs="Calibri" w:eastAsia="Calibri" w:hAnsi="Calibri"/>
          <w:color w:val="1B2119"/>
          <w:sz w:val="21"/>
          <w:szCs w:val="21"/>
        </w:rPr>
        <w:t xml:space="preserve">For very large enterprises or travel-management companies, a white-labeled version of the corporate product (their branding, your engine) is a plausible expansion path once the core product is proven — the same “sell the ledger, not just the app” instinct as the consumer roadmap's Ledger-as-a-Service idea, applied to the corporate side.</w:t>
      </w:r>
    </w:p>
    <w:p>
      <w:pPr>
        <w:spacing w:after="200"/>
      </w:pPr>
    </w:p>
    <w:p>
      <w:pPr>
        <w:pStyle w:val="Heading1"/>
        <w:pBdr>
          <w:bottom w:val="single" w:color="2E86AB" w:sz="8" w:space="4"/>
        </w:pBdr>
        <w:spacing w:after="200" w:before="400"/>
      </w:pPr>
      <w:r>
        <w:rPr>
          <w:rFonts w:ascii="Calibri" w:cs="Calibri" w:eastAsia="Calibri" w:hAnsi="Calibri"/>
          <w:b/>
          <w:bCs/>
          <w:color w:val="17324A"/>
          <w:sz w:val="32"/>
          <w:szCs w:val="32"/>
        </w:rPr>
        <w:t xml:space="preserve">Prioritization &amp; Sequencing</w:t>
      </w:r>
    </w:p>
    <w:p>
      <w:pPr>
        <w:spacing w:after="160" w:line="300"/>
      </w:pPr>
      <w:r>
        <w:rPr>
          <w:rFonts w:ascii="Calibri" w:cs="Calibri" w:eastAsia="Calibri" w:hAnsi="Calibri"/>
          <w:color w:val="1B2119"/>
          <w:sz w:val="21"/>
          <w:szCs w:val="21"/>
        </w:rPr>
        <w:t xml:space="preserve">Corporate features split more sharply into “real near-term differentiators” and “table-stakes-but-hard” than the consumer roadmap did — because a finance buyer's trust bar is higher and the existing Phase 2 spec already gives you a real head start on the financial pillar specifically.</w:t>
      </w:r>
    </w:p>
    <w:tbl>
      <w:tblPr>
        <w:tblW w:type="dxa" w:w="9100"/>
        <w:tblBorders>
          <w:top w:val="single" w:color="C9D5DE" w:sz="2"/>
          <w:left w:val="single" w:color="C9D5DE" w:sz="2"/>
          <w:bottom w:val="single" w:color="C9D5DE" w:sz="2"/>
          <w:right w:val="single" w:color="C9D5DE" w:sz="2"/>
          <w:insideH w:val="single" w:color="C9D5DE" w:sz="2"/>
          <w:insideV w:val="single" w:color="C9D5DE" w:sz="2"/>
        </w:tblBorders>
      </w:tblPr>
      <w:tblGrid>
        <w:gridCol w:w="2600"/>
        <w:gridCol w:w="1800"/>
        <w:gridCol w:w="1300"/>
        <w:gridCol w:w="1300"/>
        <w:gridCol w:w="2100"/>
      </w:tblGrid>
      <w:tr>
        <w:trPr>
          <w:tblHeader/>
        </w:trPr>
        <w:tc>
          <w:tcPr>
            <w:tcW w:type="dxa" w:w="2600"/>
            <w:shd w:fill="17324A" w:val="clear"/>
            <w:tcMar>
              <w:top w:type="dxa" w:w="90"/>
              <w:left w:type="dxa" w:w="100"/>
              <w:bottom w:type="dxa" w:w="90"/>
              <w:right w:type="dxa" w:w="100"/>
            </w:tcMar>
          </w:tcPr>
          <w:p>
            <w:r>
              <w:rPr>
                <w:rFonts w:ascii="Calibri" w:cs="Calibri" w:eastAsia="Calibri" w:hAnsi="Calibri"/>
                <w:b/>
                <w:bCs/>
                <w:color w:val="FFFFFF"/>
                <w:sz w:val="19"/>
                <w:szCs w:val="19"/>
              </w:rPr>
              <w:t xml:space="preserve">Feature</w:t>
            </w:r>
          </w:p>
        </w:tc>
        <w:tc>
          <w:tcPr>
            <w:tcW w:type="dxa" w:w="1800"/>
            <w:shd w:fill="17324A" w:val="clear"/>
            <w:tcMar>
              <w:top w:type="dxa" w:w="90"/>
              <w:left w:type="dxa" w:w="100"/>
              <w:bottom w:type="dxa" w:w="90"/>
              <w:right w:type="dxa" w:w="100"/>
            </w:tcMar>
          </w:tcPr>
          <w:p>
            <w:r>
              <w:rPr>
                <w:rFonts w:ascii="Calibri" w:cs="Calibri" w:eastAsia="Calibri" w:hAnsi="Calibri"/>
                <w:b/>
                <w:bCs/>
                <w:color w:val="FFFFFF"/>
                <w:sz w:val="19"/>
                <w:szCs w:val="19"/>
              </w:rPr>
              <w:t xml:space="preserve">Pillar</w:t>
            </w:r>
          </w:p>
        </w:tc>
        <w:tc>
          <w:tcPr>
            <w:tcW w:type="dxa" w:w="1300"/>
            <w:shd w:fill="17324A" w:val="clear"/>
            <w:tcMar>
              <w:top w:type="dxa" w:w="90"/>
              <w:left w:type="dxa" w:w="100"/>
              <w:bottom w:type="dxa" w:w="90"/>
              <w:right w:type="dxa" w:w="100"/>
            </w:tcMar>
          </w:tcPr>
          <w:p>
            <w:r>
              <w:rPr>
                <w:rFonts w:ascii="Calibri" w:cs="Calibri" w:eastAsia="Calibri" w:hAnsi="Calibri"/>
                <w:b/>
                <w:bCs/>
                <w:color w:val="FFFFFF"/>
                <w:sz w:val="19"/>
                <w:szCs w:val="19"/>
              </w:rPr>
              <w:t xml:space="preserve">Impact</w:t>
            </w:r>
          </w:p>
        </w:tc>
        <w:tc>
          <w:tcPr>
            <w:tcW w:type="dxa" w:w="1300"/>
            <w:shd w:fill="17324A" w:val="clear"/>
            <w:tcMar>
              <w:top w:type="dxa" w:w="90"/>
              <w:left w:type="dxa" w:w="100"/>
              <w:bottom w:type="dxa" w:w="90"/>
              <w:right w:type="dxa" w:w="100"/>
            </w:tcMar>
          </w:tcPr>
          <w:p>
            <w:r>
              <w:rPr>
                <w:rFonts w:ascii="Calibri" w:cs="Calibri" w:eastAsia="Calibri" w:hAnsi="Calibri"/>
                <w:b/>
                <w:bCs/>
                <w:color w:val="FFFFFF"/>
                <w:sz w:val="19"/>
                <w:szCs w:val="19"/>
              </w:rPr>
              <w:t xml:space="preserve">Effort</w:t>
            </w:r>
          </w:p>
        </w:tc>
        <w:tc>
          <w:tcPr>
            <w:tcW w:type="dxa" w:w="2100"/>
            <w:shd w:fill="17324A" w:val="clear"/>
            <w:tcMar>
              <w:top w:type="dxa" w:w="90"/>
              <w:left w:type="dxa" w:w="100"/>
              <w:bottom w:type="dxa" w:w="90"/>
              <w:right w:type="dxa" w:w="100"/>
            </w:tcMar>
          </w:tcPr>
          <w:p>
            <w:r>
              <w:rPr>
                <w:rFonts w:ascii="Calibri" w:cs="Calibri" w:eastAsia="Calibri" w:hAnsi="Calibri"/>
                <w:b/>
                <w:bCs/>
                <w:color w:val="FFFFFF"/>
                <w:sz w:val="19"/>
                <w:szCs w:val="19"/>
              </w:rPr>
              <w:t xml:space="preserve">Horizon</w:t>
            </w:r>
          </w:p>
        </w:tc>
      </w:tr>
      <w:tr>
        <w:tc>
          <w:tcPr>
            <w:tcW w:type="dxa" w:w="2600"/>
            <w:shd w:fill="FFFFFF" w:val="clear"/>
            <w:tcMar>
              <w:top w:type="dxa" w:w="80"/>
              <w:left w:type="dxa" w:w="100"/>
              <w:bottom w:type="dxa" w:w="80"/>
              <w:right w:type="dxa" w:w="100"/>
            </w:tcMar>
            <w:vAlign w:val="center"/>
          </w:tcPr>
          <w:p>
            <w:pPr>
              <w:spacing w:line="260"/>
            </w:pPr>
            <w:r>
              <w:rPr>
                <w:rFonts w:ascii="Calibri" w:cs="Calibri" w:eastAsia="Calibri" w:hAnsi="Calibri"/>
                <w:b w:val="false"/>
                <w:bCs w:val="false"/>
                <w:color w:val="1B2119"/>
                <w:sz w:val="19"/>
                <w:szCs w:val="19"/>
              </w:rPr>
              <w:t xml:space="preserve">Real-time policy compliance checking</w:t>
            </w:r>
          </w:p>
        </w:tc>
        <w:tc>
          <w:tcPr>
            <w:tcW w:type="dxa" w:w="1800"/>
            <w:shd w:fill="FFFFFF" w:val="clear"/>
            <w:tcMar>
              <w:top w:type="dxa" w:w="80"/>
              <w:left w:type="dxa" w:w="100"/>
              <w:bottom w:type="dxa" w:w="80"/>
              <w:right w:type="dxa" w:w="100"/>
            </w:tcMar>
            <w:vAlign w:val="center"/>
          </w:tcPr>
          <w:p>
            <w:pPr>
              <w:spacing w:line="260"/>
            </w:pPr>
            <w:r>
              <w:rPr>
                <w:rFonts w:ascii="Calibri" w:cs="Calibri" w:eastAsia="Calibri" w:hAnsi="Calibri"/>
                <w:b w:val="false"/>
                <w:bCs w:val="false"/>
                <w:color w:val="1B2119"/>
                <w:sz w:val="19"/>
                <w:szCs w:val="19"/>
              </w:rPr>
              <w:t xml:space="preserve">AI / Financial</w:t>
            </w:r>
          </w:p>
        </w:tc>
        <w:tc>
          <w:tcPr>
            <w:tcW w:type="dxa" w:w="1300"/>
            <w:shd w:fill="FFFFFF" w:val="clear"/>
            <w:tcMar>
              <w:top w:type="dxa" w:w="80"/>
              <w:left w:type="dxa" w:w="100"/>
              <w:bottom w:type="dxa" w:w="80"/>
              <w:right w:type="dxa" w:w="100"/>
            </w:tcMar>
            <w:vAlign w:val="center"/>
          </w:tcPr>
          <w:p>
            <w:pPr>
              <w:spacing w:line="260"/>
            </w:pPr>
            <w:r>
              <w:rPr>
                <w:rFonts w:ascii="Calibri" w:cs="Calibri" w:eastAsia="Calibri" w:hAnsi="Calibri"/>
                <w:b/>
                <w:bCs/>
                <w:color w:val="2E86AB"/>
                <w:sz w:val="19"/>
                <w:szCs w:val="19"/>
              </w:rPr>
              <w:t xml:space="preserve">High</w:t>
            </w:r>
          </w:p>
        </w:tc>
        <w:tc>
          <w:tcPr>
            <w:tcW w:type="dxa" w:w="1300"/>
            <w:shd w:fill="FFFFFF" w:val="clear"/>
            <w:tcMar>
              <w:top w:type="dxa" w:w="80"/>
              <w:left w:type="dxa" w:w="100"/>
              <w:bottom w:type="dxa" w:w="80"/>
              <w:right w:type="dxa" w:w="100"/>
            </w:tcMar>
            <w:vAlign w:val="center"/>
          </w:tcPr>
          <w:p>
            <w:pPr>
              <w:spacing w:line="260"/>
            </w:pPr>
            <w:r>
              <w:rPr>
                <w:rFonts w:ascii="Calibri" w:cs="Calibri" w:eastAsia="Calibri" w:hAnsi="Calibri"/>
                <w:b/>
                <w:bCs/>
                <w:color w:val="9C7A1E"/>
                <w:sz w:val="19"/>
                <w:szCs w:val="19"/>
              </w:rPr>
              <w:t xml:space="preserve">Med</w:t>
            </w:r>
          </w:p>
        </w:tc>
        <w:tc>
          <w:tcPr>
            <w:tcW w:type="dxa" w:w="2100"/>
            <w:shd w:fill="FFFFFF" w:val="clear"/>
            <w:tcMar>
              <w:top w:type="dxa" w:w="80"/>
              <w:left w:type="dxa" w:w="100"/>
              <w:bottom w:type="dxa" w:w="80"/>
              <w:right w:type="dxa" w:w="100"/>
            </w:tcMar>
            <w:vAlign w:val="center"/>
          </w:tcPr>
          <w:p>
            <w:pPr>
              <w:spacing w:line="260"/>
            </w:pPr>
            <w:r>
              <w:rPr>
                <w:rFonts w:ascii="Calibri" w:cs="Calibri" w:eastAsia="Calibri" w:hAnsi="Calibri"/>
                <w:b w:val="false"/>
                <w:bCs w:val="false"/>
                <w:color w:val="1B2119"/>
                <w:sz w:val="19"/>
                <w:szCs w:val="19"/>
              </w:rPr>
              <w:t xml:space="preserve">Near — do first</w:t>
            </w:r>
          </w:p>
        </w:tc>
      </w:tr>
      <w:tr>
        <w:tc>
          <w:tcPr>
            <w:tcW w:type="dxa" w:w="2600"/>
            <w:shd w:fill="F2F7FA" w:val="clear"/>
            <w:tcMar>
              <w:top w:type="dxa" w:w="80"/>
              <w:left w:type="dxa" w:w="100"/>
              <w:bottom w:type="dxa" w:w="80"/>
              <w:right w:type="dxa" w:w="100"/>
            </w:tcMar>
            <w:vAlign w:val="center"/>
          </w:tcPr>
          <w:p>
            <w:pPr>
              <w:spacing w:line="260"/>
            </w:pPr>
            <w:r>
              <w:rPr>
                <w:rFonts w:ascii="Calibri" w:cs="Calibri" w:eastAsia="Calibri" w:hAnsi="Calibri"/>
                <w:b w:val="false"/>
                <w:bCs w:val="false"/>
                <w:color w:val="1B2119"/>
                <w:sz w:val="19"/>
                <w:szCs w:val="19"/>
              </w:rPr>
              <w:t xml:space="preserve">Central travel-desk dashboard</w:t>
            </w:r>
          </w:p>
        </w:tc>
        <w:tc>
          <w:tcPr>
            <w:tcW w:type="dxa" w:w="1800"/>
            <w:shd w:fill="F2F7FA" w:val="clear"/>
            <w:tcMar>
              <w:top w:type="dxa" w:w="80"/>
              <w:left w:type="dxa" w:w="100"/>
              <w:bottom w:type="dxa" w:w="80"/>
              <w:right w:type="dxa" w:w="100"/>
            </w:tcMar>
            <w:vAlign w:val="center"/>
          </w:tcPr>
          <w:p>
            <w:pPr>
              <w:spacing w:line="260"/>
            </w:pPr>
            <w:r>
              <w:rPr>
                <w:rFonts w:ascii="Calibri" w:cs="Calibri" w:eastAsia="Calibri" w:hAnsi="Calibri"/>
                <w:b w:val="false"/>
                <w:bCs w:val="false"/>
                <w:color w:val="1B2119"/>
                <w:sz w:val="19"/>
                <w:szCs w:val="19"/>
              </w:rPr>
              <w:t xml:space="preserve">Organizer</w:t>
            </w:r>
          </w:p>
        </w:tc>
        <w:tc>
          <w:tcPr>
            <w:tcW w:type="dxa" w:w="1300"/>
            <w:shd w:fill="F2F7FA" w:val="clear"/>
            <w:tcMar>
              <w:top w:type="dxa" w:w="80"/>
              <w:left w:type="dxa" w:w="100"/>
              <w:bottom w:type="dxa" w:w="80"/>
              <w:right w:type="dxa" w:w="100"/>
            </w:tcMar>
            <w:vAlign w:val="center"/>
          </w:tcPr>
          <w:p>
            <w:pPr>
              <w:spacing w:line="260"/>
            </w:pPr>
            <w:r>
              <w:rPr>
                <w:rFonts w:ascii="Calibri" w:cs="Calibri" w:eastAsia="Calibri" w:hAnsi="Calibri"/>
                <w:b/>
                <w:bCs/>
                <w:color w:val="2E86AB"/>
                <w:sz w:val="19"/>
                <w:szCs w:val="19"/>
              </w:rPr>
              <w:t xml:space="preserve">High</w:t>
            </w:r>
          </w:p>
        </w:tc>
        <w:tc>
          <w:tcPr>
            <w:tcW w:type="dxa" w:w="1300"/>
            <w:shd w:fill="F2F7FA" w:val="clear"/>
            <w:tcMar>
              <w:top w:type="dxa" w:w="80"/>
              <w:left w:type="dxa" w:w="100"/>
              <w:bottom w:type="dxa" w:w="80"/>
              <w:right w:type="dxa" w:w="100"/>
            </w:tcMar>
            <w:vAlign w:val="center"/>
          </w:tcPr>
          <w:p>
            <w:pPr>
              <w:spacing w:line="260"/>
            </w:pPr>
            <w:r>
              <w:rPr>
                <w:rFonts w:ascii="Calibri" w:cs="Calibri" w:eastAsia="Calibri" w:hAnsi="Calibri"/>
                <w:b/>
                <w:bCs/>
                <w:color w:val="9C7A1E"/>
                <w:sz w:val="19"/>
                <w:szCs w:val="19"/>
              </w:rPr>
              <w:t xml:space="preserve">Med</w:t>
            </w:r>
          </w:p>
        </w:tc>
        <w:tc>
          <w:tcPr>
            <w:tcW w:type="dxa" w:w="2100"/>
            <w:shd w:fill="F2F7FA" w:val="clear"/>
            <w:tcMar>
              <w:top w:type="dxa" w:w="80"/>
              <w:left w:type="dxa" w:w="100"/>
              <w:bottom w:type="dxa" w:w="80"/>
              <w:right w:type="dxa" w:w="100"/>
            </w:tcMar>
            <w:vAlign w:val="center"/>
          </w:tcPr>
          <w:p>
            <w:pPr>
              <w:spacing w:line="260"/>
            </w:pPr>
            <w:r>
              <w:rPr>
                <w:rFonts w:ascii="Calibri" w:cs="Calibri" w:eastAsia="Calibri" w:hAnsi="Calibri"/>
                <w:b w:val="false"/>
                <w:bCs w:val="false"/>
                <w:color w:val="1B2119"/>
                <w:sz w:val="19"/>
                <w:szCs w:val="19"/>
              </w:rPr>
              <w:t xml:space="preserve">Near</w:t>
            </w:r>
          </w:p>
        </w:tc>
      </w:tr>
      <w:tr>
        <w:tc>
          <w:tcPr>
            <w:tcW w:type="dxa" w:w="2600"/>
            <w:shd w:fill="FFFFFF" w:val="clear"/>
            <w:tcMar>
              <w:top w:type="dxa" w:w="80"/>
              <w:left w:type="dxa" w:w="100"/>
              <w:bottom w:type="dxa" w:w="80"/>
              <w:right w:type="dxa" w:w="100"/>
            </w:tcMar>
            <w:vAlign w:val="center"/>
          </w:tcPr>
          <w:p>
            <w:pPr>
              <w:spacing w:line="260"/>
            </w:pPr>
            <w:r>
              <w:rPr>
                <w:rFonts w:ascii="Calibri" w:cs="Calibri" w:eastAsia="Calibri" w:hAnsi="Calibri"/>
                <w:b w:val="false"/>
                <w:bCs w:val="false"/>
                <w:color w:val="1B2119"/>
                <w:sz w:val="19"/>
                <w:szCs w:val="19"/>
              </w:rPr>
              <w:t xml:space="preserve">Multi-level approval chains</w:t>
            </w:r>
          </w:p>
        </w:tc>
        <w:tc>
          <w:tcPr>
            <w:tcW w:type="dxa" w:w="1800"/>
            <w:shd w:fill="FFFFFF" w:val="clear"/>
            <w:tcMar>
              <w:top w:type="dxa" w:w="80"/>
              <w:left w:type="dxa" w:w="100"/>
              <w:bottom w:type="dxa" w:w="80"/>
              <w:right w:type="dxa" w:w="100"/>
            </w:tcMar>
            <w:vAlign w:val="center"/>
          </w:tcPr>
          <w:p>
            <w:pPr>
              <w:spacing w:line="260"/>
            </w:pPr>
            <w:r>
              <w:rPr>
                <w:rFonts w:ascii="Calibri" w:cs="Calibri" w:eastAsia="Calibri" w:hAnsi="Calibri"/>
                <w:b w:val="false"/>
                <w:bCs w:val="false"/>
                <w:color w:val="1B2119"/>
                <w:sz w:val="19"/>
                <w:szCs w:val="19"/>
              </w:rPr>
              <w:t xml:space="preserve">Financial</w:t>
            </w:r>
          </w:p>
        </w:tc>
        <w:tc>
          <w:tcPr>
            <w:tcW w:type="dxa" w:w="1300"/>
            <w:shd w:fill="FFFFFF" w:val="clear"/>
            <w:tcMar>
              <w:top w:type="dxa" w:w="80"/>
              <w:left w:type="dxa" w:w="100"/>
              <w:bottom w:type="dxa" w:w="80"/>
              <w:right w:type="dxa" w:w="100"/>
            </w:tcMar>
            <w:vAlign w:val="center"/>
          </w:tcPr>
          <w:p>
            <w:pPr>
              <w:spacing w:line="260"/>
            </w:pPr>
            <w:r>
              <w:rPr>
                <w:rFonts w:ascii="Calibri" w:cs="Calibri" w:eastAsia="Calibri" w:hAnsi="Calibri"/>
                <w:b/>
                <w:bCs/>
                <w:color w:val="2E86AB"/>
                <w:sz w:val="19"/>
                <w:szCs w:val="19"/>
              </w:rPr>
              <w:t xml:space="preserve">High</w:t>
            </w:r>
          </w:p>
        </w:tc>
        <w:tc>
          <w:tcPr>
            <w:tcW w:type="dxa" w:w="1300"/>
            <w:shd w:fill="FFFFFF" w:val="clear"/>
            <w:tcMar>
              <w:top w:type="dxa" w:w="80"/>
              <w:left w:type="dxa" w:w="100"/>
              <w:bottom w:type="dxa" w:w="80"/>
              <w:right w:type="dxa" w:w="100"/>
            </w:tcMar>
            <w:vAlign w:val="center"/>
          </w:tcPr>
          <w:p>
            <w:pPr>
              <w:spacing w:line="260"/>
            </w:pPr>
            <w:r>
              <w:rPr>
                <w:rFonts w:ascii="Calibri" w:cs="Calibri" w:eastAsia="Calibri" w:hAnsi="Calibri"/>
                <w:b/>
                <w:bCs/>
                <w:color w:val="9C7A1E"/>
                <w:sz w:val="19"/>
                <w:szCs w:val="19"/>
              </w:rPr>
              <w:t xml:space="preserve">Med</w:t>
            </w:r>
          </w:p>
        </w:tc>
        <w:tc>
          <w:tcPr>
            <w:tcW w:type="dxa" w:w="2100"/>
            <w:shd w:fill="FFFFFF" w:val="clear"/>
            <w:tcMar>
              <w:top w:type="dxa" w:w="80"/>
              <w:left w:type="dxa" w:w="100"/>
              <w:bottom w:type="dxa" w:w="80"/>
              <w:right w:type="dxa" w:w="100"/>
            </w:tcMar>
            <w:vAlign w:val="center"/>
          </w:tcPr>
          <w:p>
            <w:pPr>
              <w:spacing w:line="260"/>
            </w:pPr>
            <w:r>
              <w:rPr>
                <w:rFonts w:ascii="Calibri" w:cs="Calibri" w:eastAsia="Calibri" w:hAnsi="Calibri"/>
                <w:b w:val="false"/>
                <w:bCs w:val="false"/>
                <w:color w:val="1B2119"/>
                <w:sz w:val="19"/>
                <w:szCs w:val="19"/>
              </w:rPr>
              <w:t xml:space="preserve">Near</w:t>
            </w:r>
          </w:p>
        </w:tc>
      </w:tr>
      <w:tr>
        <w:tc>
          <w:tcPr>
            <w:tcW w:type="dxa" w:w="2600"/>
            <w:shd w:fill="F2F7FA" w:val="clear"/>
            <w:tcMar>
              <w:top w:type="dxa" w:w="80"/>
              <w:left w:type="dxa" w:w="100"/>
              <w:bottom w:type="dxa" w:w="80"/>
              <w:right w:type="dxa" w:w="100"/>
            </w:tcMar>
            <w:vAlign w:val="center"/>
          </w:tcPr>
          <w:p>
            <w:pPr>
              <w:spacing w:line="260"/>
            </w:pPr>
            <w:r>
              <w:rPr>
                <w:rFonts w:ascii="Calibri" w:cs="Calibri" w:eastAsia="Calibri" w:hAnsi="Calibri"/>
                <w:b w:val="false"/>
                <w:bCs w:val="false"/>
                <w:color w:val="1B2119"/>
                <w:sz w:val="19"/>
                <w:szCs w:val="19"/>
              </w:rPr>
              <w:t xml:space="preserve">Cost-center + policy enforcement (existing spec)</w:t>
            </w:r>
          </w:p>
        </w:tc>
        <w:tc>
          <w:tcPr>
            <w:tcW w:type="dxa" w:w="1800"/>
            <w:shd w:fill="F2F7FA" w:val="clear"/>
            <w:tcMar>
              <w:top w:type="dxa" w:w="80"/>
              <w:left w:type="dxa" w:w="100"/>
              <w:bottom w:type="dxa" w:w="80"/>
              <w:right w:type="dxa" w:w="100"/>
            </w:tcMar>
            <w:vAlign w:val="center"/>
          </w:tcPr>
          <w:p>
            <w:pPr>
              <w:spacing w:line="260"/>
            </w:pPr>
            <w:r>
              <w:rPr>
                <w:rFonts w:ascii="Calibri" w:cs="Calibri" w:eastAsia="Calibri" w:hAnsi="Calibri"/>
                <w:b w:val="false"/>
                <w:bCs w:val="false"/>
                <w:color w:val="1B2119"/>
                <w:sz w:val="19"/>
                <w:szCs w:val="19"/>
              </w:rPr>
              <w:t xml:space="preserve">Financial</w:t>
            </w:r>
          </w:p>
        </w:tc>
        <w:tc>
          <w:tcPr>
            <w:tcW w:type="dxa" w:w="1300"/>
            <w:shd w:fill="F2F7FA" w:val="clear"/>
            <w:tcMar>
              <w:top w:type="dxa" w:w="80"/>
              <w:left w:type="dxa" w:w="100"/>
              <w:bottom w:type="dxa" w:w="80"/>
              <w:right w:type="dxa" w:w="100"/>
            </w:tcMar>
            <w:vAlign w:val="center"/>
          </w:tcPr>
          <w:p>
            <w:pPr>
              <w:spacing w:line="260"/>
            </w:pPr>
            <w:r>
              <w:rPr>
                <w:rFonts w:ascii="Calibri" w:cs="Calibri" w:eastAsia="Calibri" w:hAnsi="Calibri"/>
                <w:b/>
                <w:bCs/>
                <w:color w:val="2E86AB"/>
                <w:sz w:val="19"/>
                <w:szCs w:val="19"/>
              </w:rPr>
              <w:t xml:space="preserve">High</w:t>
            </w:r>
          </w:p>
        </w:tc>
        <w:tc>
          <w:tcPr>
            <w:tcW w:type="dxa" w:w="1300"/>
            <w:shd w:fill="F2F7FA" w:val="clear"/>
            <w:tcMar>
              <w:top w:type="dxa" w:w="80"/>
              <w:left w:type="dxa" w:w="100"/>
              <w:bottom w:type="dxa" w:w="80"/>
              <w:right w:type="dxa" w:w="100"/>
            </w:tcMar>
            <w:vAlign w:val="center"/>
          </w:tcPr>
          <w:p>
            <w:pPr>
              <w:spacing w:line="260"/>
            </w:pPr>
            <w:r>
              <w:rPr>
                <w:rFonts w:ascii="Calibri" w:cs="Calibri" w:eastAsia="Calibri" w:hAnsi="Calibri"/>
                <w:b/>
                <w:bCs/>
                <w:color w:val="2E86AB"/>
                <w:sz w:val="19"/>
                <w:szCs w:val="19"/>
              </w:rPr>
              <w:t xml:space="preserve">Low-Med</w:t>
            </w:r>
          </w:p>
        </w:tc>
        <w:tc>
          <w:tcPr>
            <w:tcW w:type="dxa" w:w="2100"/>
            <w:shd w:fill="F2F7FA" w:val="clear"/>
            <w:tcMar>
              <w:top w:type="dxa" w:w="80"/>
              <w:left w:type="dxa" w:w="100"/>
              <w:bottom w:type="dxa" w:w="80"/>
              <w:right w:type="dxa" w:w="100"/>
            </w:tcMar>
            <w:vAlign w:val="center"/>
          </w:tcPr>
          <w:p>
            <w:pPr>
              <w:spacing w:line="260"/>
            </w:pPr>
            <w:r>
              <w:rPr>
                <w:rFonts w:ascii="Calibri" w:cs="Calibri" w:eastAsia="Calibri" w:hAnsi="Calibri"/>
                <w:b w:val="false"/>
                <w:bCs w:val="false"/>
                <w:color w:val="1B2119"/>
                <w:sz w:val="19"/>
                <w:szCs w:val="19"/>
              </w:rPr>
              <w:t xml:space="preserve">Near</w:t>
            </w:r>
          </w:p>
        </w:tc>
      </w:tr>
      <w:tr>
        <w:tc>
          <w:tcPr>
            <w:tcW w:type="dxa" w:w="2600"/>
            <w:shd w:fill="FFFFFF" w:val="clear"/>
            <w:tcMar>
              <w:top w:type="dxa" w:w="80"/>
              <w:left w:type="dxa" w:w="100"/>
              <w:bottom w:type="dxa" w:w="80"/>
              <w:right w:type="dxa" w:w="100"/>
            </w:tcMar>
            <w:vAlign w:val="center"/>
          </w:tcPr>
          <w:p>
            <w:pPr>
              <w:spacing w:line="260"/>
            </w:pPr>
            <w:r>
              <w:rPr>
                <w:rFonts w:ascii="Calibri" w:cs="Calibri" w:eastAsia="Calibri" w:hAnsi="Calibri"/>
                <w:b w:val="false"/>
                <w:bCs w:val="false"/>
                <w:color w:val="1B2119"/>
                <w:sz w:val="19"/>
                <w:szCs w:val="19"/>
              </w:rPr>
              <w:t xml:space="preserve">Consolidated multi-employee booking</w:t>
            </w:r>
          </w:p>
        </w:tc>
        <w:tc>
          <w:tcPr>
            <w:tcW w:type="dxa" w:w="1800"/>
            <w:shd w:fill="FFFFFF" w:val="clear"/>
            <w:tcMar>
              <w:top w:type="dxa" w:w="80"/>
              <w:left w:type="dxa" w:w="100"/>
              <w:bottom w:type="dxa" w:w="80"/>
              <w:right w:type="dxa" w:w="100"/>
            </w:tcMar>
            <w:vAlign w:val="center"/>
          </w:tcPr>
          <w:p>
            <w:pPr>
              <w:spacing w:line="260"/>
            </w:pPr>
            <w:r>
              <w:rPr>
                <w:rFonts w:ascii="Calibri" w:cs="Calibri" w:eastAsia="Calibri" w:hAnsi="Calibri"/>
                <w:b w:val="false"/>
                <w:bCs w:val="false"/>
                <w:color w:val="1B2119"/>
                <w:sz w:val="19"/>
                <w:szCs w:val="19"/>
              </w:rPr>
              <w:t xml:space="preserve">Trip Planner</w:t>
            </w:r>
          </w:p>
        </w:tc>
        <w:tc>
          <w:tcPr>
            <w:tcW w:type="dxa" w:w="1300"/>
            <w:shd w:fill="FFFFFF" w:val="clear"/>
            <w:tcMar>
              <w:top w:type="dxa" w:w="80"/>
              <w:left w:type="dxa" w:w="100"/>
              <w:bottom w:type="dxa" w:w="80"/>
              <w:right w:type="dxa" w:w="100"/>
            </w:tcMar>
            <w:vAlign w:val="center"/>
          </w:tcPr>
          <w:p>
            <w:pPr>
              <w:spacing w:line="260"/>
            </w:pPr>
            <w:r>
              <w:rPr>
                <w:rFonts w:ascii="Calibri" w:cs="Calibri" w:eastAsia="Calibri" w:hAnsi="Calibri"/>
                <w:b/>
                <w:bCs/>
                <w:color w:val="2E86AB"/>
                <w:sz w:val="19"/>
                <w:szCs w:val="19"/>
              </w:rPr>
              <w:t xml:space="preserve">High</w:t>
            </w:r>
          </w:p>
        </w:tc>
        <w:tc>
          <w:tcPr>
            <w:tcW w:type="dxa" w:w="1300"/>
            <w:shd w:fill="FFFFFF" w:val="clear"/>
            <w:tcMar>
              <w:top w:type="dxa" w:w="80"/>
              <w:left w:type="dxa" w:w="100"/>
              <w:bottom w:type="dxa" w:w="80"/>
              <w:right w:type="dxa" w:w="100"/>
            </w:tcMar>
            <w:vAlign w:val="center"/>
          </w:tcPr>
          <w:p>
            <w:pPr>
              <w:spacing w:line="260"/>
            </w:pPr>
            <w:r>
              <w:rPr>
                <w:rFonts w:ascii="Calibri" w:cs="Calibri" w:eastAsia="Calibri" w:hAnsi="Calibri"/>
                <w:b/>
                <w:bCs/>
                <w:color w:val="9C7A1E"/>
                <w:sz w:val="19"/>
                <w:szCs w:val="19"/>
              </w:rPr>
              <w:t xml:space="preserve">Med</w:t>
            </w:r>
          </w:p>
        </w:tc>
        <w:tc>
          <w:tcPr>
            <w:tcW w:type="dxa" w:w="2100"/>
            <w:shd w:fill="FFFFFF" w:val="clear"/>
            <w:tcMar>
              <w:top w:type="dxa" w:w="80"/>
              <w:left w:type="dxa" w:w="100"/>
              <w:bottom w:type="dxa" w:w="80"/>
              <w:right w:type="dxa" w:w="100"/>
            </w:tcMar>
            <w:vAlign w:val="center"/>
          </w:tcPr>
          <w:p>
            <w:pPr>
              <w:spacing w:line="260"/>
            </w:pPr>
            <w:r>
              <w:rPr>
                <w:rFonts w:ascii="Calibri" w:cs="Calibri" w:eastAsia="Calibri" w:hAnsi="Calibri"/>
                <w:b w:val="false"/>
                <w:bCs w:val="false"/>
                <w:color w:val="1B2119"/>
                <w:sz w:val="19"/>
                <w:szCs w:val="19"/>
              </w:rPr>
              <w:t xml:space="preserve">Near</w:t>
            </w:r>
          </w:p>
        </w:tc>
      </w:tr>
      <w:tr>
        <w:tc>
          <w:tcPr>
            <w:tcW w:type="dxa" w:w="2600"/>
            <w:shd w:fill="F2F7FA" w:val="clear"/>
            <w:tcMar>
              <w:top w:type="dxa" w:w="80"/>
              <w:left w:type="dxa" w:w="100"/>
              <w:bottom w:type="dxa" w:w="80"/>
              <w:right w:type="dxa" w:w="100"/>
            </w:tcMar>
            <w:vAlign w:val="center"/>
          </w:tcPr>
          <w:p>
            <w:pPr>
              <w:spacing w:line="260"/>
            </w:pPr>
            <w:r>
              <w:rPr>
                <w:rFonts w:ascii="Calibri" w:cs="Calibri" w:eastAsia="Calibri" w:hAnsi="Calibri"/>
                <w:b w:val="false"/>
                <w:bCs w:val="false"/>
                <w:color w:val="1B2119"/>
                <w:sz w:val="19"/>
                <w:szCs w:val="19"/>
              </w:rPr>
              <w:t xml:space="preserve">Negotiated corporate rate integration</w:t>
            </w:r>
          </w:p>
        </w:tc>
        <w:tc>
          <w:tcPr>
            <w:tcW w:type="dxa" w:w="1800"/>
            <w:shd w:fill="F2F7FA" w:val="clear"/>
            <w:tcMar>
              <w:top w:type="dxa" w:w="80"/>
              <w:left w:type="dxa" w:w="100"/>
              <w:bottom w:type="dxa" w:w="80"/>
              <w:right w:type="dxa" w:w="100"/>
            </w:tcMar>
            <w:vAlign w:val="center"/>
          </w:tcPr>
          <w:p>
            <w:pPr>
              <w:spacing w:line="260"/>
            </w:pPr>
            <w:r>
              <w:rPr>
                <w:rFonts w:ascii="Calibri" w:cs="Calibri" w:eastAsia="Calibri" w:hAnsi="Calibri"/>
                <w:b w:val="false"/>
                <w:bCs w:val="false"/>
                <w:color w:val="1B2119"/>
                <w:sz w:val="19"/>
                <w:szCs w:val="19"/>
              </w:rPr>
              <w:t xml:space="preserve">Arranging</w:t>
            </w:r>
          </w:p>
        </w:tc>
        <w:tc>
          <w:tcPr>
            <w:tcW w:type="dxa" w:w="1300"/>
            <w:shd w:fill="F2F7FA" w:val="clear"/>
            <w:tcMar>
              <w:top w:type="dxa" w:w="80"/>
              <w:left w:type="dxa" w:w="100"/>
              <w:bottom w:type="dxa" w:w="80"/>
              <w:right w:type="dxa" w:w="100"/>
            </w:tcMar>
            <w:vAlign w:val="center"/>
          </w:tcPr>
          <w:p>
            <w:pPr>
              <w:spacing w:line="260"/>
            </w:pPr>
            <w:r>
              <w:rPr>
                <w:rFonts w:ascii="Calibri" w:cs="Calibri" w:eastAsia="Calibri" w:hAnsi="Calibri"/>
                <w:b/>
                <w:bCs/>
                <w:color w:val="2E86AB"/>
                <w:sz w:val="19"/>
                <w:szCs w:val="19"/>
              </w:rPr>
              <w:t xml:space="preserve">High</w:t>
            </w:r>
          </w:p>
        </w:tc>
        <w:tc>
          <w:tcPr>
            <w:tcW w:type="dxa" w:w="1300"/>
            <w:shd w:fill="F2F7FA" w:val="clear"/>
            <w:tcMar>
              <w:top w:type="dxa" w:w="80"/>
              <w:left w:type="dxa" w:w="100"/>
              <w:bottom w:type="dxa" w:w="80"/>
              <w:right w:type="dxa" w:w="100"/>
            </w:tcMar>
            <w:vAlign w:val="center"/>
          </w:tcPr>
          <w:p>
            <w:pPr>
              <w:spacing w:line="260"/>
            </w:pPr>
            <w:r>
              <w:rPr>
                <w:rFonts w:ascii="Calibri" w:cs="Calibri" w:eastAsia="Calibri" w:hAnsi="Calibri"/>
                <w:b/>
                <w:bCs/>
                <w:color w:val="9C7A1E"/>
                <w:sz w:val="19"/>
                <w:szCs w:val="19"/>
              </w:rPr>
              <w:t xml:space="preserve">Med</w:t>
            </w:r>
          </w:p>
        </w:tc>
        <w:tc>
          <w:tcPr>
            <w:tcW w:type="dxa" w:w="2100"/>
            <w:shd w:fill="F2F7FA" w:val="clear"/>
            <w:tcMar>
              <w:top w:type="dxa" w:w="80"/>
              <w:left w:type="dxa" w:w="100"/>
              <w:bottom w:type="dxa" w:w="80"/>
              <w:right w:type="dxa" w:w="100"/>
            </w:tcMar>
            <w:vAlign w:val="center"/>
          </w:tcPr>
          <w:p>
            <w:pPr>
              <w:spacing w:line="260"/>
            </w:pPr>
            <w:r>
              <w:rPr>
                <w:rFonts w:ascii="Calibri" w:cs="Calibri" w:eastAsia="Calibri" w:hAnsi="Calibri"/>
                <w:b w:val="false"/>
                <w:bCs w:val="false"/>
                <w:color w:val="1B2119"/>
                <w:sz w:val="19"/>
                <w:szCs w:val="19"/>
              </w:rPr>
              <w:t xml:space="preserve">Near</w:t>
            </w:r>
          </w:p>
        </w:tc>
      </w:tr>
      <w:tr>
        <w:tc>
          <w:tcPr>
            <w:tcW w:type="dxa" w:w="2600"/>
            <w:shd w:fill="FFFFFF" w:val="clear"/>
            <w:tcMar>
              <w:top w:type="dxa" w:w="80"/>
              <w:left w:type="dxa" w:w="100"/>
              <w:bottom w:type="dxa" w:w="80"/>
              <w:right w:type="dxa" w:w="100"/>
            </w:tcMar>
            <w:vAlign w:val="center"/>
          </w:tcPr>
          <w:p>
            <w:pPr>
              <w:spacing w:line="260"/>
            </w:pPr>
            <w:r>
              <w:rPr>
                <w:rFonts w:ascii="Calibri" w:cs="Calibri" w:eastAsia="Calibri" w:hAnsi="Calibri"/>
                <w:b w:val="false"/>
                <w:bCs w:val="false"/>
                <w:color w:val="1B2119"/>
                <w:sz w:val="19"/>
                <w:szCs w:val="19"/>
              </w:rPr>
              <w:t xml:space="preserve">Real-time department spend dashboard</w:t>
            </w:r>
          </w:p>
        </w:tc>
        <w:tc>
          <w:tcPr>
            <w:tcW w:type="dxa" w:w="1800"/>
            <w:shd w:fill="FFFFFF" w:val="clear"/>
            <w:tcMar>
              <w:top w:type="dxa" w:w="80"/>
              <w:left w:type="dxa" w:w="100"/>
              <w:bottom w:type="dxa" w:w="80"/>
              <w:right w:type="dxa" w:w="100"/>
            </w:tcMar>
            <w:vAlign w:val="center"/>
          </w:tcPr>
          <w:p>
            <w:pPr>
              <w:spacing w:line="260"/>
            </w:pPr>
            <w:r>
              <w:rPr>
                <w:rFonts w:ascii="Calibri" w:cs="Calibri" w:eastAsia="Calibri" w:hAnsi="Calibri"/>
                <w:b w:val="false"/>
                <w:bCs w:val="false"/>
                <w:color w:val="1B2119"/>
                <w:sz w:val="19"/>
                <w:szCs w:val="19"/>
              </w:rPr>
              <w:t xml:space="preserve">Financial</w:t>
            </w:r>
          </w:p>
        </w:tc>
        <w:tc>
          <w:tcPr>
            <w:tcW w:type="dxa" w:w="1300"/>
            <w:shd w:fill="FFFFFF" w:val="clear"/>
            <w:tcMar>
              <w:top w:type="dxa" w:w="80"/>
              <w:left w:type="dxa" w:w="100"/>
              <w:bottom w:type="dxa" w:w="80"/>
              <w:right w:type="dxa" w:w="100"/>
            </w:tcMar>
            <w:vAlign w:val="center"/>
          </w:tcPr>
          <w:p>
            <w:pPr>
              <w:spacing w:line="260"/>
            </w:pPr>
            <w:r>
              <w:rPr>
                <w:rFonts w:ascii="Calibri" w:cs="Calibri" w:eastAsia="Calibri" w:hAnsi="Calibri"/>
                <w:b/>
                <w:bCs/>
                <w:color w:val="2E86AB"/>
                <w:sz w:val="19"/>
                <w:szCs w:val="19"/>
              </w:rPr>
              <w:t xml:space="preserve">High</w:t>
            </w:r>
          </w:p>
        </w:tc>
        <w:tc>
          <w:tcPr>
            <w:tcW w:type="dxa" w:w="1300"/>
            <w:shd w:fill="FFFFFF" w:val="clear"/>
            <w:tcMar>
              <w:top w:type="dxa" w:w="80"/>
              <w:left w:type="dxa" w:w="100"/>
              <w:bottom w:type="dxa" w:w="80"/>
              <w:right w:type="dxa" w:w="100"/>
            </w:tcMar>
            <w:vAlign w:val="center"/>
          </w:tcPr>
          <w:p>
            <w:pPr>
              <w:spacing w:line="260"/>
            </w:pPr>
            <w:r>
              <w:rPr>
                <w:rFonts w:ascii="Calibri" w:cs="Calibri" w:eastAsia="Calibri" w:hAnsi="Calibri"/>
                <w:b/>
                <w:bCs/>
                <w:color w:val="9C7A1E"/>
                <w:sz w:val="19"/>
                <w:szCs w:val="19"/>
              </w:rPr>
              <w:t xml:space="preserve">Med</w:t>
            </w:r>
          </w:p>
        </w:tc>
        <w:tc>
          <w:tcPr>
            <w:tcW w:type="dxa" w:w="2100"/>
            <w:shd w:fill="FFFFFF" w:val="clear"/>
            <w:tcMar>
              <w:top w:type="dxa" w:w="80"/>
              <w:left w:type="dxa" w:w="100"/>
              <w:bottom w:type="dxa" w:w="80"/>
              <w:right w:type="dxa" w:w="100"/>
            </w:tcMar>
            <w:vAlign w:val="center"/>
          </w:tcPr>
          <w:p>
            <w:pPr>
              <w:spacing w:line="260"/>
            </w:pPr>
            <w:r>
              <w:rPr>
                <w:rFonts w:ascii="Calibri" w:cs="Calibri" w:eastAsia="Calibri" w:hAnsi="Calibri"/>
                <w:b w:val="false"/>
                <w:bCs w:val="false"/>
                <w:color w:val="1B2119"/>
                <w:sz w:val="19"/>
                <w:szCs w:val="19"/>
              </w:rPr>
              <w:t xml:space="preserve">Near</w:t>
            </w:r>
          </w:p>
        </w:tc>
      </w:tr>
      <w:tr>
        <w:tc>
          <w:tcPr>
            <w:tcW w:type="dxa" w:w="2600"/>
            <w:shd w:fill="F2F7FA" w:val="clear"/>
            <w:tcMar>
              <w:top w:type="dxa" w:w="80"/>
              <w:left w:type="dxa" w:w="100"/>
              <w:bottom w:type="dxa" w:w="80"/>
              <w:right w:type="dxa" w:w="100"/>
            </w:tcMar>
            <w:vAlign w:val="center"/>
          </w:tcPr>
          <w:p>
            <w:pPr>
              <w:spacing w:line="260"/>
            </w:pPr>
            <w:r>
              <w:rPr>
                <w:rFonts w:ascii="Calibri" w:cs="Calibri" w:eastAsia="Calibri" w:hAnsi="Calibri"/>
                <w:b w:val="false"/>
                <w:bCs w:val="false"/>
                <w:color w:val="1B2119"/>
                <w:sz w:val="19"/>
                <w:szCs w:val="19"/>
              </w:rPr>
              <w:t xml:space="preserve">Document/compliance expiry tracking</w:t>
            </w:r>
          </w:p>
        </w:tc>
        <w:tc>
          <w:tcPr>
            <w:tcW w:type="dxa" w:w="1800"/>
            <w:shd w:fill="F2F7FA" w:val="clear"/>
            <w:tcMar>
              <w:top w:type="dxa" w:w="80"/>
              <w:left w:type="dxa" w:w="100"/>
              <w:bottom w:type="dxa" w:w="80"/>
              <w:right w:type="dxa" w:w="100"/>
            </w:tcMar>
            <w:vAlign w:val="center"/>
          </w:tcPr>
          <w:p>
            <w:pPr>
              <w:spacing w:line="260"/>
            </w:pPr>
            <w:r>
              <w:rPr>
                <w:rFonts w:ascii="Calibri" w:cs="Calibri" w:eastAsia="Calibri" w:hAnsi="Calibri"/>
                <w:b w:val="false"/>
                <w:bCs w:val="false"/>
                <w:color w:val="1B2119"/>
                <w:sz w:val="19"/>
                <w:szCs w:val="19"/>
              </w:rPr>
              <w:t xml:space="preserve">Safety</w:t>
            </w:r>
          </w:p>
        </w:tc>
        <w:tc>
          <w:tcPr>
            <w:tcW w:type="dxa" w:w="1300"/>
            <w:shd w:fill="F2F7FA" w:val="clear"/>
            <w:tcMar>
              <w:top w:type="dxa" w:w="80"/>
              <w:left w:type="dxa" w:w="100"/>
              <w:bottom w:type="dxa" w:w="80"/>
              <w:right w:type="dxa" w:w="100"/>
            </w:tcMar>
            <w:vAlign w:val="center"/>
          </w:tcPr>
          <w:p>
            <w:pPr>
              <w:spacing w:line="260"/>
            </w:pPr>
            <w:r>
              <w:rPr>
                <w:rFonts w:ascii="Calibri" w:cs="Calibri" w:eastAsia="Calibri" w:hAnsi="Calibri"/>
                <w:b/>
                <w:bCs/>
                <w:color w:val="9C7A1E"/>
                <w:sz w:val="19"/>
                <w:szCs w:val="19"/>
              </w:rPr>
              <w:t xml:space="preserve">Med</w:t>
            </w:r>
          </w:p>
        </w:tc>
        <w:tc>
          <w:tcPr>
            <w:tcW w:type="dxa" w:w="1300"/>
            <w:shd w:fill="F2F7FA" w:val="clear"/>
            <w:tcMar>
              <w:top w:type="dxa" w:w="80"/>
              <w:left w:type="dxa" w:w="100"/>
              <w:bottom w:type="dxa" w:w="80"/>
              <w:right w:type="dxa" w:w="100"/>
            </w:tcMar>
            <w:vAlign w:val="center"/>
          </w:tcPr>
          <w:p>
            <w:pPr>
              <w:spacing w:line="260"/>
            </w:pPr>
            <w:r>
              <w:rPr>
                <w:rFonts w:ascii="Calibri" w:cs="Calibri" w:eastAsia="Calibri" w:hAnsi="Calibri"/>
                <w:b/>
                <w:bCs/>
                <w:color w:val="2E86AB"/>
                <w:sz w:val="19"/>
                <w:szCs w:val="19"/>
              </w:rPr>
              <w:t xml:space="preserve">Low</w:t>
            </w:r>
          </w:p>
        </w:tc>
        <w:tc>
          <w:tcPr>
            <w:tcW w:type="dxa" w:w="2100"/>
            <w:shd w:fill="F2F7FA" w:val="clear"/>
            <w:tcMar>
              <w:top w:type="dxa" w:w="80"/>
              <w:left w:type="dxa" w:w="100"/>
              <w:bottom w:type="dxa" w:w="80"/>
              <w:right w:type="dxa" w:w="100"/>
            </w:tcMar>
            <w:vAlign w:val="center"/>
          </w:tcPr>
          <w:p>
            <w:pPr>
              <w:spacing w:line="260"/>
            </w:pPr>
            <w:r>
              <w:rPr>
                <w:rFonts w:ascii="Calibri" w:cs="Calibri" w:eastAsia="Calibri" w:hAnsi="Calibri"/>
                <w:b w:val="false"/>
                <w:bCs w:val="false"/>
                <w:color w:val="1B2119"/>
                <w:sz w:val="19"/>
                <w:szCs w:val="19"/>
              </w:rPr>
              <w:t xml:space="preserve">Near</w:t>
            </w:r>
          </w:p>
        </w:tc>
      </w:tr>
      <w:tr>
        <w:tc>
          <w:tcPr>
            <w:tcW w:type="dxa" w:w="2600"/>
            <w:shd w:fill="FFFFFF" w:val="clear"/>
            <w:tcMar>
              <w:top w:type="dxa" w:w="80"/>
              <w:left w:type="dxa" w:w="100"/>
              <w:bottom w:type="dxa" w:w="80"/>
              <w:right w:type="dxa" w:w="100"/>
            </w:tcMar>
            <w:vAlign w:val="center"/>
          </w:tcPr>
          <w:p>
            <w:pPr>
              <w:spacing w:line="260"/>
            </w:pPr>
            <w:r>
              <w:rPr>
                <w:rFonts w:ascii="Calibri" w:cs="Calibri" w:eastAsia="Calibri" w:hAnsi="Calibri"/>
                <w:b w:val="false"/>
                <w:bCs w:val="false"/>
                <w:color w:val="1B2119"/>
                <w:sz w:val="19"/>
                <w:szCs w:val="19"/>
              </w:rPr>
              <w:t xml:space="preserve">Duty-of-care dashboard (scoped, honest)</w:t>
            </w:r>
          </w:p>
        </w:tc>
        <w:tc>
          <w:tcPr>
            <w:tcW w:type="dxa" w:w="1800"/>
            <w:shd w:fill="FFFFFF" w:val="clear"/>
            <w:tcMar>
              <w:top w:type="dxa" w:w="80"/>
              <w:left w:type="dxa" w:w="100"/>
              <w:bottom w:type="dxa" w:w="80"/>
              <w:right w:type="dxa" w:w="100"/>
            </w:tcMar>
            <w:vAlign w:val="center"/>
          </w:tcPr>
          <w:p>
            <w:pPr>
              <w:spacing w:line="260"/>
            </w:pPr>
            <w:r>
              <w:rPr>
                <w:rFonts w:ascii="Calibri" w:cs="Calibri" w:eastAsia="Calibri" w:hAnsi="Calibri"/>
                <w:b w:val="false"/>
                <w:bCs w:val="false"/>
                <w:color w:val="1B2119"/>
                <w:sz w:val="19"/>
                <w:szCs w:val="19"/>
              </w:rPr>
              <w:t xml:space="preserve">Safety</w:t>
            </w:r>
          </w:p>
        </w:tc>
        <w:tc>
          <w:tcPr>
            <w:tcW w:type="dxa" w:w="1300"/>
            <w:shd w:fill="FFFFFF" w:val="clear"/>
            <w:tcMar>
              <w:top w:type="dxa" w:w="80"/>
              <w:left w:type="dxa" w:w="100"/>
              <w:bottom w:type="dxa" w:w="80"/>
              <w:right w:type="dxa" w:w="100"/>
            </w:tcMar>
            <w:vAlign w:val="center"/>
          </w:tcPr>
          <w:p>
            <w:pPr>
              <w:spacing w:line="260"/>
            </w:pPr>
            <w:r>
              <w:rPr>
                <w:rFonts w:ascii="Calibri" w:cs="Calibri" w:eastAsia="Calibri" w:hAnsi="Calibri"/>
                <w:b/>
                <w:bCs/>
                <w:color w:val="2E86AB"/>
                <w:sz w:val="19"/>
                <w:szCs w:val="19"/>
              </w:rPr>
              <w:t xml:space="preserve">High</w:t>
            </w:r>
          </w:p>
        </w:tc>
        <w:tc>
          <w:tcPr>
            <w:tcW w:type="dxa" w:w="1300"/>
            <w:shd w:fill="FFFFFF" w:val="clear"/>
            <w:tcMar>
              <w:top w:type="dxa" w:w="80"/>
              <w:left w:type="dxa" w:w="100"/>
              <w:bottom w:type="dxa" w:w="80"/>
              <w:right w:type="dxa" w:w="100"/>
            </w:tcMar>
            <w:vAlign w:val="center"/>
          </w:tcPr>
          <w:p>
            <w:pPr>
              <w:spacing w:line="260"/>
            </w:pPr>
            <w:r>
              <w:rPr>
                <w:rFonts w:ascii="Calibri" w:cs="Calibri" w:eastAsia="Calibri" w:hAnsi="Calibri"/>
                <w:b/>
                <w:bCs/>
                <w:color w:val="9C7A1E"/>
                <w:sz w:val="19"/>
                <w:szCs w:val="19"/>
              </w:rPr>
              <w:t xml:space="preserve">Med</w:t>
            </w:r>
          </w:p>
        </w:tc>
        <w:tc>
          <w:tcPr>
            <w:tcW w:type="dxa" w:w="2100"/>
            <w:shd w:fill="FFFFFF" w:val="clear"/>
            <w:tcMar>
              <w:top w:type="dxa" w:w="80"/>
              <w:left w:type="dxa" w:w="100"/>
              <w:bottom w:type="dxa" w:w="80"/>
              <w:right w:type="dxa" w:w="100"/>
            </w:tcMar>
            <w:vAlign w:val="center"/>
          </w:tcPr>
          <w:p>
            <w:pPr>
              <w:spacing w:line="260"/>
            </w:pPr>
            <w:r>
              <w:rPr>
                <w:rFonts w:ascii="Calibri" w:cs="Calibri" w:eastAsia="Calibri" w:hAnsi="Calibri"/>
                <w:b w:val="false"/>
                <w:bCs w:val="false"/>
                <w:color w:val="1B2119"/>
                <w:sz w:val="19"/>
                <w:szCs w:val="19"/>
              </w:rPr>
              <w:t xml:space="preserve">Mid</w:t>
            </w:r>
          </w:p>
        </w:tc>
      </w:tr>
      <w:tr>
        <w:tc>
          <w:tcPr>
            <w:tcW w:type="dxa" w:w="2600"/>
            <w:shd w:fill="F2F7FA" w:val="clear"/>
            <w:tcMar>
              <w:top w:type="dxa" w:w="80"/>
              <w:left w:type="dxa" w:w="100"/>
              <w:bottom w:type="dxa" w:w="80"/>
              <w:right w:type="dxa" w:w="100"/>
            </w:tcMar>
            <w:vAlign w:val="center"/>
          </w:tcPr>
          <w:p>
            <w:pPr>
              <w:spacing w:line="260"/>
            </w:pPr>
            <w:r>
              <w:rPr>
                <w:rFonts w:ascii="Calibri" w:cs="Calibri" w:eastAsia="Calibri" w:hAnsi="Calibri"/>
                <w:b w:val="false"/>
                <w:bCs w:val="false"/>
                <w:color w:val="1B2119"/>
                <w:sz w:val="19"/>
                <w:szCs w:val="19"/>
              </w:rPr>
              <w:t xml:space="preserve">Natural-language spend analytics</w:t>
            </w:r>
          </w:p>
        </w:tc>
        <w:tc>
          <w:tcPr>
            <w:tcW w:type="dxa" w:w="1800"/>
            <w:shd w:fill="F2F7FA" w:val="clear"/>
            <w:tcMar>
              <w:top w:type="dxa" w:w="80"/>
              <w:left w:type="dxa" w:w="100"/>
              <w:bottom w:type="dxa" w:w="80"/>
              <w:right w:type="dxa" w:w="100"/>
            </w:tcMar>
            <w:vAlign w:val="center"/>
          </w:tcPr>
          <w:p>
            <w:pPr>
              <w:spacing w:line="260"/>
            </w:pPr>
            <w:r>
              <w:rPr>
                <w:rFonts w:ascii="Calibri" w:cs="Calibri" w:eastAsia="Calibri" w:hAnsi="Calibri"/>
                <w:b w:val="false"/>
                <w:bCs w:val="false"/>
                <w:color w:val="1B2119"/>
                <w:sz w:val="19"/>
                <w:szCs w:val="19"/>
              </w:rPr>
              <w:t xml:space="preserve">AI</w:t>
            </w:r>
          </w:p>
        </w:tc>
        <w:tc>
          <w:tcPr>
            <w:tcW w:type="dxa" w:w="1300"/>
            <w:shd w:fill="F2F7FA" w:val="clear"/>
            <w:tcMar>
              <w:top w:type="dxa" w:w="80"/>
              <w:left w:type="dxa" w:w="100"/>
              <w:bottom w:type="dxa" w:w="80"/>
              <w:right w:type="dxa" w:w="100"/>
            </w:tcMar>
            <w:vAlign w:val="center"/>
          </w:tcPr>
          <w:p>
            <w:pPr>
              <w:spacing w:line="260"/>
            </w:pPr>
            <w:r>
              <w:rPr>
                <w:rFonts w:ascii="Calibri" w:cs="Calibri" w:eastAsia="Calibri" w:hAnsi="Calibri"/>
                <w:b/>
                <w:bCs/>
                <w:color w:val="2E86AB"/>
                <w:sz w:val="19"/>
                <w:szCs w:val="19"/>
              </w:rPr>
              <w:t xml:space="preserve">High</w:t>
            </w:r>
          </w:p>
        </w:tc>
        <w:tc>
          <w:tcPr>
            <w:tcW w:type="dxa" w:w="1300"/>
            <w:shd w:fill="F2F7FA" w:val="clear"/>
            <w:tcMar>
              <w:top w:type="dxa" w:w="80"/>
              <w:left w:type="dxa" w:w="100"/>
              <w:bottom w:type="dxa" w:w="80"/>
              <w:right w:type="dxa" w:w="100"/>
            </w:tcMar>
            <w:vAlign w:val="center"/>
          </w:tcPr>
          <w:p>
            <w:pPr>
              <w:spacing w:line="260"/>
            </w:pPr>
            <w:r>
              <w:rPr>
                <w:rFonts w:ascii="Calibri" w:cs="Calibri" w:eastAsia="Calibri" w:hAnsi="Calibri"/>
                <w:b/>
                <w:bCs/>
                <w:color w:val="9C7A1E"/>
                <w:sz w:val="19"/>
                <w:szCs w:val="19"/>
              </w:rPr>
              <w:t xml:space="preserve">Med</w:t>
            </w:r>
          </w:p>
        </w:tc>
        <w:tc>
          <w:tcPr>
            <w:tcW w:type="dxa" w:w="2100"/>
            <w:shd w:fill="F2F7FA" w:val="clear"/>
            <w:tcMar>
              <w:top w:type="dxa" w:w="80"/>
              <w:left w:type="dxa" w:w="100"/>
              <w:bottom w:type="dxa" w:w="80"/>
              <w:right w:type="dxa" w:w="100"/>
            </w:tcMar>
            <w:vAlign w:val="center"/>
          </w:tcPr>
          <w:p>
            <w:pPr>
              <w:spacing w:line="260"/>
            </w:pPr>
            <w:r>
              <w:rPr>
                <w:rFonts w:ascii="Calibri" w:cs="Calibri" w:eastAsia="Calibri" w:hAnsi="Calibri"/>
                <w:b w:val="false"/>
                <w:bCs w:val="false"/>
                <w:color w:val="1B2119"/>
                <w:sz w:val="19"/>
                <w:szCs w:val="19"/>
              </w:rPr>
              <w:t xml:space="preserve">Mid</w:t>
            </w:r>
          </w:p>
        </w:tc>
      </w:tr>
      <w:tr>
        <w:tc>
          <w:tcPr>
            <w:tcW w:type="dxa" w:w="2600"/>
            <w:shd w:fill="FFFFFF" w:val="clear"/>
            <w:tcMar>
              <w:top w:type="dxa" w:w="80"/>
              <w:left w:type="dxa" w:w="100"/>
              <w:bottom w:type="dxa" w:w="80"/>
              <w:right w:type="dxa" w:w="100"/>
            </w:tcMar>
            <w:vAlign w:val="center"/>
          </w:tcPr>
          <w:p>
            <w:pPr>
              <w:spacing w:line="260"/>
            </w:pPr>
            <w:r>
              <w:rPr>
                <w:rFonts w:ascii="Calibri" w:cs="Calibri" w:eastAsia="Calibri" w:hAnsi="Calibri"/>
                <w:b w:val="false"/>
                <w:bCs w:val="false"/>
                <w:color w:val="1B2119"/>
                <w:sz w:val="19"/>
                <w:szCs w:val="19"/>
              </w:rPr>
              <w:t xml:space="preserve">Cross-trip fraud/duplicate detection</w:t>
            </w:r>
          </w:p>
        </w:tc>
        <w:tc>
          <w:tcPr>
            <w:tcW w:type="dxa" w:w="1800"/>
            <w:shd w:fill="FFFFFF" w:val="clear"/>
            <w:tcMar>
              <w:top w:type="dxa" w:w="80"/>
              <w:left w:type="dxa" w:w="100"/>
              <w:bottom w:type="dxa" w:w="80"/>
              <w:right w:type="dxa" w:w="100"/>
            </w:tcMar>
            <w:vAlign w:val="center"/>
          </w:tcPr>
          <w:p>
            <w:pPr>
              <w:spacing w:line="260"/>
            </w:pPr>
            <w:r>
              <w:rPr>
                <w:rFonts w:ascii="Calibri" w:cs="Calibri" w:eastAsia="Calibri" w:hAnsi="Calibri"/>
                <w:b w:val="false"/>
                <w:bCs w:val="false"/>
                <w:color w:val="1B2119"/>
                <w:sz w:val="19"/>
                <w:szCs w:val="19"/>
              </w:rPr>
              <w:t xml:space="preserve">AI</w:t>
            </w:r>
          </w:p>
        </w:tc>
        <w:tc>
          <w:tcPr>
            <w:tcW w:type="dxa" w:w="1300"/>
            <w:shd w:fill="FFFFFF" w:val="clear"/>
            <w:tcMar>
              <w:top w:type="dxa" w:w="80"/>
              <w:left w:type="dxa" w:w="100"/>
              <w:bottom w:type="dxa" w:w="80"/>
              <w:right w:type="dxa" w:w="100"/>
            </w:tcMar>
            <w:vAlign w:val="center"/>
          </w:tcPr>
          <w:p>
            <w:pPr>
              <w:spacing w:line="260"/>
            </w:pPr>
            <w:r>
              <w:rPr>
                <w:rFonts w:ascii="Calibri" w:cs="Calibri" w:eastAsia="Calibri" w:hAnsi="Calibri"/>
                <w:b/>
                <w:bCs/>
                <w:color w:val="9C7A1E"/>
                <w:sz w:val="19"/>
                <w:szCs w:val="19"/>
              </w:rPr>
              <w:t xml:space="preserve">Med</w:t>
            </w:r>
          </w:p>
        </w:tc>
        <w:tc>
          <w:tcPr>
            <w:tcW w:type="dxa" w:w="1300"/>
            <w:shd w:fill="FFFFFF" w:val="clear"/>
            <w:tcMar>
              <w:top w:type="dxa" w:w="80"/>
              <w:left w:type="dxa" w:w="100"/>
              <w:bottom w:type="dxa" w:w="80"/>
              <w:right w:type="dxa" w:w="100"/>
            </w:tcMar>
            <w:vAlign w:val="center"/>
          </w:tcPr>
          <w:p>
            <w:pPr>
              <w:spacing w:line="260"/>
            </w:pPr>
            <w:r>
              <w:rPr>
                <w:rFonts w:ascii="Calibri" w:cs="Calibri" w:eastAsia="Calibri" w:hAnsi="Calibri"/>
                <w:b/>
                <w:bCs/>
                <w:color w:val="9C7A1E"/>
                <w:sz w:val="19"/>
                <w:szCs w:val="19"/>
              </w:rPr>
              <w:t xml:space="preserve">Med</w:t>
            </w:r>
          </w:p>
        </w:tc>
        <w:tc>
          <w:tcPr>
            <w:tcW w:type="dxa" w:w="2100"/>
            <w:shd w:fill="FFFFFF" w:val="clear"/>
            <w:tcMar>
              <w:top w:type="dxa" w:w="80"/>
              <w:left w:type="dxa" w:w="100"/>
              <w:bottom w:type="dxa" w:w="80"/>
              <w:right w:type="dxa" w:w="100"/>
            </w:tcMar>
            <w:vAlign w:val="center"/>
          </w:tcPr>
          <w:p>
            <w:pPr>
              <w:spacing w:line="260"/>
            </w:pPr>
            <w:r>
              <w:rPr>
                <w:rFonts w:ascii="Calibri" w:cs="Calibri" w:eastAsia="Calibri" w:hAnsi="Calibri"/>
                <w:b w:val="false"/>
                <w:bCs w:val="false"/>
                <w:color w:val="1B2119"/>
                <w:sz w:val="19"/>
                <w:szCs w:val="19"/>
              </w:rPr>
              <w:t xml:space="preserve">Mid</w:t>
            </w:r>
          </w:p>
        </w:tc>
      </w:tr>
      <w:tr>
        <w:tc>
          <w:tcPr>
            <w:tcW w:type="dxa" w:w="2600"/>
            <w:shd w:fill="F2F7FA" w:val="clear"/>
            <w:tcMar>
              <w:top w:type="dxa" w:w="80"/>
              <w:left w:type="dxa" w:w="100"/>
              <w:bottom w:type="dxa" w:w="80"/>
              <w:right w:type="dxa" w:w="100"/>
            </w:tcMar>
            <w:vAlign w:val="center"/>
          </w:tcPr>
          <w:p>
            <w:pPr>
              <w:spacing w:line="260"/>
            </w:pPr>
            <w:r>
              <w:rPr>
                <w:rFonts w:ascii="Calibri" w:cs="Calibri" w:eastAsia="Calibri" w:hAnsi="Calibri"/>
                <w:b w:val="false"/>
                <w:bCs w:val="false"/>
                <w:color w:val="1B2119"/>
                <w:sz w:val="19"/>
                <w:szCs w:val="19"/>
              </w:rPr>
              <w:t xml:space="preserve">Corporate card reconciliation</w:t>
            </w:r>
          </w:p>
        </w:tc>
        <w:tc>
          <w:tcPr>
            <w:tcW w:type="dxa" w:w="1800"/>
            <w:shd w:fill="F2F7FA" w:val="clear"/>
            <w:tcMar>
              <w:top w:type="dxa" w:w="80"/>
              <w:left w:type="dxa" w:w="100"/>
              <w:bottom w:type="dxa" w:w="80"/>
              <w:right w:type="dxa" w:w="100"/>
            </w:tcMar>
            <w:vAlign w:val="center"/>
          </w:tcPr>
          <w:p>
            <w:pPr>
              <w:spacing w:line="260"/>
            </w:pPr>
            <w:r>
              <w:rPr>
                <w:rFonts w:ascii="Calibri" w:cs="Calibri" w:eastAsia="Calibri" w:hAnsi="Calibri"/>
                <w:b w:val="false"/>
                <w:bCs w:val="false"/>
                <w:color w:val="1B2119"/>
                <w:sz w:val="19"/>
                <w:szCs w:val="19"/>
              </w:rPr>
              <w:t xml:space="preserve">Financial</w:t>
            </w:r>
          </w:p>
        </w:tc>
        <w:tc>
          <w:tcPr>
            <w:tcW w:type="dxa" w:w="1300"/>
            <w:shd w:fill="F2F7FA" w:val="clear"/>
            <w:tcMar>
              <w:top w:type="dxa" w:w="80"/>
              <w:left w:type="dxa" w:w="100"/>
              <w:bottom w:type="dxa" w:w="80"/>
              <w:right w:type="dxa" w:w="100"/>
            </w:tcMar>
            <w:vAlign w:val="center"/>
          </w:tcPr>
          <w:p>
            <w:pPr>
              <w:spacing w:line="260"/>
            </w:pPr>
            <w:r>
              <w:rPr>
                <w:rFonts w:ascii="Calibri" w:cs="Calibri" w:eastAsia="Calibri" w:hAnsi="Calibri"/>
                <w:b/>
                <w:bCs/>
                <w:color w:val="9C7A1E"/>
                <w:sz w:val="19"/>
                <w:szCs w:val="19"/>
              </w:rPr>
              <w:t xml:space="preserve">Med</w:t>
            </w:r>
          </w:p>
        </w:tc>
        <w:tc>
          <w:tcPr>
            <w:tcW w:type="dxa" w:w="1300"/>
            <w:shd w:fill="F2F7FA" w:val="clear"/>
            <w:tcMar>
              <w:top w:type="dxa" w:w="80"/>
              <w:left w:type="dxa" w:w="100"/>
              <w:bottom w:type="dxa" w:w="80"/>
              <w:right w:type="dxa" w:w="100"/>
            </w:tcMar>
            <w:vAlign w:val="center"/>
          </w:tcPr>
          <w:p>
            <w:pPr>
              <w:spacing w:line="260"/>
            </w:pPr>
            <w:r>
              <w:rPr>
                <w:rFonts w:ascii="Calibri" w:cs="Calibri" w:eastAsia="Calibri" w:hAnsi="Calibri"/>
                <w:b/>
                <w:bCs/>
                <w:color w:val="9B2C2C"/>
                <w:sz w:val="19"/>
                <w:szCs w:val="19"/>
              </w:rPr>
              <w:t xml:space="preserve">High</w:t>
            </w:r>
          </w:p>
        </w:tc>
        <w:tc>
          <w:tcPr>
            <w:tcW w:type="dxa" w:w="2100"/>
            <w:shd w:fill="F2F7FA" w:val="clear"/>
            <w:tcMar>
              <w:top w:type="dxa" w:w="80"/>
              <w:left w:type="dxa" w:w="100"/>
              <w:bottom w:type="dxa" w:w="80"/>
              <w:right w:type="dxa" w:w="100"/>
            </w:tcMar>
            <w:vAlign w:val="center"/>
          </w:tcPr>
          <w:p>
            <w:pPr>
              <w:spacing w:line="260"/>
            </w:pPr>
            <w:r>
              <w:rPr>
                <w:rFonts w:ascii="Calibri" w:cs="Calibri" w:eastAsia="Calibri" w:hAnsi="Calibri"/>
                <w:b w:val="false"/>
                <w:bCs w:val="false"/>
                <w:color w:val="1B2119"/>
                <w:sz w:val="19"/>
                <w:szCs w:val="19"/>
              </w:rPr>
              <w:t xml:space="preserve">Mid</w:t>
            </w:r>
          </w:p>
        </w:tc>
      </w:tr>
      <w:tr>
        <w:tc>
          <w:tcPr>
            <w:tcW w:type="dxa" w:w="2600"/>
            <w:shd w:fill="FFFFFF" w:val="clear"/>
            <w:tcMar>
              <w:top w:type="dxa" w:w="80"/>
              <w:left w:type="dxa" w:w="100"/>
              <w:bottom w:type="dxa" w:w="80"/>
              <w:right w:type="dxa" w:w="100"/>
            </w:tcMar>
            <w:vAlign w:val="center"/>
          </w:tcPr>
          <w:p>
            <w:pPr>
              <w:spacing w:line="260"/>
            </w:pPr>
            <w:r>
              <w:rPr>
                <w:rFonts w:ascii="Calibri" w:cs="Calibri" w:eastAsia="Calibri" w:hAnsi="Calibri"/>
                <w:b w:val="false"/>
                <w:bCs w:val="false"/>
                <w:color w:val="1B2119"/>
                <w:sz w:val="19"/>
                <w:szCs w:val="19"/>
              </w:rPr>
              <w:t xml:space="preserve">GST-ready export (post legal review)</w:t>
            </w:r>
          </w:p>
        </w:tc>
        <w:tc>
          <w:tcPr>
            <w:tcW w:type="dxa" w:w="1800"/>
            <w:shd w:fill="FFFFFF" w:val="clear"/>
            <w:tcMar>
              <w:top w:type="dxa" w:w="80"/>
              <w:left w:type="dxa" w:w="100"/>
              <w:bottom w:type="dxa" w:w="80"/>
              <w:right w:type="dxa" w:w="100"/>
            </w:tcMar>
            <w:vAlign w:val="center"/>
          </w:tcPr>
          <w:p>
            <w:pPr>
              <w:spacing w:line="260"/>
            </w:pPr>
            <w:r>
              <w:rPr>
                <w:rFonts w:ascii="Calibri" w:cs="Calibri" w:eastAsia="Calibri" w:hAnsi="Calibri"/>
                <w:b w:val="false"/>
                <w:bCs w:val="false"/>
                <w:color w:val="1B2119"/>
                <w:sz w:val="19"/>
                <w:szCs w:val="19"/>
              </w:rPr>
              <w:t xml:space="preserve">Financial</w:t>
            </w:r>
          </w:p>
        </w:tc>
        <w:tc>
          <w:tcPr>
            <w:tcW w:type="dxa" w:w="1300"/>
            <w:shd w:fill="FFFFFF" w:val="clear"/>
            <w:tcMar>
              <w:top w:type="dxa" w:w="80"/>
              <w:left w:type="dxa" w:w="100"/>
              <w:bottom w:type="dxa" w:w="80"/>
              <w:right w:type="dxa" w:w="100"/>
            </w:tcMar>
            <w:vAlign w:val="center"/>
          </w:tcPr>
          <w:p>
            <w:pPr>
              <w:spacing w:line="260"/>
            </w:pPr>
            <w:r>
              <w:rPr>
                <w:rFonts w:ascii="Calibri" w:cs="Calibri" w:eastAsia="Calibri" w:hAnsi="Calibri"/>
                <w:b/>
                <w:bCs/>
                <w:color w:val="9C7A1E"/>
                <w:sz w:val="19"/>
                <w:szCs w:val="19"/>
              </w:rPr>
              <w:t xml:space="preserve">Med</w:t>
            </w:r>
          </w:p>
        </w:tc>
        <w:tc>
          <w:tcPr>
            <w:tcW w:type="dxa" w:w="1300"/>
            <w:shd w:fill="FFFFFF" w:val="clear"/>
            <w:tcMar>
              <w:top w:type="dxa" w:w="80"/>
              <w:left w:type="dxa" w:w="100"/>
              <w:bottom w:type="dxa" w:w="80"/>
              <w:right w:type="dxa" w:w="100"/>
            </w:tcMar>
            <w:vAlign w:val="center"/>
          </w:tcPr>
          <w:p>
            <w:pPr>
              <w:spacing w:line="260"/>
            </w:pPr>
            <w:r>
              <w:rPr>
                <w:rFonts w:ascii="Calibri" w:cs="Calibri" w:eastAsia="Calibri" w:hAnsi="Calibri"/>
                <w:b/>
                <w:bCs/>
                <w:color w:val="9C7A1E"/>
                <w:sz w:val="19"/>
                <w:szCs w:val="19"/>
              </w:rPr>
              <w:t xml:space="preserve">Med</w:t>
            </w:r>
          </w:p>
        </w:tc>
        <w:tc>
          <w:tcPr>
            <w:tcW w:type="dxa" w:w="2100"/>
            <w:shd w:fill="FFFFFF" w:val="clear"/>
            <w:tcMar>
              <w:top w:type="dxa" w:w="80"/>
              <w:left w:type="dxa" w:w="100"/>
              <w:bottom w:type="dxa" w:w="80"/>
              <w:right w:type="dxa" w:w="100"/>
            </w:tcMar>
            <w:vAlign w:val="center"/>
          </w:tcPr>
          <w:p>
            <w:pPr>
              <w:spacing w:line="260"/>
            </w:pPr>
            <w:r>
              <w:rPr>
                <w:rFonts w:ascii="Calibri" w:cs="Calibri" w:eastAsia="Calibri" w:hAnsi="Calibri"/>
                <w:b w:val="false"/>
                <w:bCs w:val="false"/>
                <w:color w:val="1B2119"/>
                <w:sz w:val="19"/>
                <w:szCs w:val="19"/>
              </w:rPr>
              <w:t xml:space="preserve">Mid</w:t>
            </w:r>
          </w:p>
        </w:tc>
      </w:tr>
      <w:tr>
        <w:tc>
          <w:tcPr>
            <w:tcW w:type="dxa" w:w="2600"/>
            <w:shd w:fill="F2F7FA" w:val="clear"/>
            <w:tcMar>
              <w:top w:type="dxa" w:w="80"/>
              <w:left w:type="dxa" w:w="100"/>
              <w:bottom w:type="dxa" w:w="80"/>
              <w:right w:type="dxa" w:w="100"/>
            </w:tcMar>
            <w:vAlign w:val="center"/>
          </w:tcPr>
          <w:p>
            <w:pPr>
              <w:spacing w:line="260"/>
            </w:pPr>
            <w:r>
              <w:rPr>
                <w:rFonts w:ascii="Calibri" w:cs="Calibri" w:eastAsia="Calibri" w:hAnsi="Calibri"/>
                <w:b w:val="false"/>
                <w:bCs w:val="false"/>
                <w:color w:val="1B2119"/>
                <w:sz w:val="19"/>
                <w:szCs w:val="19"/>
              </w:rPr>
              <w:t xml:space="preserve">Bulk room-block booking for offsites</w:t>
            </w:r>
          </w:p>
        </w:tc>
        <w:tc>
          <w:tcPr>
            <w:tcW w:type="dxa" w:w="1800"/>
            <w:shd w:fill="F2F7FA" w:val="clear"/>
            <w:tcMar>
              <w:top w:type="dxa" w:w="80"/>
              <w:left w:type="dxa" w:w="100"/>
              <w:bottom w:type="dxa" w:w="80"/>
              <w:right w:type="dxa" w:w="100"/>
            </w:tcMar>
            <w:vAlign w:val="center"/>
          </w:tcPr>
          <w:p>
            <w:pPr>
              <w:spacing w:line="260"/>
            </w:pPr>
            <w:r>
              <w:rPr>
                <w:rFonts w:ascii="Calibri" w:cs="Calibri" w:eastAsia="Calibri" w:hAnsi="Calibri"/>
                <w:b w:val="false"/>
                <w:bCs w:val="false"/>
                <w:color w:val="1B2119"/>
                <w:sz w:val="19"/>
                <w:szCs w:val="19"/>
              </w:rPr>
              <w:t xml:space="preserve">Arranging</w:t>
            </w:r>
          </w:p>
        </w:tc>
        <w:tc>
          <w:tcPr>
            <w:tcW w:type="dxa" w:w="1300"/>
            <w:shd w:fill="F2F7FA" w:val="clear"/>
            <w:tcMar>
              <w:top w:type="dxa" w:w="80"/>
              <w:left w:type="dxa" w:w="100"/>
              <w:bottom w:type="dxa" w:w="80"/>
              <w:right w:type="dxa" w:w="100"/>
            </w:tcMar>
            <w:vAlign w:val="center"/>
          </w:tcPr>
          <w:p>
            <w:pPr>
              <w:spacing w:line="260"/>
            </w:pPr>
            <w:r>
              <w:rPr>
                <w:rFonts w:ascii="Calibri" w:cs="Calibri" w:eastAsia="Calibri" w:hAnsi="Calibri"/>
                <w:b/>
                <w:bCs/>
                <w:color w:val="9C7A1E"/>
                <w:sz w:val="19"/>
                <w:szCs w:val="19"/>
              </w:rPr>
              <w:t xml:space="preserve">Med</w:t>
            </w:r>
          </w:p>
        </w:tc>
        <w:tc>
          <w:tcPr>
            <w:tcW w:type="dxa" w:w="1300"/>
            <w:shd w:fill="F2F7FA" w:val="clear"/>
            <w:tcMar>
              <w:top w:type="dxa" w:w="80"/>
              <w:left w:type="dxa" w:w="100"/>
              <w:bottom w:type="dxa" w:w="80"/>
              <w:right w:type="dxa" w:w="100"/>
            </w:tcMar>
            <w:vAlign w:val="center"/>
          </w:tcPr>
          <w:p>
            <w:pPr>
              <w:spacing w:line="260"/>
            </w:pPr>
            <w:r>
              <w:rPr>
                <w:rFonts w:ascii="Calibri" w:cs="Calibri" w:eastAsia="Calibri" w:hAnsi="Calibri"/>
                <w:b/>
                <w:bCs/>
                <w:color w:val="9C7A1E"/>
                <w:sz w:val="19"/>
                <w:szCs w:val="19"/>
              </w:rPr>
              <w:t xml:space="preserve">Med</w:t>
            </w:r>
          </w:p>
        </w:tc>
        <w:tc>
          <w:tcPr>
            <w:tcW w:type="dxa" w:w="2100"/>
            <w:shd w:fill="F2F7FA" w:val="clear"/>
            <w:tcMar>
              <w:top w:type="dxa" w:w="80"/>
              <w:left w:type="dxa" w:w="100"/>
              <w:bottom w:type="dxa" w:w="80"/>
              <w:right w:type="dxa" w:w="100"/>
            </w:tcMar>
            <w:vAlign w:val="center"/>
          </w:tcPr>
          <w:p>
            <w:pPr>
              <w:spacing w:line="260"/>
            </w:pPr>
            <w:r>
              <w:rPr>
                <w:rFonts w:ascii="Calibri" w:cs="Calibri" w:eastAsia="Calibri" w:hAnsi="Calibri"/>
                <w:b w:val="false"/>
                <w:bCs w:val="false"/>
                <w:color w:val="1B2119"/>
                <w:sz w:val="19"/>
                <w:szCs w:val="19"/>
              </w:rPr>
              <w:t xml:space="preserve">Mid</w:t>
            </w:r>
          </w:p>
        </w:tc>
      </w:tr>
      <w:tr>
        <w:tc>
          <w:tcPr>
            <w:tcW w:type="dxa" w:w="2600"/>
            <w:shd w:fill="FFFFFF" w:val="clear"/>
            <w:tcMar>
              <w:top w:type="dxa" w:w="80"/>
              <w:left w:type="dxa" w:w="100"/>
              <w:bottom w:type="dxa" w:w="80"/>
              <w:right w:type="dxa" w:w="100"/>
            </w:tcMar>
            <w:vAlign w:val="center"/>
          </w:tcPr>
          <w:p>
            <w:pPr>
              <w:spacing w:line="260"/>
            </w:pPr>
            <w:r>
              <w:rPr>
                <w:rFonts w:ascii="Calibri" w:cs="Calibri" w:eastAsia="Calibri" w:hAnsi="Calibri"/>
                <w:b w:val="false"/>
                <w:bCs w:val="false"/>
                <w:color w:val="1B2119"/>
                <w:sz w:val="19"/>
                <w:szCs w:val="19"/>
              </w:rPr>
              <w:t xml:space="preserve">Enterprise SSO / SAML</w:t>
            </w:r>
          </w:p>
        </w:tc>
        <w:tc>
          <w:tcPr>
            <w:tcW w:type="dxa" w:w="1800"/>
            <w:shd w:fill="FFFFFF" w:val="clear"/>
            <w:tcMar>
              <w:top w:type="dxa" w:w="80"/>
              <w:left w:type="dxa" w:w="100"/>
              <w:bottom w:type="dxa" w:w="80"/>
              <w:right w:type="dxa" w:w="100"/>
            </w:tcMar>
            <w:vAlign w:val="center"/>
          </w:tcPr>
          <w:p>
            <w:pPr>
              <w:spacing w:line="260"/>
            </w:pPr>
            <w:r>
              <w:rPr>
                <w:rFonts w:ascii="Calibri" w:cs="Calibri" w:eastAsia="Calibri" w:hAnsi="Calibri"/>
                <w:b w:val="false"/>
                <w:bCs w:val="false"/>
                <w:color w:val="1B2119"/>
                <w:sz w:val="19"/>
                <w:szCs w:val="19"/>
              </w:rPr>
              <w:t xml:space="preserve">Platform</w:t>
            </w:r>
          </w:p>
        </w:tc>
        <w:tc>
          <w:tcPr>
            <w:tcW w:type="dxa" w:w="1300"/>
            <w:shd w:fill="FFFFFF" w:val="clear"/>
            <w:tcMar>
              <w:top w:type="dxa" w:w="80"/>
              <w:left w:type="dxa" w:w="100"/>
              <w:bottom w:type="dxa" w:w="80"/>
              <w:right w:type="dxa" w:w="100"/>
            </w:tcMar>
            <w:vAlign w:val="center"/>
          </w:tcPr>
          <w:p>
            <w:pPr>
              <w:spacing w:line="260"/>
            </w:pPr>
            <w:r>
              <w:rPr>
                <w:rFonts w:ascii="Calibri" w:cs="Calibri" w:eastAsia="Calibri" w:hAnsi="Calibri"/>
                <w:b/>
                <w:bCs/>
                <w:color w:val="2E86AB"/>
                <w:sz w:val="19"/>
                <w:szCs w:val="19"/>
              </w:rPr>
              <w:t xml:space="preserve">High</w:t>
            </w:r>
          </w:p>
        </w:tc>
        <w:tc>
          <w:tcPr>
            <w:tcW w:type="dxa" w:w="1300"/>
            <w:shd w:fill="FFFFFF" w:val="clear"/>
            <w:tcMar>
              <w:top w:type="dxa" w:w="80"/>
              <w:left w:type="dxa" w:w="100"/>
              <w:bottom w:type="dxa" w:w="80"/>
              <w:right w:type="dxa" w:w="100"/>
            </w:tcMar>
            <w:vAlign w:val="center"/>
          </w:tcPr>
          <w:p>
            <w:pPr>
              <w:spacing w:line="260"/>
            </w:pPr>
            <w:r>
              <w:rPr>
                <w:rFonts w:ascii="Calibri" w:cs="Calibri" w:eastAsia="Calibri" w:hAnsi="Calibri"/>
                <w:b/>
                <w:bCs/>
                <w:color w:val="9B2C2C"/>
                <w:sz w:val="19"/>
                <w:szCs w:val="19"/>
              </w:rPr>
              <w:t xml:space="preserve">High</w:t>
            </w:r>
          </w:p>
        </w:tc>
        <w:tc>
          <w:tcPr>
            <w:tcW w:type="dxa" w:w="2100"/>
            <w:shd w:fill="FFFFFF" w:val="clear"/>
            <w:tcMar>
              <w:top w:type="dxa" w:w="80"/>
              <w:left w:type="dxa" w:w="100"/>
              <w:bottom w:type="dxa" w:w="80"/>
              <w:right w:type="dxa" w:w="100"/>
            </w:tcMar>
            <w:vAlign w:val="center"/>
          </w:tcPr>
          <w:p>
            <w:pPr>
              <w:spacing w:line="260"/>
            </w:pPr>
            <w:r>
              <w:rPr>
                <w:rFonts w:ascii="Calibri" w:cs="Calibri" w:eastAsia="Calibri" w:hAnsi="Calibri"/>
                <w:b w:val="false"/>
                <w:bCs w:val="false"/>
                <w:color w:val="1B2119"/>
                <w:sz w:val="19"/>
                <w:szCs w:val="19"/>
              </w:rPr>
              <w:t xml:space="preserve">Long</w:t>
            </w:r>
          </w:p>
        </w:tc>
      </w:tr>
      <w:tr>
        <w:tc>
          <w:tcPr>
            <w:tcW w:type="dxa" w:w="2600"/>
            <w:shd w:fill="F2F7FA" w:val="clear"/>
            <w:tcMar>
              <w:top w:type="dxa" w:w="80"/>
              <w:left w:type="dxa" w:w="100"/>
              <w:bottom w:type="dxa" w:w="80"/>
              <w:right w:type="dxa" w:w="100"/>
            </w:tcMar>
            <w:vAlign w:val="center"/>
          </w:tcPr>
          <w:p>
            <w:pPr>
              <w:spacing w:line="260"/>
            </w:pPr>
            <w:r>
              <w:rPr>
                <w:rFonts w:ascii="Calibri" w:cs="Calibri" w:eastAsia="Calibri" w:hAnsi="Calibri"/>
                <w:b w:val="false"/>
                <w:bCs w:val="false"/>
                <w:color w:val="1B2119"/>
                <w:sz w:val="19"/>
                <w:szCs w:val="19"/>
              </w:rPr>
              <w:t xml:space="preserve">SOC 2 / compliance program</w:t>
            </w:r>
          </w:p>
        </w:tc>
        <w:tc>
          <w:tcPr>
            <w:tcW w:type="dxa" w:w="1800"/>
            <w:shd w:fill="F2F7FA" w:val="clear"/>
            <w:tcMar>
              <w:top w:type="dxa" w:w="80"/>
              <w:left w:type="dxa" w:w="100"/>
              <w:bottom w:type="dxa" w:w="80"/>
              <w:right w:type="dxa" w:w="100"/>
            </w:tcMar>
            <w:vAlign w:val="center"/>
          </w:tcPr>
          <w:p>
            <w:pPr>
              <w:spacing w:line="260"/>
            </w:pPr>
            <w:r>
              <w:rPr>
                <w:rFonts w:ascii="Calibri" w:cs="Calibri" w:eastAsia="Calibri" w:hAnsi="Calibri"/>
                <w:b w:val="false"/>
                <w:bCs w:val="false"/>
                <w:color w:val="1B2119"/>
                <w:sz w:val="19"/>
                <w:szCs w:val="19"/>
              </w:rPr>
              <w:t xml:space="preserve">Platform</w:t>
            </w:r>
          </w:p>
        </w:tc>
        <w:tc>
          <w:tcPr>
            <w:tcW w:type="dxa" w:w="1300"/>
            <w:shd w:fill="F2F7FA" w:val="clear"/>
            <w:tcMar>
              <w:top w:type="dxa" w:w="80"/>
              <w:left w:type="dxa" w:w="100"/>
              <w:bottom w:type="dxa" w:w="80"/>
              <w:right w:type="dxa" w:w="100"/>
            </w:tcMar>
            <w:vAlign w:val="center"/>
          </w:tcPr>
          <w:p>
            <w:pPr>
              <w:spacing w:line="260"/>
            </w:pPr>
            <w:r>
              <w:rPr>
                <w:rFonts w:ascii="Calibri" w:cs="Calibri" w:eastAsia="Calibri" w:hAnsi="Calibri"/>
                <w:b/>
                <w:bCs/>
                <w:color w:val="2E86AB"/>
                <w:sz w:val="19"/>
                <w:szCs w:val="19"/>
              </w:rPr>
              <w:t xml:space="preserve">High</w:t>
            </w:r>
          </w:p>
        </w:tc>
        <w:tc>
          <w:tcPr>
            <w:tcW w:type="dxa" w:w="1300"/>
            <w:shd w:fill="F2F7FA" w:val="clear"/>
            <w:tcMar>
              <w:top w:type="dxa" w:w="80"/>
              <w:left w:type="dxa" w:w="100"/>
              <w:bottom w:type="dxa" w:w="80"/>
              <w:right w:type="dxa" w:w="100"/>
            </w:tcMar>
            <w:vAlign w:val="center"/>
          </w:tcPr>
          <w:p>
            <w:pPr>
              <w:spacing w:line="260"/>
            </w:pPr>
            <w:r>
              <w:rPr>
                <w:rFonts w:ascii="Calibri" w:cs="Calibri" w:eastAsia="Calibri" w:hAnsi="Calibri"/>
                <w:b/>
                <w:bCs/>
                <w:color w:val="9B2C2C"/>
                <w:sz w:val="19"/>
                <w:szCs w:val="19"/>
              </w:rPr>
              <w:t xml:space="preserve">High</w:t>
            </w:r>
          </w:p>
        </w:tc>
        <w:tc>
          <w:tcPr>
            <w:tcW w:type="dxa" w:w="2100"/>
            <w:shd w:fill="F2F7FA" w:val="clear"/>
            <w:tcMar>
              <w:top w:type="dxa" w:w="80"/>
              <w:left w:type="dxa" w:w="100"/>
              <w:bottom w:type="dxa" w:w="80"/>
              <w:right w:type="dxa" w:w="100"/>
            </w:tcMar>
            <w:vAlign w:val="center"/>
          </w:tcPr>
          <w:p>
            <w:pPr>
              <w:spacing w:line="260"/>
            </w:pPr>
            <w:r>
              <w:rPr>
                <w:rFonts w:ascii="Calibri" w:cs="Calibri" w:eastAsia="Calibri" w:hAnsi="Calibri"/>
                <w:b w:val="false"/>
                <w:bCs w:val="false"/>
                <w:color w:val="1B2119"/>
                <w:sz w:val="19"/>
                <w:szCs w:val="19"/>
              </w:rPr>
              <w:t xml:space="preserve">Long</w:t>
            </w:r>
          </w:p>
        </w:tc>
      </w:tr>
      <w:tr>
        <w:tc>
          <w:tcPr>
            <w:tcW w:type="dxa" w:w="2600"/>
            <w:shd w:fill="FFFFFF" w:val="clear"/>
            <w:tcMar>
              <w:top w:type="dxa" w:w="80"/>
              <w:left w:type="dxa" w:w="100"/>
              <w:bottom w:type="dxa" w:w="80"/>
              <w:right w:type="dxa" w:w="100"/>
            </w:tcMar>
            <w:vAlign w:val="center"/>
          </w:tcPr>
          <w:p>
            <w:pPr>
              <w:spacing w:line="260"/>
            </w:pPr>
            <w:r>
              <w:rPr>
                <w:rFonts w:ascii="Calibri" w:cs="Calibri" w:eastAsia="Calibri" w:hAnsi="Calibri"/>
                <w:b w:val="false"/>
                <w:bCs w:val="false"/>
                <w:color w:val="1B2119"/>
                <w:sz w:val="19"/>
                <w:szCs w:val="19"/>
              </w:rPr>
              <w:t xml:space="preserve">HRMS / finance system integration</w:t>
            </w:r>
          </w:p>
        </w:tc>
        <w:tc>
          <w:tcPr>
            <w:tcW w:type="dxa" w:w="1800"/>
            <w:shd w:fill="FFFFFF" w:val="clear"/>
            <w:tcMar>
              <w:top w:type="dxa" w:w="80"/>
              <w:left w:type="dxa" w:w="100"/>
              <w:bottom w:type="dxa" w:w="80"/>
              <w:right w:type="dxa" w:w="100"/>
            </w:tcMar>
            <w:vAlign w:val="center"/>
          </w:tcPr>
          <w:p>
            <w:pPr>
              <w:spacing w:line="260"/>
            </w:pPr>
            <w:r>
              <w:rPr>
                <w:rFonts w:ascii="Calibri" w:cs="Calibri" w:eastAsia="Calibri" w:hAnsi="Calibri"/>
                <w:b w:val="false"/>
                <w:bCs w:val="false"/>
                <w:color w:val="1B2119"/>
                <w:sz w:val="19"/>
                <w:szCs w:val="19"/>
              </w:rPr>
              <w:t xml:space="preserve">Platform</w:t>
            </w:r>
          </w:p>
        </w:tc>
        <w:tc>
          <w:tcPr>
            <w:tcW w:type="dxa" w:w="1300"/>
            <w:shd w:fill="FFFFFF" w:val="clear"/>
            <w:tcMar>
              <w:top w:type="dxa" w:w="80"/>
              <w:left w:type="dxa" w:w="100"/>
              <w:bottom w:type="dxa" w:w="80"/>
              <w:right w:type="dxa" w:w="100"/>
            </w:tcMar>
            <w:vAlign w:val="center"/>
          </w:tcPr>
          <w:p>
            <w:pPr>
              <w:spacing w:line="260"/>
            </w:pPr>
            <w:r>
              <w:rPr>
                <w:rFonts w:ascii="Calibri" w:cs="Calibri" w:eastAsia="Calibri" w:hAnsi="Calibri"/>
                <w:b/>
                <w:bCs/>
                <w:color w:val="2E86AB"/>
                <w:sz w:val="19"/>
                <w:szCs w:val="19"/>
              </w:rPr>
              <w:t xml:space="preserve">High</w:t>
            </w:r>
          </w:p>
        </w:tc>
        <w:tc>
          <w:tcPr>
            <w:tcW w:type="dxa" w:w="1300"/>
            <w:shd w:fill="FFFFFF" w:val="clear"/>
            <w:tcMar>
              <w:top w:type="dxa" w:w="80"/>
              <w:left w:type="dxa" w:w="100"/>
              <w:bottom w:type="dxa" w:w="80"/>
              <w:right w:type="dxa" w:w="100"/>
            </w:tcMar>
            <w:vAlign w:val="center"/>
          </w:tcPr>
          <w:p>
            <w:pPr>
              <w:spacing w:line="260"/>
            </w:pPr>
            <w:r>
              <w:rPr>
                <w:rFonts w:ascii="Calibri" w:cs="Calibri" w:eastAsia="Calibri" w:hAnsi="Calibri"/>
                <w:b/>
                <w:bCs/>
                <w:color w:val="9B2C2C"/>
                <w:sz w:val="19"/>
                <w:szCs w:val="19"/>
              </w:rPr>
              <w:t xml:space="preserve">High</w:t>
            </w:r>
          </w:p>
        </w:tc>
        <w:tc>
          <w:tcPr>
            <w:tcW w:type="dxa" w:w="2100"/>
            <w:shd w:fill="FFFFFF" w:val="clear"/>
            <w:tcMar>
              <w:top w:type="dxa" w:w="80"/>
              <w:left w:type="dxa" w:w="100"/>
              <w:bottom w:type="dxa" w:w="80"/>
              <w:right w:type="dxa" w:w="100"/>
            </w:tcMar>
            <w:vAlign w:val="center"/>
          </w:tcPr>
          <w:p>
            <w:pPr>
              <w:spacing w:line="260"/>
            </w:pPr>
            <w:r>
              <w:rPr>
                <w:rFonts w:ascii="Calibri" w:cs="Calibri" w:eastAsia="Calibri" w:hAnsi="Calibri"/>
                <w:b w:val="false"/>
                <w:bCs w:val="false"/>
                <w:color w:val="1B2119"/>
                <w:sz w:val="19"/>
                <w:szCs w:val="19"/>
              </w:rPr>
              <w:t xml:space="preserve">Long</w:t>
            </w:r>
          </w:p>
        </w:tc>
      </w:tr>
      <w:tr>
        <w:tc>
          <w:tcPr>
            <w:tcW w:type="dxa" w:w="2600"/>
            <w:shd w:fill="F2F7FA" w:val="clear"/>
            <w:tcMar>
              <w:top w:type="dxa" w:w="80"/>
              <w:left w:type="dxa" w:w="100"/>
              <w:bottom w:type="dxa" w:w="80"/>
              <w:right w:type="dxa" w:w="100"/>
            </w:tcMar>
            <w:vAlign w:val="center"/>
          </w:tcPr>
          <w:p>
            <w:pPr>
              <w:spacing w:line="260"/>
            </w:pPr>
            <w:r>
              <w:rPr>
                <w:rFonts w:ascii="Calibri" w:cs="Calibri" w:eastAsia="Calibri" w:hAnsi="Calibri"/>
                <w:b w:val="false"/>
                <w:bCs w:val="false"/>
                <w:color w:val="1B2119"/>
                <w:sz w:val="19"/>
                <w:szCs w:val="19"/>
              </w:rPr>
              <w:t xml:space="preserve">White-label offering</w:t>
            </w:r>
          </w:p>
        </w:tc>
        <w:tc>
          <w:tcPr>
            <w:tcW w:type="dxa" w:w="1800"/>
            <w:shd w:fill="F2F7FA" w:val="clear"/>
            <w:tcMar>
              <w:top w:type="dxa" w:w="80"/>
              <w:left w:type="dxa" w:w="100"/>
              <w:bottom w:type="dxa" w:w="80"/>
              <w:right w:type="dxa" w:w="100"/>
            </w:tcMar>
            <w:vAlign w:val="center"/>
          </w:tcPr>
          <w:p>
            <w:pPr>
              <w:spacing w:line="260"/>
            </w:pPr>
            <w:r>
              <w:rPr>
                <w:rFonts w:ascii="Calibri" w:cs="Calibri" w:eastAsia="Calibri" w:hAnsi="Calibri"/>
                <w:b w:val="false"/>
                <w:bCs w:val="false"/>
                <w:color w:val="1B2119"/>
                <w:sz w:val="19"/>
                <w:szCs w:val="19"/>
              </w:rPr>
              <w:t xml:space="preserve">Platform</w:t>
            </w:r>
          </w:p>
        </w:tc>
        <w:tc>
          <w:tcPr>
            <w:tcW w:type="dxa" w:w="1300"/>
            <w:shd w:fill="F2F7FA" w:val="clear"/>
            <w:tcMar>
              <w:top w:type="dxa" w:w="80"/>
              <w:left w:type="dxa" w:w="100"/>
              <w:bottom w:type="dxa" w:w="80"/>
              <w:right w:type="dxa" w:w="100"/>
            </w:tcMar>
            <w:vAlign w:val="center"/>
          </w:tcPr>
          <w:p>
            <w:pPr>
              <w:spacing w:line="260"/>
            </w:pPr>
            <w:r>
              <w:rPr>
                <w:rFonts w:ascii="Calibri" w:cs="Calibri" w:eastAsia="Calibri" w:hAnsi="Calibri"/>
                <w:b/>
                <w:bCs/>
                <w:color w:val="9C7A1E"/>
                <w:sz w:val="19"/>
                <w:szCs w:val="19"/>
              </w:rPr>
              <w:t xml:space="preserve">Med</w:t>
            </w:r>
          </w:p>
        </w:tc>
        <w:tc>
          <w:tcPr>
            <w:tcW w:type="dxa" w:w="1300"/>
            <w:shd w:fill="F2F7FA" w:val="clear"/>
            <w:tcMar>
              <w:top w:type="dxa" w:w="80"/>
              <w:left w:type="dxa" w:w="100"/>
              <w:bottom w:type="dxa" w:w="80"/>
              <w:right w:type="dxa" w:w="100"/>
            </w:tcMar>
            <w:vAlign w:val="center"/>
          </w:tcPr>
          <w:p>
            <w:pPr>
              <w:spacing w:line="260"/>
            </w:pPr>
            <w:r>
              <w:rPr>
                <w:rFonts w:ascii="Calibri" w:cs="Calibri" w:eastAsia="Calibri" w:hAnsi="Calibri"/>
                <w:b/>
                <w:bCs/>
                <w:color w:val="9B2C2C"/>
                <w:sz w:val="19"/>
                <w:szCs w:val="19"/>
              </w:rPr>
              <w:t xml:space="preserve">High</w:t>
            </w:r>
          </w:p>
        </w:tc>
        <w:tc>
          <w:tcPr>
            <w:tcW w:type="dxa" w:w="2100"/>
            <w:shd w:fill="F2F7FA" w:val="clear"/>
            <w:tcMar>
              <w:top w:type="dxa" w:w="80"/>
              <w:left w:type="dxa" w:w="100"/>
              <w:bottom w:type="dxa" w:w="80"/>
              <w:right w:type="dxa" w:w="100"/>
            </w:tcMar>
            <w:vAlign w:val="center"/>
          </w:tcPr>
          <w:p>
            <w:pPr>
              <w:spacing w:line="260"/>
            </w:pPr>
            <w:r>
              <w:rPr>
                <w:rFonts w:ascii="Calibri" w:cs="Calibri" w:eastAsia="Calibri" w:hAnsi="Calibri"/>
                <w:b w:val="false"/>
                <w:bCs w:val="false"/>
                <w:color w:val="1B2119"/>
                <w:sz w:val="19"/>
                <w:szCs w:val="19"/>
              </w:rPr>
              <w:t xml:space="preserve">Long</w:t>
            </w:r>
          </w:p>
        </w:tc>
      </w:tr>
    </w:tbl>
    <w:p>
      <w:pPr>
        <w:spacing w:after="200"/>
      </w:pPr>
    </w:p>
    <w:p>
      <w:pPr>
        <w:pStyle w:val="Heading1"/>
        <w:pBdr>
          <w:bottom w:val="single" w:color="2E86AB" w:sz="8" w:space="4"/>
        </w:pBdr>
        <w:spacing w:after="200" w:before="400"/>
      </w:pPr>
      <w:r>
        <w:rPr>
          <w:rFonts w:ascii="Calibri" w:cs="Calibri" w:eastAsia="Calibri" w:hAnsi="Calibri"/>
          <w:b/>
          <w:bCs/>
          <w:color w:val="17324A"/>
          <w:sz w:val="32"/>
          <w:szCs w:val="32"/>
        </w:rPr>
        <w:t xml:space="preserve">One Honest Note Before You Build Any of This</w:t>
      </w:r>
    </w:p>
    <w:p>
      <w:pPr>
        <w:spacing w:after="160" w:line="300"/>
      </w:pPr>
      <w:r>
        <w:rPr>
          <w:rFonts w:ascii="Calibri" w:cs="Calibri" w:eastAsia="Calibri" w:hAnsi="Calibri"/>
          <w:color w:val="1B2119"/>
          <w:sz w:val="21"/>
          <w:szCs w:val="21"/>
        </w:rPr>
        <w:t xml:space="preserve">Your existing Phase 2 plan already flags the corporate layer as the single biggest scope risk in the whole hackathon plan, and says explicitly: protect the one real end-to-end approval path, treat the rest as legitimate spec rather than a day-3 commitment. That discipline should extend to this document too — it is a much larger surface area than the consumer roadmap, and the temptation to build breadth instead of depth is highest here.</w:t>
      </w:r>
    </w:p>
    <w:p>
      <w:pPr>
        <w:spacing w:after="160" w:line="300"/>
      </w:pPr>
      <w:r>
        <w:rPr>
          <w:rFonts w:ascii="Calibri" w:cs="Calibri" w:eastAsia="Calibri" w:hAnsi="Calibri"/>
          <w:color w:val="1B2119"/>
          <w:sz w:val="21"/>
          <w:szCs w:val="21"/>
        </w:rPr>
        <w:t xml:space="preserve">Second: several features above — GST-compliant export, the duty-of-care dashboard, an AI-drafted policy — sit close to real legal and compliance claims. The honest position, matching your own stated preference for accuracy over hype, is to build the underlying capability but not market it as compliant, certified, or a legal safeguard until it's actually been reviewed by someone qualified to say so.</w:t>
      </w:r>
    </w:p>
    <w:p>
      <w:pPr>
        <w:spacing w:after="160" w:line="300"/>
      </w:pPr>
      <w:r>
        <w:rPr>
          <w:rFonts w:ascii="Calibri" w:cs="Calibri" w:eastAsia="Calibri" w:hAnsi="Calibri"/>
          <w:color w:val="1B2119"/>
          <w:sz w:val="21"/>
          <w:szCs w:val="21"/>
        </w:rPr>
        <w:t xml:space="preserve">Third: the corporate product's real competitive edge is the same as the consumer product's — the deterministic, event-sourced ledger. Everything else in this document, including the platform-level moves, exists to make enterprise buyers trust that core enough to pay for it. Don't let the breadth of this roadmap distract from finishing that trust layer first.</w:t>
      </w:r>
    </w:p>
    <w:p>
      <w:pPr>
        <w:spacing w:before="500"/>
        <w:jc w:val="center"/>
      </w:pPr>
      <w:r>
        <w:rPr>
          <w:rFonts w:ascii="Calibri" w:cs="Calibri" w:eastAsia="Calibri" w:hAnsi="Calibri"/>
          <w:i/>
          <w:iCs/>
          <w:color w:val="5B6660"/>
          <w:sz w:val="20"/>
          <w:szCs w:val="20"/>
        </w:rPr>
        <w:t xml:space="preserve">End of document · TULIS Corporate</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2026-09-26T07:06:54.104Z</dcterms:created>
  <dcterms:modified xsi:type="dcterms:W3CDTF">2026-09-26T07:06:54.113Z</dcterms:modified>
</cp:coreProperties>
</file>

<file path=docProps/custom.xml><?xml version="1.0" encoding="utf-8"?>
<Properties xmlns="http://schemas.openxmlformats.org/officeDocument/2006/custom-properties" xmlns:vt="http://schemas.openxmlformats.org/officeDocument/2006/docPropsVTypes"/>
</file>