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2F5D62"/>
          <w:sz w:val="64"/>
          <w:szCs w:val="64"/>
        </w:rPr>
        <w:t xml:space="preserve">MediKiosk</w:t>
      </w:r>
    </w:p>
    <w:p>
      <w:pPr>
        <w:spacing w:after="100"/>
        <w:jc w:val="center"/>
      </w:pPr>
      <w:r>
        <w:rPr>
          <w:i/>
          <w:iCs/>
          <w:sz w:val="30"/>
          <w:szCs w:val="30"/>
        </w:rPr>
        <w:t xml:space="preserve">Technical Architecture &amp; Data Model</w:t>
      </w:r>
    </w:p>
    <w:p>
      <w:pPr>
        <w:spacing w:after="500"/>
        <w:jc w:val="center"/>
      </w:pPr>
      <w:r>
        <w:rPr>
          <w:b/>
          <w:bCs/>
          <w:color w:val="2F5D62"/>
          <w:sz w:val="24"/>
          <w:szCs w:val="24"/>
        </w:rPr>
        <w:t xml:space="preserve">React / Next.js · Neon PostgreSQL · Gemini · Voice AI Agent — Phase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F5D62" w:val="clear"/>
            <w:tcMar>
              <w:top w:type="dxa" w:w="80"/>
              <w:left w:type="dxa" w:w="100"/>
              <w:bottom w:type="dxa" w:w="80"/>
              <w:right w:type="dxa" w:w="100"/>
            </w:tcMar>
            <w:vAlign w:val="center"/>
          </w:tcPr>
          <w:p>
            <w:r>
              <w:rPr>
                <w:b/>
                <w:bCs/>
                <w:color w:val="FFFFFF"/>
                <w:sz w:val="19"/>
                <w:szCs w:val="19"/>
              </w:rPr>
              <w:t xml:space="preserve">Field</w:t>
            </w:r>
          </w:p>
        </w:tc>
        <w:tc>
          <w:tcPr>
            <w:tcW w:type="dxa" w:w="6400"/>
            <w:shd w:fill="2F5D62" w:val="clear"/>
            <w:tcMar>
              <w:top w:type="dxa" w:w="80"/>
              <w:left w:type="dxa" w:w="100"/>
              <w:bottom w:type="dxa" w:w="80"/>
              <w:right w:type="dxa" w:w="100"/>
            </w:tcMar>
            <w:vAlign w:val="center"/>
          </w:tcPr>
          <w:p>
            <w:r>
              <w:rPr>
                <w:b/>
                <w:bCs/>
                <w:color w:val="FFFFFF"/>
                <w:sz w:val="19"/>
                <w:szCs w:val="19"/>
              </w:rPr>
              <w:t xml:space="preserve">Detail</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Document</w:t>
            </w:r>
          </w:p>
        </w:tc>
        <w:tc>
          <w:tcPr>
            <w:tcW w:type="dxa" w:w="6400"/>
            <w:tcMar>
              <w:top w:type="dxa" w:w="80"/>
              <w:left w:type="dxa" w:w="100"/>
              <w:bottom w:type="dxa" w:w="80"/>
              <w:right w:type="dxa" w:w="100"/>
            </w:tcMar>
            <w:vAlign w:val="center"/>
          </w:tcPr>
          <w:p>
            <w:r>
              <w:rPr>
                <w:b w:val="false"/>
                <w:bCs w:val="false"/>
                <w:color w:val="1A1A1A"/>
                <w:sz w:val="19"/>
                <w:szCs w:val="19"/>
              </w:rPr>
              <w:t xml:space="preserve">MediKiosk Phase 2 — Technical Architecture</w:t>
            </w:r>
          </w:p>
        </w:tc>
      </w:tr>
      <w:tr>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Companion to</w:t>
            </w:r>
          </w:p>
        </w:tc>
        <w:tc>
          <w:tcPr>
            <w:tcW w:type="dxa" w:w="6400"/>
            <w:shd w:fill="F5F8F8" w:val="clear"/>
            <w:tcMar>
              <w:top w:type="dxa" w:w="80"/>
              <w:left w:type="dxa" w:w="100"/>
              <w:bottom w:type="dxa" w:w="80"/>
              <w:right w:type="dxa" w:w="100"/>
            </w:tcMar>
            <w:vAlign w:val="center"/>
          </w:tcPr>
          <w:p>
            <w:r>
              <w:rPr>
                <w:b w:val="false"/>
                <w:bCs w:val="false"/>
                <w:color w:val="1A1A1A"/>
                <w:sz w:val="19"/>
                <w:szCs w:val="19"/>
              </w:rPr>
              <w:t xml:space="preserve">MediKiosk_Phase2_PRD.docx, MediKiosk_UIUX_Design.docx</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Frontend / app framework</w:t>
            </w:r>
          </w:p>
        </w:tc>
        <w:tc>
          <w:tcPr>
            <w:tcW w:type="dxa" w:w="6400"/>
            <w:tcMar>
              <w:top w:type="dxa" w:w="80"/>
              <w:left w:type="dxa" w:w="100"/>
              <w:bottom w:type="dxa" w:w="80"/>
              <w:right w:type="dxa" w:w="100"/>
            </w:tcMar>
            <w:vAlign w:val="center"/>
          </w:tcPr>
          <w:p>
            <w:r>
              <w:rPr>
                <w:b w:val="false"/>
                <w:bCs w:val="false"/>
                <w:color w:val="1A1A1A"/>
                <w:sz w:val="19"/>
                <w:szCs w:val="19"/>
              </w:rPr>
              <w:t xml:space="preserve">React + Next.js (App Router), one codebase, two route groups: /kiosk and /clinician</w:t>
            </w:r>
          </w:p>
        </w:tc>
      </w:tr>
      <w:tr>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Database</w:t>
            </w:r>
          </w:p>
        </w:tc>
        <w:tc>
          <w:tcPr>
            <w:tcW w:type="dxa" w:w="6400"/>
            <w:shd w:fill="F5F8F8" w:val="clear"/>
            <w:tcMar>
              <w:top w:type="dxa" w:w="80"/>
              <w:left w:type="dxa" w:w="100"/>
              <w:bottom w:type="dxa" w:w="80"/>
              <w:right w:type="dxa" w:w="100"/>
            </w:tcMar>
            <w:vAlign w:val="center"/>
          </w:tcPr>
          <w:p>
            <w:r>
              <w:rPr>
                <w:b w:val="false"/>
                <w:bCs w:val="false"/>
                <w:color w:val="1A1A1A"/>
                <w:sz w:val="19"/>
                <w:szCs w:val="19"/>
              </w:rPr>
              <w:t xml:space="preserve">Neon Serverless PostgreSQL (single project, branchable for test/eval workflows)</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Document intelligence</w:t>
            </w:r>
          </w:p>
        </w:tc>
        <w:tc>
          <w:tcPr>
            <w:tcW w:type="dxa" w:w="6400"/>
            <w:tcMar>
              <w:top w:type="dxa" w:w="80"/>
              <w:left w:type="dxa" w:w="100"/>
              <w:bottom w:type="dxa" w:w="80"/>
              <w:right w:type="dxa" w:w="100"/>
            </w:tcMar>
            <w:vAlign w:val="center"/>
          </w:tcPr>
          <w:p>
            <w:r>
              <w:rPr>
                <w:b w:val="false"/>
                <w:bCs w:val="false"/>
                <w:color w:val="1A1A1A"/>
                <w:sz w:val="19"/>
                <w:szCs w:val="19"/>
              </w:rPr>
              <w:t xml:space="preserve">Google Gemini multimodal model, structured JSON-Schema output, server-side only</w:t>
            </w:r>
          </w:p>
        </w:tc>
      </w:tr>
      <w:tr>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Conversational engine</w:t>
            </w:r>
          </w:p>
        </w:tc>
        <w:tc>
          <w:tcPr>
            <w:tcW w:type="dxa" w:w="6400"/>
            <w:shd w:fill="F5F8F8" w:val="clear"/>
            <w:tcMar>
              <w:top w:type="dxa" w:w="80"/>
              <w:left w:type="dxa" w:w="100"/>
              <w:bottom w:type="dxa" w:w="80"/>
              <w:right w:type="dxa" w:w="100"/>
            </w:tcMar>
            <w:vAlign w:val="center"/>
          </w:tcPr>
          <w:p>
            <w:r>
              <w:rPr>
                <w:b w:val="false"/>
                <w:bCs w:val="false"/>
                <w:color w:val="1A1A1A"/>
                <w:sz w:val="19"/>
                <w:szCs w:val="19"/>
              </w:rPr>
              <w:t xml:space="preserve">Voice AI Agent (ASR + LLM dialogue manager + TTS), server-orchestrated</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Interoperability target</w:t>
            </w:r>
          </w:p>
        </w:tc>
        <w:tc>
          <w:tcPr>
            <w:tcW w:type="dxa" w:w="6400"/>
            <w:tcMar>
              <w:top w:type="dxa" w:w="80"/>
              <w:left w:type="dxa" w:w="100"/>
              <w:bottom w:type="dxa" w:w="80"/>
              <w:right w:type="dxa" w:w="100"/>
            </w:tcMar>
            <w:vAlign w:val="center"/>
          </w:tcPr>
          <w:p>
            <w:r>
              <w:rPr>
                <w:b w:val="false"/>
                <w:bCs w:val="false"/>
                <w:color w:val="1A1A1A"/>
                <w:sz w:val="19"/>
                <w:szCs w:val="19"/>
              </w:rPr>
              <w:t xml:space="preserve">Synthetic FHIR R4 bundle, ABDM/NRCeS profile-aligned, validated pre-submission</w:t>
            </w:r>
          </w:p>
        </w:tc>
      </w:tr>
    </w:tbl>
    <w:p>
      <w:r>
        <w:br w:type="page"/>
      </w:r>
    </w:p>
    <w:p>
      <w:pPr>
        <w:pStyle w:val="Heading1"/>
        <w:spacing w:after="200" w:before="400"/>
      </w:pPr>
      <w:r>
        <w:rPr>
          <w:b/>
          <w:bCs/>
          <w:color w:val="2F5D62"/>
          <w:sz w:val="32"/>
          <w:szCs w:val="32"/>
        </w:rPr>
        <w:t xml:space="preserve">1. System Architecture Overview</w:t>
      </w:r>
    </w:p>
    <w:p>
      <w:pPr>
        <w:spacing w:after="160" w:line="300"/>
      </w:pPr>
      <w:r>
        <w:rPr>
          <w:b w:val="false"/>
          <w:bCs w:val="false"/>
          <w:i w:val="false"/>
          <w:iCs w:val="false"/>
          <w:sz w:val="21"/>
          <w:szCs w:val="21"/>
        </w:rPr>
        <w:t xml:space="preserve">MediKiosk is built as a single Next.js application with two front-end surfaces sharing one backend: the patient-facing kiosk (/kiosk routes, touch + voice optimised) and the clinician review dashboard (/clinician routes, desktop optimised). All AI and data operations run through Next.js API routes/server actions — the browser never talks to Neon, Gemini, or the Voice AI Agent directly.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00"/>
      </w:tblGrid>
      <w:tr>
        <w:trPr>
          <w:tblHeader/>
        </w:trPr>
        <w:tc>
          <w:tcPr>
            <w:tcW w:type="dxa" w:w="1700"/>
            <w:shd w:fill="2F5D62" w:val="clear"/>
            <w:tcMar>
              <w:top w:type="dxa" w:w="80"/>
              <w:left w:type="dxa" w:w="100"/>
              <w:bottom w:type="dxa" w:w="80"/>
              <w:right w:type="dxa" w:w="100"/>
            </w:tcMar>
            <w:vAlign w:val="center"/>
          </w:tcPr>
          <w:p>
            <w:r>
              <w:rPr>
                <w:b/>
                <w:bCs/>
                <w:color w:val="FFFFFF"/>
                <w:sz w:val="19"/>
                <w:szCs w:val="19"/>
              </w:rPr>
              <w:t xml:space="preserve">Layer</w:t>
            </w:r>
          </w:p>
        </w:tc>
        <w:tc>
          <w:tcPr>
            <w:tcW w:type="dxa" w:w="3300"/>
            <w:shd w:fill="2F5D62" w:val="clear"/>
            <w:tcMar>
              <w:top w:type="dxa" w:w="80"/>
              <w:left w:type="dxa" w:w="100"/>
              <w:bottom w:type="dxa" w:w="80"/>
              <w:right w:type="dxa" w:w="100"/>
            </w:tcMar>
            <w:vAlign w:val="center"/>
          </w:tcPr>
          <w:p>
            <w:r>
              <w:rPr>
                <w:b/>
                <w:bCs/>
                <w:color w:val="FFFFFF"/>
                <w:sz w:val="19"/>
                <w:szCs w:val="19"/>
              </w:rPr>
              <w:t xml:space="preserve">Component</w:t>
            </w:r>
          </w:p>
        </w:tc>
        <w:tc>
          <w:tcPr>
            <w:tcW w:type="dxa" w:w="4000"/>
            <w:shd w:fill="2F5D62" w:val="clear"/>
            <w:tcMar>
              <w:top w:type="dxa" w:w="80"/>
              <w:left w:type="dxa" w:w="100"/>
              <w:bottom w:type="dxa" w:w="80"/>
              <w:right w:type="dxa" w:w="100"/>
            </w:tcMar>
            <w:vAlign w:val="center"/>
          </w:tcPr>
          <w:p>
            <w:r>
              <w:rPr>
                <w:b/>
                <w:bCs/>
                <w:color w:val="FFFFFF"/>
                <w:sz w:val="19"/>
                <w:szCs w:val="19"/>
              </w:rPr>
              <w:t xml:space="preserve">Responsibility</w:t>
            </w:r>
          </w:p>
        </w:tc>
      </w:tr>
      <w:tr>
        <w:tc>
          <w:tcPr>
            <w:tcW w:type="dxa" w:w="1700"/>
            <w:tcMar>
              <w:top w:type="dxa" w:w="80"/>
              <w:left w:type="dxa" w:w="100"/>
              <w:bottom w:type="dxa" w:w="80"/>
              <w:right w:type="dxa" w:w="100"/>
            </w:tcMar>
            <w:vAlign w:val="center"/>
          </w:tcPr>
          <w:p>
            <w:r>
              <w:rPr>
                <w:b w:val="false"/>
                <w:bCs w:val="false"/>
                <w:color w:val="1A1A1A"/>
                <w:sz w:val="19"/>
                <w:szCs w:val="19"/>
              </w:rPr>
              <w:t xml:space="preserve">Presentation</w:t>
            </w:r>
          </w:p>
        </w:tc>
        <w:tc>
          <w:tcPr>
            <w:tcW w:type="dxa" w:w="3300"/>
            <w:tcMar>
              <w:top w:type="dxa" w:w="80"/>
              <w:left w:type="dxa" w:w="100"/>
              <w:bottom w:type="dxa" w:w="80"/>
              <w:right w:type="dxa" w:w="100"/>
            </w:tcMar>
            <w:vAlign w:val="center"/>
          </w:tcPr>
          <w:p>
            <w:r>
              <w:rPr>
                <w:b w:val="false"/>
                <w:bCs w:val="false"/>
                <w:color w:val="1A1A1A"/>
                <w:sz w:val="19"/>
                <w:szCs w:val="19"/>
              </w:rPr>
              <w:t xml:space="preserve">Next.js /kiosk pages (React)</w:t>
            </w:r>
          </w:p>
        </w:tc>
        <w:tc>
          <w:tcPr>
            <w:tcW w:type="dxa" w:w="4000"/>
            <w:tcMar>
              <w:top w:type="dxa" w:w="80"/>
              <w:left w:type="dxa" w:w="100"/>
              <w:bottom w:type="dxa" w:w="80"/>
              <w:right w:type="dxa" w:w="100"/>
            </w:tcMar>
            <w:vAlign w:val="center"/>
          </w:tcPr>
          <w:p>
            <w:r>
              <w:rPr>
                <w:b w:val="false"/>
                <w:bCs w:val="false"/>
                <w:color w:val="1A1A1A"/>
                <w:sz w:val="19"/>
                <w:szCs w:val="19"/>
              </w:rPr>
              <w:t xml:space="preserve">Language select, consent, identify, converse, scan, confirm — see UI/UX spec</w:t>
            </w:r>
          </w:p>
        </w:tc>
      </w:tr>
      <w:tr>
        <w:tc>
          <w:tcPr>
            <w:tcW w:type="dxa" w:w="1700"/>
            <w:shd w:fill="F5F8F8" w:val="clear"/>
            <w:tcMar>
              <w:top w:type="dxa" w:w="80"/>
              <w:left w:type="dxa" w:w="100"/>
              <w:bottom w:type="dxa" w:w="80"/>
              <w:right w:type="dxa" w:w="100"/>
            </w:tcMar>
            <w:vAlign w:val="center"/>
          </w:tcPr>
          <w:p>
            <w:r>
              <w:rPr>
                <w:b w:val="false"/>
                <w:bCs w:val="false"/>
                <w:color w:val="1A1A1A"/>
                <w:sz w:val="19"/>
                <w:szCs w:val="19"/>
              </w:rPr>
              <w:t xml:space="preserve">Presentation</w:t>
            </w:r>
          </w:p>
        </w:tc>
        <w:tc>
          <w:tcPr>
            <w:tcW w:type="dxa" w:w="3300"/>
            <w:shd w:fill="F5F8F8" w:val="clear"/>
            <w:tcMar>
              <w:top w:type="dxa" w:w="80"/>
              <w:left w:type="dxa" w:w="100"/>
              <w:bottom w:type="dxa" w:w="80"/>
              <w:right w:type="dxa" w:w="100"/>
            </w:tcMar>
            <w:vAlign w:val="center"/>
          </w:tcPr>
          <w:p>
            <w:r>
              <w:rPr>
                <w:b w:val="false"/>
                <w:bCs w:val="false"/>
                <w:color w:val="1A1A1A"/>
                <w:sz w:val="19"/>
                <w:szCs w:val="19"/>
              </w:rPr>
              <w:t xml:space="preserve">Next.js /clinician pages (React)</w:t>
            </w:r>
          </w:p>
        </w:tc>
        <w:tc>
          <w:tcPr>
            <w:tcW w:type="dxa" w:w="4000"/>
            <w:shd w:fill="F5F8F8" w:val="clear"/>
            <w:tcMar>
              <w:top w:type="dxa" w:w="80"/>
              <w:left w:type="dxa" w:w="100"/>
              <w:bottom w:type="dxa" w:w="80"/>
              <w:right w:type="dxa" w:w="100"/>
            </w:tcMar>
            <w:vAlign w:val="center"/>
          </w:tcPr>
          <w:p>
            <w:r>
              <w:rPr>
                <w:b w:val="false"/>
                <w:bCs w:val="false"/>
                <w:color w:val="1A1A1A"/>
                <w:sz w:val="19"/>
                <w:szCs w:val="19"/>
              </w:rPr>
              <w:t xml:space="preserve">Queue, structured summary, drill-down, attestation — see UI/UX spec</w:t>
            </w:r>
          </w:p>
        </w:tc>
      </w:tr>
      <w:tr>
        <w:tc>
          <w:tcPr>
            <w:tcW w:type="dxa" w:w="1700"/>
            <w:tcMar>
              <w:top w:type="dxa" w:w="80"/>
              <w:left w:type="dxa" w:w="100"/>
              <w:bottom w:type="dxa" w:w="80"/>
              <w:right w:type="dxa" w:w="100"/>
            </w:tcMar>
            <w:vAlign w:val="center"/>
          </w:tcPr>
          <w:p>
            <w:r>
              <w:rPr>
                <w:b w:val="false"/>
                <w:bCs w:val="false"/>
                <w:color w:val="1A1A1A"/>
                <w:sz w:val="19"/>
                <w:szCs w:val="19"/>
              </w:rPr>
              <w:t xml:space="preserve">Application / API</w:t>
            </w:r>
          </w:p>
        </w:tc>
        <w:tc>
          <w:tcPr>
            <w:tcW w:type="dxa" w:w="3300"/>
            <w:tcMar>
              <w:top w:type="dxa" w:w="80"/>
              <w:left w:type="dxa" w:w="100"/>
              <w:bottom w:type="dxa" w:w="80"/>
              <w:right w:type="dxa" w:w="100"/>
            </w:tcMar>
            <w:vAlign w:val="center"/>
          </w:tcPr>
          <w:p>
            <w:r>
              <w:rPr>
                <w:b w:val="false"/>
                <w:bCs w:val="false"/>
                <w:color w:val="1A1A1A"/>
                <w:sz w:val="19"/>
                <w:szCs w:val="19"/>
              </w:rPr>
              <w:t xml:space="preserve">Next.js API routes (server actions)</w:t>
            </w:r>
          </w:p>
        </w:tc>
        <w:tc>
          <w:tcPr>
            <w:tcW w:type="dxa" w:w="4000"/>
            <w:tcMar>
              <w:top w:type="dxa" w:w="80"/>
              <w:left w:type="dxa" w:w="100"/>
              <w:bottom w:type="dxa" w:w="80"/>
              <w:right w:type="dxa" w:w="100"/>
            </w:tcMar>
            <w:vAlign w:val="center"/>
          </w:tcPr>
          <w:p>
            <w:r>
              <w:rPr>
                <w:b w:val="false"/>
                <w:bCs w:val="false"/>
                <w:color w:val="1A1A1A"/>
                <w:sz w:val="19"/>
                <w:szCs w:val="19"/>
              </w:rPr>
              <w:t xml:space="preserve">Session management, orchestration of Voice AI Agent and Gemini calls, FHIR export, auth</w:t>
            </w:r>
          </w:p>
        </w:tc>
      </w:tr>
      <w:tr>
        <w:tc>
          <w:tcPr>
            <w:tcW w:type="dxa" w:w="1700"/>
            <w:shd w:fill="F5F8F8" w:val="clear"/>
            <w:tcMar>
              <w:top w:type="dxa" w:w="80"/>
              <w:left w:type="dxa" w:w="100"/>
              <w:bottom w:type="dxa" w:w="80"/>
              <w:right w:type="dxa" w:w="100"/>
            </w:tcMar>
            <w:vAlign w:val="center"/>
          </w:tcPr>
          <w:p>
            <w:r>
              <w:rPr>
                <w:b w:val="false"/>
                <w:bCs w:val="false"/>
                <w:color w:val="1A1A1A"/>
                <w:sz w:val="19"/>
                <w:szCs w:val="19"/>
              </w:rPr>
              <w:t xml:space="preserve">AI services</w:t>
            </w:r>
          </w:p>
        </w:tc>
        <w:tc>
          <w:tcPr>
            <w:tcW w:type="dxa" w:w="3300"/>
            <w:shd w:fill="F5F8F8" w:val="clear"/>
            <w:tcMar>
              <w:top w:type="dxa" w:w="80"/>
              <w:left w:type="dxa" w:w="100"/>
              <w:bottom w:type="dxa" w:w="80"/>
              <w:right w:type="dxa" w:w="100"/>
            </w:tcMar>
            <w:vAlign w:val="center"/>
          </w:tcPr>
          <w:p>
            <w:r>
              <w:rPr>
                <w:b w:val="false"/>
                <w:bCs w:val="false"/>
                <w:color w:val="1A1A1A"/>
                <w:sz w:val="19"/>
                <w:szCs w:val="19"/>
              </w:rPr>
              <w:t xml:space="preserve">Voice AI Agent (external service, server-side call)</w:t>
            </w:r>
          </w:p>
        </w:tc>
        <w:tc>
          <w:tcPr>
            <w:tcW w:type="dxa" w:w="4000"/>
            <w:shd w:fill="F5F8F8" w:val="clear"/>
            <w:tcMar>
              <w:top w:type="dxa" w:w="80"/>
              <w:left w:type="dxa" w:w="100"/>
              <w:bottom w:type="dxa" w:w="80"/>
              <w:right w:type="dxa" w:w="100"/>
            </w:tcMar>
            <w:vAlign w:val="center"/>
          </w:tcPr>
          <w:p>
            <w:r>
              <w:rPr>
                <w:b w:val="false"/>
                <w:bCs w:val="false"/>
                <w:color w:val="1A1A1A"/>
                <w:sz w:val="19"/>
                <w:szCs w:val="19"/>
              </w:rPr>
              <w:t xml:space="preserve">ASR, dialogue management against the clinical ontology, TTS</w:t>
            </w:r>
          </w:p>
        </w:tc>
      </w:tr>
      <w:tr>
        <w:tc>
          <w:tcPr>
            <w:tcW w:type="dxa" w:w="1700"/>
            <w:tcMar>
              <w:top w:type="dxa" w:w="80"/>
              <w:left w:type="dxa" w:w="100"/>
              <w:bottom w:type="dxa" w:w="80"/>
              <w:right w:type="dxa" w:w="100"/>
            </w:tcMar>
            <w:vAlign w:val="center"/>
          </w:tcPr>
          <w:p>
            <w:r>
              <w:rPr>
                <w:b w:val="false"/>
                <w:bCs w:val="false"/>
                <w:color w:val="1A1A1A"/>
                <w:sz w:val="19"/>
                <w:szCs w:val="19"/>
              </w:rPr>
              <w:t xml:space="preserve">AI services</w:t>
            </w:r>
          </w:p>
        </w:tc>
        <w:tc>
          <w:tcPr>
            <w:tcW w:type="dxa" w:w="3300"/>
            <w:tcMar>
              <w:top w:type="dxa" w:w="80"/>
              <w:left w:type="dxa" w:w="100"/>
              <w:bottom w:type="dxa" w:w="80"/>
              <w:right w:type="dxa" w:w="100"/>
            </w:tcMar>
            <w:vAlign w:val="center"/>
          </w:tcPr>
          <w:p>
            <w:r>
              <w:rPr>
                <w:b w:val="false"/>
                <w:bCs w:val="false"/>
                <w:color w:val="1A1A1A"/>
                <w:sz w:val="19"/>
                <w:szCs w:val="19"/>
              </w:rPr>
              <w:t xml:space="preserve">Google Gemini (external API, server-side call)</w:t>
            </w:r>
          </w:p>
        </w:tc>
        <w:tc>
          <w:tcPr>
            <w:tcW w:type="dxa" w:w="4000"/>
            <w:tcMar>
              <w:top w:type="dxa" w:w="80"/>
              <w:left w:type="dxa" w:w="100"/>
              <w:bottom w:type="dxa" w:w="80"/>
              <w:right w:type="dxa" w:w="100"/>
            </w:tcMar>
            <w:vAlign w:val="center"/>
          </w:tcPr>
          <w:p>
            <w:r>
              <w:rPr>
                <w:b w:val="false"/>
                <w:bCs w:val="false"/>
                <w:color w:val="1A1A1A"/>
                <w:sz w:val="19"/>
                <w:szCs w:val="19"/>
              </w:rPr>
              <w:t xml:space="preserve">Multimodal document reading + structured clinical-entity extraction; summary generation over structured data</w:t>
            </w:r>
          </w:p>
        </w:tc>
      </w:tr>
      <w:tr>
        <w:tc>
          <w:tcPr>
            <w:tcW w:type="dxa" w:w="1700"/>
            <w:shd w:fill="F5F8F8" w:val="clear"/>
            <w:tcMar>
              <w:top w:type="dxa" w:w="80"/>
              <w:left w:type="dxa" w:w="100"/>
              <w:bottom w:type="dxa" w:w="80"/>
              <w:right w:type="dxa" w:w="100"/>
            </w:tcMar>
            <w:vAlign w:val="center"/>
          </w:tcPr>
          <w:p>
            <w:r>
              <w:rPr>
                <w:b w:val="false"/>
                <w:bCs w:val="false"/>
                <w:color w:val="1A1A1A"/>
                <w:sz w:val="19"/>
                <w:szCs w:val="19"/>
              </w:rPr>
              <w:t xml:space="preserve">Data</w:t>
            </w:r>
          </w:p>
        </w:tc>
        <w:tc>
          <w:tcPr>
            <w:tcW w:type="dxa" w:w="3300"/>
            <w:shd w:fill="F5F8F8" w:val="clear"/>
            <w:tcMar>
              <w:top w:type="dxa" w:w="80"/>
              <w:left w:type="dxa" w:w="100"/>
              <w:bottom w:type="dxa" w:w="80"/>
              <w:right w:type="dxa" w:w="100"/>
            </w:tcMar>
            <w:vAlign w:val="center"/>
          </w:tcPr>
          <w:p>
            <w:r>
              <w:rPr>
                <w:b w:val="false"/>
                <w:bCs w:val="false"/>
                <w:color w:val="1A1A1A"/>
                <w:sz w:val="19"/>
                <w:szCs w:val="19"/>
              </w:rPr>
              <w:t xml:space="preserve">Neon Serverless PostgreSQL</w:t>
            </w:r>
          </w:p>
        </w:tc>
        <w:tc>
          <w:tcPr>
            <w:tcW w:type="dxa" w:w="4000"/>
            <w:shd w:fill="F5F8F8" w:val="clear"/>
            <w:tcMar>
              <w:top w:type="dxa" w:w="80"/>
              <w:left w:type="dxa" w:w="100"/>
              <w:bottom w:type="dxa" w:w="80"/>
              <w:right w:type="dxa" w:w="100"/>
            </w:tcMar>
            <w:vAlign w:val="center"/>
          </w:tcPr>
          <w:p>
            <w:r>
              <w:rPr>
                <w:b w:val="false"/>
                <w:bCs w:val="false"/>
                <w:color w:val="1A1A1A"/>
                <w:sz w:val="19"/>
                <w:szCs w:val="19"/>
              </w:rPr>
              <w:t xml:space="preserve">System of record for all four layers: evidence, draft, attested, audit</w:t>
            </w:r>
          </w:p>
        </w:tc>
      </w:tr>
      <w:tr>
        <w:tc>
          <w:tcPr>
            <w:tcW w:type="dxa" w:w="1700"/>
            <w:tcMar>
              <w:top w:type="dxa" w:w="80"/>
              <w:left w:type="dxa" w:w="100"/>
              <w:bottom w:type="dxa" w:w="80"/>
              <w:right w:type="dxa" w:w="100"/>
            </w:tcMar>
            <w:vAlign w:val="center"/>
          </w:tcPr>
          <w:p>
            <w:r>
              <w:rPr>
                <w:b w:val="false"/>
                <w:bCs w:val="false"/>
                <w:color w:val="1A1A1A"/>
                <w:sz w:val="19"/>
                <w:szCs w:val="19"/>
              </w:rPr>
              <w:t xml:space="preserve">Interoperability</w:t>
            </w:r>
          </w:p>
        </w:tc>
        <w:tc>
          <w:tcPr>
            <w:tcW w:type="dxa" w:w="3300"/>
            <w:tcMar>
              <w:top w:type="dxa" w:w="80"/>
              <w:left w:type="dxa" w:w="100"/>
              <w:bottom w:type="dxa" w:w="80"/>
              <w:right w:type="dxa" w:w="100"/>
            </w:tcMar>
            <w:vAlign w:val="center"/>
          </w:tcPr>
          <w:p>
            <w:r>
              <w:rPr>
                <w:b w:val="false"/>
                <w:bCs w:val="false"/>
                <w:color w:val="1A1A1A"/>
                <w:sz w:val="19"/>
                <w:szCs w:val="19"/>
              </w:rPr>
              <w:t xml:space="preserve">FHIR export module</w:t>
            </w:r>
          </w:p>
        </w:tc>
        <w:tc>
          <w:tcPr>
            <w:tcW w:type="dxa" w:w="4000"/>
            <w:tcMar>
              <w:top w:type="dxa" w:w="80"/>
              <w:left w:type="dxa" w:w="100"/>
              <w:bottom w:type="dxa" w:w="80"/>
              <w:right w:type="dxa" w:w="100"/>
            </w:tcMar>
            <w:vAlign w:val="center"/>
          </w:tcPr>
          <w:p>
            <w:r>
              <w:rPr>
                <w:b w:val="false"/>
                <w:bCs w:val="false"/>
                <w:color w:val="1A1A1A"/>
                <w:sz w:val="19"/>
                <w:szCs w:val="19"/>
              </w:rPr>
              <w:t xml:space="preserve">Builds and validates the synthetic FHIR R4 bundle from the attested layer only</w:t>
            </w:r>
          </w:p>
        </w:tc>
      </w:tr>
    </w:tbl>
    <w:p>
      <w:pPr>
        <w:shd w:fill="EAF3F2" w:val="clear"/>
        <w:spacing w:after="200" w:before="100"/>
      </w:pPr>
      <w:r>
        <w:rPr>
          <w:i/>
          <w:iCs/>
          <w:color w:val="5B5B5B"/>
          <w:sz w:val="20"/>
          <w:szCs w:val="20"/>
        </w:rPr>
        <w:t xml:space="preserve">Design rule carried over from the PRD (Section 3): the Patient Evidence Layer and Intake Draft Layer never leave the hospital-side Neon database. Only the Clinician-Attested layer is packaged for ABDM export.</w:t>
      </w:r>
    </w:p>
    <w:p>
      <w:pPr>
        <w:pStyle w:val="Heading1"/>
        <w:spacing w:after="200" w:before="400"/>
      </w:pPr>
      <w:r>
        <w:rPr>
          <w:b/>
          <w:bCs/>
          <w:color w:val="2F5D62"/>
          <w:sz w:val="32"/>
          <w:szCs w:val="32"/>
        </w:rPr>
        <w:t xml:space="preserve">2. Request Flow — Converse Step (Voice AI Agent)</w:t>
      </w:r>
    </w:p>
    <w:p>
      <w:pPr>
        <w:pStyle w:val="ListParagraph"/>
        <w:numPr>
          <w:ilvl w:val="0"/>
          <w:numId w:val="1"/>
        </w:numPr>
        <w:spacing w:after="90"/>
      </w:pPr>
      <w:r>
        <w:rPr>
          <w:sz w:val="21"/>
          <w:szCs w:val="21"/>
        </w:rPr>
        <w:t xml:space="preserve">1. Browser (kiosk) streams audio / touch events to a Next.js API route over an authenticated session-scoped connection.</w:t>
      </w:r>
    </w:p>
    <w:p>
      <w:pPr>
        <w:pStyle w:val="ListParagraph"/>
        <w:numPr>
          <w:ilvl w:val="0"/>
          <w:numId w:val="1"/>
        </w:numPr>
        <w:spacing w:after="90"/>
      </w:pPr>
      <w:r>
        <w:rPr>
          <w:sz w:val="21"/>
          <w:szCs w:val="21"/>
        </w:rPr>
        <w:t xml:space="preserve">2. The API route forwards audio to the Voice AI Agent along with the current dialogue state (chief complaint, section, prior answers) retrieved from Neon.</w:t>
      </w:r>
    </w:p>
    <w:p>
      <w:pPr>
        <w:pStyle w:val="ListParagraph"/>
        <w:numPr>
          <w:ilvl w:val="0"/>
          <w:numId w:val="1"/>
        </w:numPr>
        <w:spacing w:after="90"/>
      </w:pPr>
      <w:r>
        <w:rPr>
          <w:sz w:val="21"/>
          <w:szCs w:val="21"/>
        </w:rPr>
        <w:t xml:space="preserve">3. The agent returns a structured turn: recognised text, extracted field value(s), a confidence score, and the next question or a red-flag signal.</w:t>
      </w:r>
    </w:p>
    <w:p>
      <w:pPr>
        <w:pStyle w:val="ListParagraph"/>
        <w:numPr>
          <w:ilvl w:val="0"/>
          <w:numId w:val="1"/>
        </w:numPr>
        <w:spacing w:after="90"/>
      </w:pPr>
      <w:r>
        <w:rPr>
          <w:sz w:val="21"/>
          <w:szCs w:val="21"/>
        </w:rPr>
        <w:t xml:space="preserve">4. The API route writes the raw turn to raw_answers (Patient Evidence Layer) and the structured value to structured_history (Intake Draft Layer) in the same transaction.</w:t>
      </w:r>
    </w:p>
    <w:p>
      <w:pPr>
        <w:pStyle w:val="ListParagraph"/>
        <w:numPr>
          <w:ilvl w:val="0"/>
          <w:numId w:val="1"/>
        </w:numPr>
        <w:spacing w:after="90"/>
      </w:pPr>
      <w:r>
        <w:rPr>
          <w:sz w:val="21"/>
          <w:szCs w:val="21"/>
        </w:rPr>
        <w:t xml:space="preserve">5. If a red-flag pattern is matched by the deterministic rule engine (run server-side, not by the LLM), a red_flag_events row is created and a real-time notification is pushed to the clinician/triage dashboard.</w:t>
      </w:r>
    </w:p>
    <w:p>
      <w:pPr>
        <w:pStyle w:val="ListParagraph"/>
        <w:numPr>
          <w:ilvl w:val="0"/>
          <w:numId w:val="1"/>
        </w:numPr>
        <w:spacing w:after="90"/>
      </w:pPr>
      <w:r>
        <w:rPr>
          <w:sz w:val="21"/>
          <w:szCs w:val="21"/>
        </w:rPr>
        <w:t xml:space="preserve">6. TTS audio for the next prompt is streamed back to the kiosk.</w:t>
      </w:r>
    </w:p>
    <w:p>
      <w:pPr>
        <w:pStyle w:val="Heading1"/>
        <w:spacing w:after="200" w:before="400"/>
      </w:pPr>
      <w:r>
        <w:rPr>
          <w:b/>
          <w:bCs/>
          <w:color w:val="2F5D62"/>
          <w:sz w:val="32"/>
          <w:szCs w:val="32"/>
        </w:rPr>
        <w:t xml:space="preserve">3. Request Flow — Scan Step (Gemini Document Intelligence)</w:t>
      </w:r>
    </w:p>
    <w:p>
      <w:pPr>
        <w:pStyle w:val="ListParagraph"/>
        <w:numPr>
          <w:ilvl w:val="0"/>
          <w:numId w:val="1"/>
        </w:numPr>
        <w:spacing w:after="90"/>
      </w:pPr>
      <w:r>
        <w:rPr>
          <w:sz w:val="21"/>
          <w:szCs w:val="21"/>
        </w:rPr>
        <w:t xml:space="preserve">1. Browser uploads an image/PDF to a Next.js API route; a quality check (blur/skew/crop heuristics) runs server-side before any AI call.</w:t>
      </w:r>
    </w:p>
    <w:p>
      <w:pPr>
        <w:pStyle w:val="ListParagraph"/>
        <w:numPr>
          <w:ilvl w:val="0"/>
          <w:numId w:val="1"/>
        </w:numPr>
        <w:spacing w:after="90"/>
      </w:pPr>
      <w:r>
        <w:rPr>
          <w:sz w:val="21"/>
          <w:szCs w:val="21"/>
        </w:rPr>
        <w:t xml:space="preserve">2. If quality passes, the file is stored (document_uploads) and sent to Gemini with a fixed structured-output request: extract diagnoses, medications (name/dose/route/frequency), lab values (with units and reference ranges), dates, and document type.</w:t>
      </w:r>
    </w:p>
    <w:p>
      <w:pPr>
        <w:pStyle w:val="ListParagraph"/>
        <w:numPr>
          <w:ilvl w:val="0"/>
          <w:numId w:val="1"/>
        </w:numPr>
        <w:spacing w:after="90"/>
      </w:pPr>
      <w:r>
        <w:rPr>
          <w:sz w:val="21"/>
          <w:szCs w:val="21"/>
        </w:rPr>
        <w:t xml:space="preserve">3. Gemini's structured JSON response is parsed and written to extracted_entities, with one row per extracted field, each carrying a confidence score and a bounding-box/crop reference back into the original image for provenance.</w:t>
      </w:r>
    </w:p>
    <w:p>
      <w:pPr>
        <w:pStyle w:val="ListParagraph"/>
        <w:numPr>
          <w:ilvl w:val="0"/>
          <w:numId w:val="1"/>
        </w:numPr>
        <w:spacing w:after="90"/>
      </w:pPr>
      <w:r>
        <w:rPr>
          <w:sz w:val="21"/>
          <w:szCs w:val="21"/>
        </w:rPr>
        <w:t xml:space="preserve">4. Fields below the confidence threshold are marked needs_verification = true rather than being auto-normalised, per the PRD's abstention rule (Section 5.2, B4).</w:t>
      </w:r>
    </w:p>
    <w:p>
      <w:pPr>
        <w:pStyle w:val="ListParagraph"/>
        <w:numPr>
          <w:ilvl w:val="0"/>
          <w:numId w:val="1"/>
        </w:numPr>
        <w:spacing w:after="90"/>
      </w:pPr>
      <w:r>
        <w:rPr>
          <w:sz w:val="21"/>
          <w:szCs w:val="21"/>
        </w:rPr>
        <w:t xml:space="preserve">5. A duplicate-detection check (content hash + fuzzy match against existing document_uploads for the session) prevents the same report being added twice to the timeline.</w:t>
      </w:r>
    </w:p>
    <w:p>
      <w:pPr>
        <w:pStyle w:val="Heading3"/>
        <w:spacing w:after="120" w:before="220"/>
      </w:pPr>
      <w:r>
        <w:rPr>
          <w:b/>
          <w:bCs/>
          <w:color w:val="C15B3A"/>
          <w:sz w:val="22"/>
          <w:szCs w:val="22"/>
        </w:rPr>
        <w:t xml:space="preserve">3.1 Example Gemini structured-output contract (illustrative)</w:t>
      </w:r>
    </w:p>
    <w:p>
      <w:pPr>
        <w:spacing w:after="160" w:line="300"/>
      </w:pPr>
      <w:r>
        <w:rPr>
          <w:b w:val="false"/>
          <w:bCs w:val="false"/>
          <w:i w:val="false"/>
          <w:iCs w:val="false"/>
          <w:sz w:val="21"/>
          <w:szCs w:val="21"/>
        </w:rPr>
        <w:t xml:space="preserve">Request: image bytes + a JSON Schema describing the expected output shape (document_type, diagnoses[], medications[]{name, dose, route, frequency, confidence}, lab_values[]{name, value, unit, reference_range, confidence}, document_date, source_confidence_notes). Response: JSON strictly matching that schema — no free-form prose — so it can be validated and written to Postgres without additional NLP parsing.</w:t>
      </w:r>
    </w:p>
    <w:p>
      <w:pPr>
        <w:pStyle w:val="Heading1"/>
        <w:spacing w:after="200" w:before="400"/>
      </w:pPr>
      <w:r>
        <w:rPr>
          <w:b/>
          <w:bCs/>
          <w:color w:val="2F5D62"/>
          <w:sz w:val="32"/>
          <w:szCs w:val="32"/>
        </w:rPr>
        <w:t xml:space="preserve">4. Request Flow — Summarise, Reconcile &amp; Route</w:t>
      </w:r>
    </w:p>
    <w:p>
      <w:pPr>
        <w:pStyle w:val="ListParagraph"/>
        <w:numPr>
          <w:ilvl w:val="0"/>
          <w:numId w:val="1"/>
        </w:numPr>
        <w:spacing w:after="90"/>
      </w:pPr>
      <w:r>
        <w:rPr>
          <w:sz w:val="21"/>
          <w:szCs w:val="21"/>
        </w:rPr>
        <w:t xml:space="preserve">1. Once the interview and (optional) document scans are complete, an API route reads only the Intake Draft Layer (structured_history + extracted_entities) — never raw audio or images directly — and calls Gemini to generate the bilingual draft summary.</w:t>
      </w:r>
    </w:p>
    <w:p>
      <w:pPr>
        <w:pStyle w:val="ListParagraph"/>
        <w:numPr>
          <w:ilvl w:val="0"/>
          <w:numId w:val="1"/>
        </w:numPr>
        <w:spacing w:after="90"/>
      </w:pPr>
      <w:r>
        <w:rPr>
          <w:sz w:val="21"/>
          <w:szCs w:val="21"/>
        </w:rPr>
        <w:t xml:space="preserve">2. A rule-based reconciliation pass (not the LLM) compares spoken-history fields against document-extracted fields for the same clinical concept (e.g., allergy status); any mismatch is written to contradictions rather than being merged.</w:t>
      </w:r>
    </w:p>
    <w:p>
      <w:pPr>
        <w:pStyle w:val="ListParagraph"/>
        <w:numPr>
          <w:ilvl w:val="0"/>
          <w:numId w:val="1"/>
        </w:numPr>
        <w:spacing w:after="90"/>
      </w:pPr>
      <w:r>
        <w:rPr>
          <w:sz w:val="21"/>
          <w:szCs w:val="21"/>
        </w:rPr>
        <w:t xml:space="preserve">3. The draft_summaries row is created, referencing every underlying field it draws from for source drill-down.</w:t>
      </w:r>
    </w:p>
    <w:p>
      <w:pPr>
        <w:pStyle w:val="ListParagraph"/>
        <w:numPr>
          <w:ilvl w:val="0"/>
          <w:numId w:val="1"/>
        </w:numPr>
        <w:spacing w:after="90"/>
      </w:pPr>
      <w:r>
        <w:rPr>
          <w:sz w:val="21"/>
          <w:szCs w:val="21"/>
        </w:rPr>
        <w:t xml:space="preserve">4. A synthetic FHIR bundle is NOT generated at this stage — only after clinician attestation (see Section 5) — because pre-consultation data stays in the draft layer per the three-layer architecture.</w:t>
      </w:r>
    </w:p>
    <w:p>
      <w:pPr>
        <w:pStyle w:val="Heading1"/>
        <w:spacing w:after="200" w:before="400"/>
      </w:pPr>
      <w:r>
        <w:rPr>
          <w:b/>
          <w:bCs/>
          <w:color w:val="2F5D62"/>
          <w:sz w:val="32"/>
          <w:szCs w:val="32"/>
        </w:rPr>
        <w:t xml:space="preserve">5. Request Flow — Consult (Attestation &amp; FHIR Export)</w:t>
      </w:r>
    </w:p>
    <w:p>
      <w:pPr>
        <w:pStyle w:val="ListParagraph"/>
        <w:numPr>
          <w:ilvl w:val="0"/>
          <w:numId w:val="1"/>
        </w:numPr>
        <w:spacing w:after="90"/>
      </w:pPr>
      <w:r>
        <w:rPr>
          <w:sz w:val="21"/>
          <w:szCs w:val="21"/>
        </w:rPr>
        <w:t xml:space="preserve">1. Clinician reviews each section in the /clinician UI; every accept/edit/reject action writes a review_actions row, preserving the original draft value alongside the edit (version history, never overwritten in place).</w:t>
      </w:r>
    </w:p>
    <w:p>
      <w:pPr>
        <w:pStyle w:val="ListParagraph"/>
        <w:numPr>
          <w:ilvl w:val="0"/>
          <w:numId w:val="1"/>
        </w:numPr>
        <w:spacing w:after="90"/>
      </w:pPr>
      <w:r>
        <w:rPr>
          <w:sz w:val="21"/>
          <w:szCs w:val="21"/>
        </w:rPr>
        <w:t xml:space="preserve">2. On "Confirm &amp; Sign", an attested_records row is created from the clinician-approved values; this is the only point at which data is considered final.</w:t>
      </w:r>
    </w:p>
    <w:p>
      <w:pPr>
        <w:pStyle w:val="ListParagraph"/>
        <w:numPr>
          <w:ilvl w:val="0"/>
          <w:numId w:val="1"/>
        </w:numPr>
        <w:spacing w:after="90"/>
      </w:pPr>
      <w:r>
        <w:rPr>
          <w:sz w:val="21"/>
          <w:szCs w:val="21"/>
        </w:rPr>
        <w:t xml:space="preserve">3. The FHIR export module builds the bundle (Patient, Encounter, Composition, Condition, Observation, AllergyIntolerance, MedicationStatement, FamilyMemberHistory, DocumentReference, DiagnosticReport, QuestionnaireResponse, Provenance) from attested_records only, and runs it through the FHIR validator before storing the result in fhir_bundles.</w:t>
      </w:r>
    </w:p>
    <w:p>
      <w:pPr>
        <w:pStyle w:val="ListParagraph"/>
        <w:numPr>
          <w:ilvl w:val="0"/>
          <w:numId w:val="1"/>
        </w:numPr>
        <w:spacing w:after="90"/>
      </w:pPr>
      <w:r>
        <w:rPr>
          <w:sz w:val="21"/>
          <w:szCs w:val="21"/>
        </w:rPr>
        <w:t xml:space="preserve">4. The validated bundle is what would be shared through ABDM in a production deployment; in the MVP it is shown as JSON with the validation result (mocked ABDM endpoint).</w:t>
      </w:r>
    </w:p>
    <w:p>
      <w:r>
        <w:br w:type="page"/>
      </w:r>
    </w:p>
    <w:p>
      <w:pPr>
        <w:pStyle w:val="Heading1"/>
        <w:spacing w:after="200" w:before="400"/>
      </w:pPr>
      <w:r>
        <w:rPr>
          <w:b/>
          <w:bCs/>
          <w:color w:val="2F5D62"/>
          <w:sz w:val="32"/>
          <w:szCs w:val="32"/>
        </w:rPr>
        <w:t xml:space="preserve">6. Neon PostgreSQL Schema</w:t>
      </w:r>
    </w:p>
    <w:p>
      <w:pPr>
        <w:spacing w:after="160" w:line="300"/>
      </w:pPr>
      <w:r>
        <w:rPr>
          <w:b w:val="false"/>
          <w:bCs w:val="false"/>
          <w:i w:val="false"/>
          <w:iCs w:val="false"/>
          <w:sz w:val="21"/>
          <w:szCs w:val="21"/>
        </w:rPr>
        <w:t xml:space="preserve">Table groups mirror the three-layer record architecture plus cross-cutting concerns. Column lists below are the build-ready minimum; extend per module as needed without breaking the layer boundaries.</w:t>
      </w:r>
    </w:p>
    <w:p>
      <w:pPr>
        <w:pStyle w:val="Heading2"/>
        <w:spacing w:after="150" w:before="300"/>
      </w:pPr>
      <w:r>
        <w:rPr>
          <w:b/>
          <w:bCs/>
          <w:color w:val="2F5D62"/>
          <w:sz w:val="26"/>
          <w:szCs w:val="26"/>
        </w:rPr>
        <w:t xml:space="preserve">6.1 Patient Evidence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2900"/>
      </w:tblGrid>
      <w:tr>
        <w:trPr>
          <w:tblHeader/>
        </w:trPr>
        <w:tc>
          <w:tcPr>
            <w:tcW w:type="dxa" w:w="1800"/>
            <w:shd w:fill="2F5D62" w:val="clear"/>
            <w:tcMar>
              <w:top w:type="dxa" w:w="80"/>
              <w:left w:type="dxa" w:w="100"/>
              <w:bottom w:type="dxa" w:w="80"/>
              <w:right w:type="dxa" w:w="100"/>
            </w:tcMar>
            <w:vAlign w:val="center"/>
          </w:tcPr>
          <w:p>
            <w:r>
              <w:rPr>
                <w:b/>
                <w:bCs/>
                <w:color w:val="FFFFFF"/>
                <w:sz w:val="19"/>
                <w:szCs w:val="19"/>
              </w:rPr>
              <w:t xml:space="preserve">Table</w:t>
            </w:r>
          </w:p>
        </w:tc>
        <w:tc>
          <w:tcPr>
            <w:tcW w:type="dxa" w:w="4300"/>
            <w:shd w:fill="2F5D62" w:val="clear"/>
            <w:tcMar>
              <w:top w:type="dxa" w:w="80"/>
              <w:left w:type="dxa" w:w="100"/>
              <w:bottom w:type="dxa" w:w="80"/>
              <w:right w:type="dxa" w:w="100"/>
            </w:tcMar>
            <w:vAlign w:val="center"/>
          </w:tcPr>
          <w:p>
            <w:r>
              <w:rPr>
                <w:b/>
                <w:bCs/>
                <w:color w:val="FFFFFF"/>
                <w:sz w:val="19"/>
                <w:szCs w:val="19"/>
              </w:rPr>
              <w:t xml:space="preserve">Key columns</w:t>
            </w:r>
          </w:p>
        </w:tc>
        <w:tc>
          <w:tcPr>
            <w:tcW w:type="dxa" w:w="2900"/>
            <w:shd w:fill="2F5D62" w:val="clear"/>
            <w:tcMar>
              <w:top w:type="dxa" w:w="80"/>
              <w:left w:type="dxa" w:w="100"/>
              <w:bottom w:type="dxa" w:w="80"/>
              <w:right w:type="dxa" w:w="100"/>
            </w:tcMar>
            <w:vAlign w:val="center"/>
          </w:tcPr>
          <w:p>
            <w:r>
              <w:rPr>
                <w:b/>
                <w:bCs/>
                <w:color w:val="FFFFFF"/>
                <w:sz w:val="19"/>
                <w:szCs w:val="19"/>
              </w:rPr>
              <w:t xml:space="preserve">Notes</w:t>
            </w:r>
          </w:p>
        </w:tc>
      </w:tr>
      <w:tr>
        <w:tc>
          <w:tcPr>
            <w:tcW w:type="dxa" w:w="1800"/>
            <w:tcMar>
              <w:top w:type="dxa" w:w="80"/>
              <w:left w:type="dxa" w:w="100"/>
              <w:bottom w:type="dxa" w:w="80"/>
              <w:right w:type="dxa" w:w="100"/>
            </w:tcMar>
            <w:vAlign w:val="center"/>
          </w:tcPr>
          <w:p>
            <w:r>
              <w:rPr>
                <w:b w:val="false"/>
                <w:bCs w:val="false"/>
                <w:color w:val="1A1A1A"/>
                <w:sz w:val="19"/>
                <w:szCs w:val="19"/>
              </w:rPr>
              <w:t xml:space="preserve">sessions</w:t>
            </w:r>
          </w:p>
        </w:tc>
        <w:tc>
          <w:tcPr>
            <w:tcW w:type="dxa" w:w="4300"/>
            <w:tcMar>
              <w:top w:type="dxa" w:w="80"/>
              <w:left w:type="dxa" w:w="100"/>
              <w:bottom w:type="dxa" w:w="80"/>
              <w:right w:type="dxa" w:w="100"/>
            </w:tcMar>
            <w:vAlign w:val="center"/>
          </w:tcPr>
          <w:p>
            <w:r>
              <w:rPr>
                <w:b w:val="false"/>
                <w:bCs w:val="false"/>
                <w:color w:val="1A1A1A"/>
                <w:sz w:val="19"/>
                <w:szCs w:val="19"/>
              </w:rPr>
              <w:t xml:space="preserve">id (pk), patient_ref, language, queue_id, abha_mock_id, status, started_at, ended_at</w:t>
            </w:r>
          </w:p>
        </w:tc>
        <w:tc>
          <w:tcPr>
            <w:tcW w:type="dxa" w:w="2900"/>
            <w:tcMar>
              <w:top w:type="dxa" w:w="80"/>
              <w:left w:type="dxa" w:w="100"/>
              <w:bottom w:type="dxa" w:w="80"/>
              <w:right w:type="dxa" w:w="100"/>
            </w:tcMar>
            <w:vAlign w:val="center"/>
          </w:tcPr>
          <w:p>
            <w:r>
              <w:rPr>
                <w:b w:val="false"/>
                <w:bCs w:val="false"/>
                <w:color w:val="1A1A1A"/>
                <w:sz w:val="19"/>
                <w:szCs w:val="19"/>
              </w:rPr>
              <w:t xml:space="preserve">One row per kiosk visit; status: in_progress / completed / abandoned</w:t>
            </w:r>
          </w:p>
        </w:tc>
      </w:tr>
      <w:tr>
        <w:tc>
          <w:tcPr>
            <w:tcW w:type="dxa" w:w="1800"/>
            <w:shd w:fill="F5F8F8" w:val="clear"/>
            <w:tcMar>
              <w:top w:type="dxa" w:w="80"/>
              <w:left w:type="dxa" w:w="100"/>
              <w:bottom w:type="dxa" w:w="80"/>
              <w:right w:type="dxa" w:w="100"/>
            </w:tcMar>
            <w:vAlign w:val="center"/>
          </w:tcPr>
          <w:p>
            <w:r>
              <w:rPr>
                <w:b w:val="false"/>
                <w:bCs w:val="false"/>
                <w:color w:val="1A1A1A"/>
                <w:sz w:val="19"/>
                <w:szCs w:val="19"/>
              </w:rPr>
              <w:t xml:space="preserve">consent_records</w:t>
            </w:r>
          </w:p>
        </w:tc>
        <w:tc>
          <w:tcPr>
            <w:tcW w:type="dxa" w:w="4300"/>
            <w:shd w:fill="F5F8F8" w:val="clear"/>
            <w:tcMar>
              <w:top w:type="dxa" w:w="80"/>
              <w:left w:type="dxa" w:w="100"/>
              <w:bottom w:type="dxa" w:w="80"/>
              <w:right w:type="dxa" w:w="100"/>
            </w:tcMar>
            <w:vAlign w:val="center"/>
          </w:tcPr>
          <w:p>
            <w:r>
              <w:rPr>
                <w:b w:val="false"/>
                <w:bCs w:val="false"/>
                <w:color w:val="1A1A1A"/>
                <w:sz w:val="19"/>
                <w:szCs w:val="19"/>
              </w:rPr>
              <w:t xml:space="preserve">id, session_id (fk), notice_version, language, consented_at, method (audio/touch), revoked_at</w:t>
            </w:r>
          </w:p>
        </w:tc>
        <w:tc>
          <w:tcPr>
            <w:tcW w:type="dxa" w:w="2900"/>
            <w:shd w:fill="F5F8F8" w:val="clear"/>
            <w:tcMar>
              <w:top w:type="dxa" w:w="80"/>
              <w:left w:type="dxa" w:w="100"/>
              <w:bottom w:type="dxa" w:w="80"/>
              <w:right w:type="dxa" w:w="100"/>
            </w:tcMar>
            <w:vAlign w:val="center"/>
          </w:tcPr>
          <w:p>
            <w:r>
              <w:rPr>
                <w:b w:val="false"/>
                <w:bCs w:val="false"/>
                <w:color w:val="1A1A1A"/>
                <w:sz w:val="19"/>
                <w:szCs w:val="19"/>
              </w:rPr>
              <w:t xml:space="preserve">Append-only; revocation is a new row, not a delete</w:t>
            </w:r>
          </w:p>
        </w:tc>
      </w:tr>
      <w:tr>
        <w:tc>
          <w:tcPr>
            <w:tcW w:type="dxa" w:w="1800"/>
            <w:tcMar>
              <w:top w:type="dxa" w:w="80"/>
              <w:left w:type="dxa" w:w="100"/>
              <w:bottom w:type="dxa" w:w="80"/>
              <w:right w:type="dxa" w:w="100"/>
            </w:tcMar>
            <w:vAlign w:val="center"/>
          </w:tcPr>
          <w:p>
            <w:r>
              <w:rPr>
                <w:b w:val="false"/>
                <w:bCs w:val="false"/>
                <w:color w:val="1A1A1A"/>
                <w:sz w:val="19"/>
                <w:szCs w:val="19"/>
              </w:rPr>
              <w:t xml:space="preserve">raw_answers</w:t>
            </w:r>
          </w:p>
        </w:tc>
        <w:tc>
          <w:tcPr>
            <w:tcW w:type="dxa" w:w="4300"/>
            <w:tcMar>
              <w:top w:type="dxa" w:w="80"/>
              <w:left w:type="dxa" w:w="100"/>
              <w:bottom w:type="dxa" w:w="80"/>
              <w:right w:type="dxa" w:w="100"/>
            </w:tcMar>
            <w:vAlign w:val="center"/>
          </w:tcPr>
          <w:p>
            <w:r>
              <w:rPr>
                <w:b w:val="false"/>
                <w:bCs w:val="false"/>
                <w:color w:val="1A1A1A"/>
                <w:sz w:val="19"/>
                <w:szCs w:val="19"/>
              </w:rPr>
              <w:t xml:space="preserve">id, session_id, question_id, source_mode (voice/touch), transcript_text, audio_ref, confidence, created_at</w:t>
            </w:r>
          </w:p>
        </w:tc>
        <w:tc>
          <w:tcPr>
            <w:tcW w:type="dxa" w:w="2900"/>
            <w:tcMar>
              <w:top w:type="dxa" w:w="80"/>
              <w:left w:type="dxa" w:w="100"/>
              <w:bottom w:type="dxa" w:w="80"/>
              <w:right w:type="dxa" w:w="100"/>
            </w:tcMar>
            <w:vAlign w:val="center"/>
          </w:tcPr>
          <w:p>
            <w:r>
              <w:rPr>
                <w:b w:val="false"/>
                <w:bCs w:val="false"/>
                <w:color w:val="1A1A1A"/>
                <w:sz w:val="19"/>
                <w:szCs w:val="19"/>
              </w:rPr>
              <w:t xml:space="preserve">Immutable log of exactly what the patient said/tapped</w:t>
            </w:r>
          </w:p>
        </w:tc>
      </w:tr>
      <w:tr>
        <w:tc>
          <w:tcPr>
            <w:tcW w:type="dxa" w:w="1800"/>
            <w:shd w:fill="F5F8F8" w:val="clear"/>
            <w:tcMar>
              <w:top w:type="dxa" w:w="80"/>
              <w:left w:type="dxa" w:w="100"/>
              <w:bottom w:type="dxa" w:w="80"/>
              <w:right w:type="dxa" w:w="100"/>
            </w:tcMar>
            <w:vAlign w:val="center"/>
          </w:tcPr>
          <w:p>
            <w:r>
              <w:rPr>
                <w:b w:val="false"/>
                <w:bCs w:val="false"/>
                <w:color w:val="1A1A1A"/>
                <w:sz w:val="19"/>
                <w:szCs w:val="19"/>
              </w:rPr>
              <w:t xml:space="preserve">document_uploads</w:t>
            </w:r>
          </w:p>
        </w:tc>
        <w:tc>
          <w:tcPr>
            <w:tcW w:type="dxa" w:w="4300"/>
            <w:shd w:fill="F5F8F8" w:val="clear"/>
            <w:tcMar>
              <w:top w:type="dxa" w:w="80"/>
              <w:left w:type="dxa" w:w="100"/>
              <w:bottom w:type="dxa" w:w="80"/>
              <w:right w:type="dxa" w:w="100"/>
            </w:tcMar>
            <w:vAlign w:val="center"/>
          </w:tcPr>
          <w:p>
            <w:r>
              <w:rPr>
                <w:b w:val="false"/>
                <w:bCs w:val="false"/>
                <w:color w:val="1A1A1A"/>
                <w:sz w:val="19"/>
                <w:szCs w:val="19"/>
              </w:rPr>
              <w:t xml:space="preserve">id, session_id, file_ref, mime_type, quality_check_result, uploaded_at</w:t>
            </w:r>
          </w:p>
        </w:tc>
        <w:tc>
          <w:tcPr>
            <w:tcW w:type="dxa" w:w="2900"/>
            <w:shd w:fill="F5F8F8" w:val="clear"/>
            <w:tcMar>
              <w:top w:type="dxa" w:w="80"/>
              <w:left w:type="dxa" w:w="100"/>
              <w:bottom w:type="dxa" w:w="80"/>
              <w:right w:type="dxa" w:w="100"/>
            </w:tcMar>
            <w:vAlign w:val="center"/>
          </w:tcPr>
          <w:p>
            <w:r>
              <w:rPr>
                <w:b w:val="false"/>
                <w:bCs w:val="false"/>
                <w:color w:val="1A1A1A"/>
                <w:sz w:val="19"/>
                <w:szCs w:val="19"/>
              </w:rPr>
              <w:t xml:space="preserve">Original scanned files; retention per DPDP schedule</w:t>
            </w:r>
          </w:p>
        </w:tc>
      </w:tr>
    </w:tbl>
    <w:p>
      <w:pPr>
        <w:pStyle w:val="Heading2"/>
        <w:spacing w:after="150" w:before="300"/>
      </w:pPr>
      <w:r>
        <w:rPr>
          <w:b/>
          <w:bCs/>
          <w:color w:val="2F5D62"/>
          <w:sz w:val="26"/>
          <w:szCs w:val="26"/>
        </w:rPr>
        <w:t xml:space="preserve">6.2 Intake Draft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00"/>
      </w:tblGrid>
      <w:tr>
        <w:trPr>
          <w:tblHeader/>
        </w:trPr>
        <w:tc>
          <w:tcPr>
            <w:tcW w:type="dxa" w:w="1800"/>
            <w:shd w:fill="2F5D62" w:val="clear"/>
            <w:tcMar>
              <w:top w:type="dxa" w:w="80"/>
              <w:left w:type="dxa" w:w="100"/>
              <w:bottom w:type="dxa" w:w="80"/>
              <w:right w:type="dxa" w:w="100"/>
            </w:tcMar>
            <w:vAlign w:val="center"/>
          </w:tcPr>
          <w:p>
            <w:r>
              <w:rPr>
                <w:b/>
                <w:bCs/>
                <w:color w:val="FFFFFF"/>
                <w:sz w:val="19"/>
                <w:szCs w:val="19"/>
              </w:rPr>
              <w:t xml:space="preserve">Table</w:t>
            </w:r>
          </w:p>
        </w:tc>
        <w:tc>
          <w:tcPr>
            <w:tcW w:type="dxa" w:w="4600"/>
            <w:shd w:fill="2F5D62" w:val="clear"/>
            <w:tcMar>
              <w:top w:type="dxa" w:w="80"/>
              <w:left w:type="dxa" w:w="100"/>
              <w:bottom w:type="dxa" w:w="80"/>
              <w:right w:type="dxa" w:w="100"/>
            </w:tcMar>
            <w:vAlign w:val="center"/>
          </w:tcPr>
          <w:p>
            <w:r>
              <w:rPr>
                <w:b/>
                <w:bCs/>
                <w:color w:val="FFFFFF"/>
                <w:sz w:val="19"/>
                <w:szCs w:val="19"/>
              </w:rPr>
              <w:t xml:space="preserve">Key columns</w:t>
            </w:r>
          </w:p>
        </w:tc>
        <w:tc>
          <w:tcPr>
            <w:tcW w:type="dxa" w:w="2600"/>
            <w:shd w:fill="2F5D62" w:val="clear"/>
            <w:tcMar>
              <w:top w:type="dxa" w:w="80"/>
              <w:left w:type="dxa" w:w="100"/>
              <w:bottom w:type="dxa" w:w="80"/>
              <w:right w:type="dxa" w:w="100"/>
            </w:tcMar>
            <w:vAlign w:val="center"/>
          </w:tcPr>
          <w:p>
            <w:r>
              <w:rPr>
                <w:b/>
                <w:bCs/>
                <w:color w:val="FFFFFF"/>
                <w:sz w:val="19"/>
                <w:szCs w:val="19"/>
              </w:rPr>
              <w:t xml:space="preserve">Notes</w:t>
            </w:r>
          </w:p>
        </w:tc>
      </w:tr>
      <w:tr>
        <w:tc>
          <w:tcPr>
            <w:tcW w:type="dxa" w:w="1800"/>
            <w:tcMar>
              <w:top w:type="dxa" w:w="80"/>
              <w:left w:type="dxa" w:w="100"/>
              <w:bottom w:type="dxa" w:w="80"/>
              <w:right w:type="dxa" w:w="100"/>
            </w:tcMar>
            <w:vAlign w:val="center"/>
          </w:tcPr>
          <w:p>
            <w:r>
              <w:rPr>
                <w:b w:val="false"/>
                <w:bCs w:val="false"/>
                <w:color w:val="1A1A1A"/>
                <w:sz w:val="19"/>
                <w:szCs w:val="19"/>
              </w:rPr>
              <w:t xml:space="preserve">structured_history</w:t>
            </w:r>
          </w:p>
        </w:tc>
        <w:tc>
          <w:tcPr>
            <w:tcW w:type="dxa" w:w="4600"/>
            <w:tcMar>
              <w:top w:type="dxa" w:w="80"/>
              <w:left w:type="dxa" w:w="100"/>
              <w:bottom w:type="dxa" w:w="80"/>
              <w:right w:type="dxa" w:w="100"/>
            </w:tcMar>
            <w:vAlign w:val="center"/>
          </w:tcPr>
          <w:p>
            <w:r>
              <w:rPr>
                <w:b w:val="false"/>
                <w:bCs w:val="false"/>
                <w:color w:val="1A1A1A"/>
                <w:sz w:val="19"/>
                <w:szCs w:val="19"/>
              </w:rPr>
              <w:t xml:space="preserve">id, session_id, section (chief_complaint/HPI/past_history/...), field_name, value, source_raw_answer_id, confidence, flag (unknown/prefer_not_to_say/null)</w:t>
            </w:r>
          </w:p>
        </w:tc>
        <w:tc>
          <w:tcPr>
            <w:tcW w:type="dxa" w:w="2600"/>
            <w:tcMar>
              <w:top w:type="dxa" w:w="80"/>
              <w:left w:type="dxa" w:w="100"/>
              <w:bottom w:type="dxa" w:w="80"/>
              <w:right w:type="dxa" w:w="100"/>
            </w:tcMar>
            <w:vAlign w:val="center"/>
          </w:tcPr>
          <w:p>
            <w:r>
              <w:rPr>
                <w:b w:val="false"/>
                <w:bCs w:val="false"/>
                <w:color w:val="1A1A1A"/>
                <w:sz w:val="19"/>
                <w:szCs w:val="19"/>
              </w:rPr>
              <w:t xml:space="preserve">One row per structured clinical field; always labelled draft</w:t>
            </w:r>
          </w:p>
        </w:tc>
      </w:tr>
      <w:tr>
        <w:tc>
          <w:tcPr>
            <w:tcW w:type="dxa" w:w="1800"/>
            <w:shd w:fill="F5F8F8" w:val="clear"/>
            <w:tcMar>
              <w:top w:type="dxa" w:w="80"/>
              <w:left w:type="dxa" w:w="100"/>
              <w:bottom w:type="dxa" w:w="80"/>
              <w:right w:type="dxa" w:w="100"/>
            </w:tcMar>
            <w:vAlign w:val="center"/>
          </w:tcPr>
          <w:p>
            <w:r>
              <w:rPr>
                <w:b w:val="false"/>
                <w:bCs w:val="false"/>
                <w:color w:val="1A1A1A"/>
                <w:sz w:val="19"/>
                <w:szCs w:val="19"/>
              </w:rPr>
              <w:t xml:space="preserve">extracted_entities</w:t>
            </w:r>
          </w:p>
        </w:tc>
        <w:tc>
          <w:tcPr>
            <w:tcW w:type="dxa" w:w="4600"/>
            <w:shd w:fill="F5F8F8" w:val="clear"/>
            <w:tcMar>
              <w:top w:type="dxa" w:w="80"/>
              <w:left w:type="dxa" w:w="100"/>
              <w:bottom w:type="dxa" w:w="80"/>
              <w:right w:type="dxa" w:w="100"/>
            </w:tcMar>
            <w:vAlign w:val="center"/>
          </w:tcPr>
          <w:p>
            <w:r>
              <w:rPr>
                <w:b w:val="false"/>
                <w:bCs w:val="false"/>
                <w:color w:val="1A1A1A"/>
                <w:sz w:val="19"/>
                <w:szCs w:val="19"/>
              </w:rPr>
              <w:t xml:space="preserve">id, session_id, document_upload_id, entity_type (medication/lab_value/diagnosis/date), fields (jsonb), confidence, needs_verification, source_crop_ref</w:t>
            </w:r>
          </w:p>
        </w:tc>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Output of Gemini extraction; jsonb keeps entity-type-specific fields flexible</w:t>
            </w:r>
          </w:p>
        </w:tc>
      </w:tr>
      <w:tr>
        <w:tc>
          <w:tcPr>
            <w:tcW w:type="dxa" w:w="1800"/>
            <w:tcMar>
              <w:top w:type="dxa" w:w="80"/>
              <w:left w:type="dxa" w:w="100"/>
              <w:bottom w:type="dxa" w:w="80"/>
              <w:right w:type="dxa" w:w="100"/>
            </w:tcMar>
            <w:vAlign w:val="center"/>
          </w:tcPr>
          <w:p>
            <w:r>
              <w:rPr>
                <w:b w:val="false"/>
                <w:bCs w:val="false"/>
                <w:color w:val="1A1A1A"/>
                <w:sz w:val="19"/>
                <w:szCs w:val="19"/>
              </w:rPr>
              <w:t xml:space="preserve">red_flag_events</w:t>
            </w:r>
          </w:p>
        </w:tc>
        <w:tc>
          <w:tcPr>
            <w:tcW w:type="dxa" w:w="4600"/>
            <w:tcMar>
              <w:top w:type="dxa" w:w="80"/>
              <w:left w:type="dxa" w:w="100"/>
              <w:bottom w:type="dxa" w:w="80"/>
              <w:right w:type="dxa" w:w="100"/>
            </w:tcMar>
            <w:vAlign w:val="center"/>
          </w:tcPr>
          <w:p>
            <w:r>
              <w:rPr>
                <w:b w:val="false"/>
                <w:bCs w:val="false"/>
                <w:color w:val="1A1A1A"/>
                <w:sz w:val="19"/>
                <w:szCs w:val="19"/>
              </w:rPr>
              <w:t xml:space="preserve">id, session_id, rule_id, triggered_at, acknowledged_by, acknowledged_at, escalated_at, session_state_at_trigger</w:t>
            </w:r>
          </w:p>
        </w:tc>
        <w:tc>
          <w:tcPr>
            <w:tcW w:type="dxa" w:w="2600"/>
            <w:tcMar>
              <w:top w:type="dxa" w:w="80"/>
              <w:left w:type="dxa" w:w="100"/>
              <w:bottom w:type="dxa" w:w="80"/>
              <w:right w:type="dxa" w:w="100"/>
            </w:tcMar>
            <w:vAlign w:val="center"/>
          </w:tcPr>
          <w:p>
            <w:r>
              <w:rPr>
                <w:b w:val="false"/>
                <w:bCs w:val="false"/>
                <w:color w:val="1A1A1A"/>
                <w:sz w:val="19"/>
                <w:szCs w:val="19"/>
              </w:rPr>
              <w:t xml:space="preserve">Deterministic rule engine output, not LLM-generated</w:t>
            </w:r>
          </w:p>
        </w:tc>
      </w:tr>
      <w:tr>
        <w:tc>
          <w:tcPr>
            <w:tcW w:type="dxa" w:w="1800"/>
            <w:shd w:fill="F5F8F8" w:val="clear"/>
            <w:tcMar>
              <w:top w:type="dxa" w:w="80"/>
              <w:left w:type="dxa" w:w="100"/>
              <w:bottom w:type="dxa" w:w="80"/>
              <w:right w:type="dxa" w:w="100"/>
            </w:tcMar>
            <w:vAlign w:val="center"/>
          </w:tcPr>
          <w:p>
            <w:r>
              <w:rPr>
                <w:b w:val="false"/>
                <w:bCs w:val="false"/>
                <w:color w:val="1A1A1A"/>
                <w:sz w:val="19"/>
                <w:szCs w:val="19"/>
              </w:rPr>
              <w:t xml:space="preserve">contradictions</w:t>
            </w:r>
          </w:p>
        </w:tc>
        <w:tc>
          <w:tcPr>
            <w:tcW w:type="dxa" w:w="4600"/>
            <w:shd w:fill="F5F8F8" w:val="clear"/>
            <w:tcMar>
              <w:top w:type="dxa" w:w="80"/>
              <w:left w:type="dxa" w:w="100"/>
              <w:bottom w:type="dxa" w:w="80"/>
              <w:right w:type="dxa" w:w="100"/>
            </w:tcMar>
            <w:vAlign w:val="center"/>
          </w:tcPr>
          <w:p>
            <w:r>
              <w:rPr>
                <w:b w:val="false"/>
                <w:bCs w:val="false"/>
                <w:color w:val="1A1A1A"/>
                <w:sz w:val="19"/>
                <w:szCs w:val="19"/>
              </w:rPr>
              <w:t xml:space="preserve">id, session_id, concept (e.g. allergy_status), spoken_value_ref, document_value_ref, resolved_by, resolved_at</w:t>
            </w:r>
          </w:p>
        </w:tc>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resolved_* stays null until a clinician acts</w:t>
            </w:r>
          </w:p>
        </w:tc>
      </w:tr>
      <w:tr>
        <w:tc>
          <w:tcPr>
            <w:tcW w:type="dxa" w:w="1800"/>
            <w:tcMar>
              <w:top w:type="dxa" w:w="80"/>
              <w:left w:type="dxa" w:w="100"/>
              <w:bottom w:type="dxa" w:w="80"/>
              <w:right w:type="dxa" w:w="100"/>
            </w:tcMar>
            <w:vAlign w:val="center"/>
          </w:tcPr>
          <w:p>
            <w:r>
              <w:rPr>
                <w:b w:val="false"/>
                <w:bCs w:val="false"/>
                <w:color w:val="1A1A1A"/>
                <w:sz w:val="19"/>
                <w:szCs w:val="19"/>
              </w:rPr>
              <w:t xml:space="preserve">draft_summaries</w:t>
            </w:r>
          </w:p>
        </w:tc>
        <w:tc>
          <w:tcPr>
            <w:tcW w:type="dxa" w:w="4600"/>
            <w:tcMar>
              <w:top w:type="dxa" w:w="80"/>
              <w:left w:type="dxa" w:w="100"/>
              <w:bottom w:type="dxa" w:w="80"/>
              <w:right w:type="dxa" w:w="100"/>
            </w:tcMar>
            <w:vAlign w:val="center"/>
          </w:tcPr>
          <w:p>
            <w:r>
              <w:rPr>
                <w:b w:val="false"/>
                <w:bCs w:val="false"/>
                <w:color w:val="1A1A1A"/>
                <w:sz w:val="19"/>
                <w:szCs w:val="19"/>
              </w:rPr>
              <w:t xml:space="preserve">id, session_id, generated_at, model_name, model_version, prompt_version, content (jsonb), input_hash</w:t>
            </w:r>
          </w:p>
        </w:tc>
        <w:tc>
          <w:tcPr>
            <w:tcW w:type="dxa" w:w="2600"/>
            <w:tcMar>
              <w:top w:type="dxa" w:w="80"/>
              <w:left w:type="dxa" w:w="100"/>
              <w:bottom w:type="dxa" w:w="80"/>
              <w:right w:type="dxa" w:w="100"/>
            </w:tcMar>
            <w:vAlign w:val="center"/>
          </w:tcPr>
          <w:p>
            <w:r>
              <w:rPr>
                <w:b w:val="false"/>
                <w:bCs w:val="false"/>
                <w:color w:val="1A1A1A"/>
                <w:sz w:val="19"/>
                <w:szCs w:val="19"/>
              </w:rPr>
              <w:t xml:space="preserve">Reproducibility fields per PRD Section 6 (auditability)</w:t>
            </w:r>
          </w:p>
        </w:tc>
      </w:tr>
    </w:tbl>
    <w:p>
      <w:pPr>
        <w:pStyle w:val="Heading2"/>
        <w:spacing w:after="150" w:before="300"/>
      </w:pPr>
      <w:r>
        <w:rPr>
          <w:b/>
          <w:bCs/>
          <w:color w:val="2F5D62"/>
          <w:sz w:val="26"/>
          <w:szCs w:val="26"/>
        </w:rPr>
        <w:t xml:space="preserve">6.3 Clinician-Attested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00"/>
      </w:tblGrid>
      <w:tr>
        <w:trPr>
          <w:tblHeader/>
        </w:trPr>
        <w:tc>
          <w:tcPr>
            <w:tcW w:type="dxa" w:w="1800"/>
            <w:shd w:fill="2F5D62" w:val="clear"/>
            <w:tcMar>
              <w:top w:type="dxa" w:w="80"/>
              <w:left w:type="dxa" w:w="100"/>
              <w:bottom w:type="dxa" w:w="80"/>
              <w:right w:type="dxa" w:w="100"/>
            </w:tcMar>
            <w:vAlign w:val="center"/>
          </w:tcPr>
          <w:p>
            <w:r>
              <w:rPr>
                <w:b/>
                <w:bCs/>
                <w:color w:val="FFFFFF"/>
                <w:sz w:val="19"/>
                <w:szCs w:val="19"/>
              </w:rPr>
              <w:t xml:space="preserve">Table</w:t>
            </w:r>
          </w:p>
        </w:tc>
        <w:tc>
          <w:tcPr>
            <w:tcW w:type="dxa" w:w="4600"/>
            <w:shd w:fill="2F5D62" w:val="clear"/>
            <w:tcMar>
              <w:top w:type="dxa" w:w="80"/>
              <w:left w:type="dxa" w:w="100"/>
              <w:bottom w:type="dxa" w:w="80"/>
              <w:right w:type="dxa" w:w="100"/>
            </w:tcMar>
            <w:vAlign w:val="center"/>
          </w:tcPr>
          <w:p>
            <w:r>
              <w:rPr>
                <w:b/>
                <w:bCs/>
                <w:color w:val="FFFFFF"/>
                <w:sz w:val="19"/>
                <w:szCs w:val="19"/>
              </w:rPr>
              <w:t xml:space="preserve">Key columns</w:t>
            </w:r>
          </w:p>
        </w:tc>
        <w:tc>
          <w:tcPr>
            <w:tcW w:type="dxa" w:w="2600"/>
            <w:shd w:fill="2F5D62" w:val="clear"/>
            <w:tcMar>
              <w:top w:type="dxa" w:w="80"/>
              <w:left w:type="dxa" w:w="100"/>
              <w:bottom w:type="dxa" w:w="80"/>
              <w:right w:type="dxa" w:w="100"/>
            </w:tcMar>
            <w:vAlign w:val="center"/>
          </w:tcPr>
          <w:p>
            <w:r>
              <w:rPr>
                <w:b/>
                <w:bCs/>
                <w:color w:val="FFFFFF"/>
                <w:sz w:val="19"/>
                <w:szCs w:val="19"/>
              </w:rPr>
              <w:t xml:space="preserve">Notes</w:t>
            </w:r>
          </w:p>
        </w:tc>
      </w:tr>
      <w:tr>
        <w:tc>
          <w:tcPr>
            <w:tcW w:type="dxa" w:w="1800"/>
            <w:tcMar>
              <w:top w:type="dxa" w:w="80"/>
              <w:left w:type="dxa" w:w="100"/>
              <w:bottom w:type="dxa" w:w="80"/>
              <w:right w:type="dxa" w:w="100"/>
            </w:tcMar>
            <w:vAlign w:val="center"/>
          </w:tcPr>
          <w:p>
            <w:r>
              <w:rPr>
                <w:b w:val="false"/>
                <w:bCs w:val="false"/>
                <w:color w:val="1A1A1A"/>
                <w:sz w:val="19"/>
                <w:szCs w:val="19"/>
              </w:rPr>
              <w:t xml:space="preserve">attested_records</w:t>
            </w:r>
          </w:p>
        </w:tc>
        <w:tc>
          <w:tcPr>
            <w:tcW w:type="dxa" w:w="4600"/>
            <w:tcMar>
              <w:top w:type="dxa" w:w="80"/>
              <w:left w:type="dxa" w:w="100"/>
              <w:bottom w:type="dxa" w:w="80"/>
              <w:right w:type="dxa" w:w="100"/>
            </w:tcMar>
            <w:vAlign w:val="center"/>
          </w:tcPr>
          <w:p>
            <w:r>
              <w:rPr>
                <w:b w:val="false"/>
                <w:bCs w:val="false"/>
                <w:color w:val="1A1A1A"/>
                <w:sz w:val="19"/>
                <w:szCs w:val="19"/>
              </w:rPr>
              <w:t xml:space="preserve">id, session_id, clinician_id, attested_at, content (jsonb), draft_summary_id (fk)</w:t>
            </w:r>
          </w:p>
        </w:tc>
        <w:tc>
          <w:tcPr>
            <w:tcW w:type="dxa" w:w="2600"/>
            <w:tcMar>
              <w:top w:type="dxa" w:w="80"/>
              <w:left w:type="dxa" w:w="100"/>
              <w:bottom w:type="dxa" w:w="80"/>
              <w:right w:type="dxa" w:w="100"/>
            </w:tcMar>
            <w:vAlign w:val="center"/>
          </w:tcPr>
          <w:p>
            <w:r>
              <w:rPr>
                <w:b w:val="false"/>
                <w:bCs w:val="false"/>
                <w:color w:val="1A1A1A"/>
                <w:sz w:val="19"/>
                <w:szCs w:val="19"/>
              </w:rPr>
              <w:t xml:space="preserve">Created only on attestation; content is the final structured record</w:t>
            </w:r>
          </w:p>
        </w:tc>
      </w:tr>
      <w:tr>
        <w:tc>
          <w:tcPr>
            <w:tcW w:type="dxa" w:w="1800"/>
            <w:shd w:fill="F5F8F8" w:val="clear"/>
            <w:tcMar>
              <w:top w:type="dxa" w:w="80"/>
              <w:left w:type="dxa" w:w="100"/>
              <w:bottom w:type="dxa" w:w="80"/>
              <w:right w:type="dxa" w:w="100"/>
            </w:tcMar>
            <w:vAlign w:val="center"/>
          </w:tcPr>
          <w:p>
            <w:r>
              <w:rPr>
                <w:b w:val="false"/>
                <w:bCs w:val="false"/>
                <w:color w:val="1A1A1A"/>
                <w:sz w:val="19"/>
                <w:szCs w:val="19"/>
              </w:rPr>
              <w:t xml:space="preserve">review_actions</w:t>
            </w:r>
          </w:p>
        </w:tc>
        <w:tc>
          <w:tcPr>
            <w:tcW w:type="dxa" w:w="4600"/>
            <w:shd w:fill="F5F8F8" w:val="clear"/>
            <w:tcMar>
              <w:top w:type="dxa" w:w="80"/>
              <w:left w:type="dxa" w:w="100"/>
              <w:bottom w:type="dxa" w:w="80"/>
              <w:right w:type="dxa" w:w="100"/>
            </w:tcMar>
            <w:vAlign w:val="center"/>
          </w:tcPr>
          <w:p>
            <w:r>
              <w:rPr>
                <w:b w:val="false"/>
                <w:bCs w:val="false"/>
                <w:color w:val="1A1A1A"/>
                <w:sz w:val="19"/>
                <w:szCs w:val="19"/>
              </w:rPr>
              <w:t xml:space="preserve">id, session_id, clinician_id, field_ref, action (accept/edit/reject), previous_value, new_value, reason, acted_at</w:t>
            </w:r>
          </w:p>
        </w:tc>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Full version history; never overwrites structured_history in place</w:t>
            </w:r>
          </w:p>
        </w:tc>
      </w:tr>
      <w:tr>
        <w:tc>
          <w:tcPr>
            <w:tcW w:type="dxa" w:w="1800"/>
            <w:tcMar>
              <w:top w:type="dxa" w:w="80"/>
              <w:left w:type="dxa" w:w="100"/>
              <w:bottom w:type="dxa" w:w="80"/>
              <w:right w:type="dxa" w:w="100"/>
            </w:tcMar>
            <w:vAlign w:val="center"/>
          </w:tcPr>
          <w:p>
            <w:r>
              <w:rPr>
                <w:b w:val="false"/>
                <w:bCs w:val="false"/>
                <w:color w:val="1A1A1A"/>
                <w:sz w:val="19"/>
                <w:szCs w:val="19"/>
              </w:rPr>
              <w:t xml:space="preserve">fhir_bundles</w:t>
            </w:r>
          </w:p>
        </w:tc>
        <w:tc>
          <w:tcPr>
            <w:tcW w:type="dxa" w:w="4600"/>
            <w:tcMar>
              <w:top w:type="dxa" w:w="80"/>
              <w:left w:type="dxa" w:w="100"/>
              <w:bottom w:type="dxa" w:w="80"/>
              <w:right w:type="dxa" w:w="100"/>
            </w:tcMar>
            <w:vAlign w:val="center"/>
          </w:tcPr>
          <w:p>
            <w:r>
              <w:rPr>
                <w:b w:val="false"/>
                <w:bCs w:val="false"/>
                <w:color w:val="1A1A1A"/>
                <w:sz w:val="19"/>
                <w:szCs w:val="19"/>
              </w:rPr>
              <w:t xml:space="preserve">id, attested_record_id, bundle_json, validator_name, validator_version, validation_result, generated_at</w:t>
            </w:r>
          </w:p>
        </w:tc>
        <w:tc>
          <w:tcPr>
            <w:tcW w:type="dxa" w:w="2600"/>
            <w:tcMar>
              <w:top w:type="dxa" w:w="80"/>
              <w:left w:type="dxa" w:w="100"/>
              <w:bottom w:type="dxa" w:w="80"/>
              <w:right w:type="dxa" w:w="100"/>
            </w:tcMar>
            <w:vAlign w:val="center"/>
          </w:tcPr>
          <w:p>
            <w:r>
              <w:rPr>
                <w:b w:val="false"/>
                <w:bCs w:val="false"/>
                <w:color w:val="1A1A1A"/>
                <w:sz w:val="19"/>
                <w:szCs w:val="19"/>
              </w:rPr>
              <w:t xml:space="preserve">One row per export attempt, including failed validations for audit</w:t>
            </w:r>
          </w:p>
        </w:tc>
      </w:tr>
    </w:tbl>
    <w:p>
      <w:pPr>
        <w:pStyle w:val="Heading2"/>
        <w:spacing w:after="150" w:before="300"/>
      </w:pPr>
      <w:r>
        <w:rPr>
          <w:b/>
          <w:bCs/>
          <w:color w:val="2F5D62"/>
          <w:sz w:val="26"/>
          <w:szCs w:val="26"/>
        </w:rPr>
        <w:t xml:space="preserve">6.4 Cross-cutting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00"/>
      </w:tblGrid>
      <w:tr>
        <w:trPr>
          <w:tblHeader/>
        </w:trPr>
        <w:tc>
          <w:tcPr>
            <w:tcW w:type="dxa" w:w="1800"/>
            <w:shd w:fill="2F5D62" w:val="clear"/>
            <w:tcMar>
              <w:top w:type="dxa" w:w="80"/>
              <w:left w:type="dxa" w:w="100"/>
              <w:bottom w:type="dxa" w:w="80"/>
              <w:right w:type="dxa" w:w="100"/>
            </w:tcMar>
            <w:vAlign w:val="center"/>
          </w:tcPr>
          <w:p>
            <w:r>
              <w:rPr>
                <w:b/>
                <w:bCs/>
                <w:color w:val="FFFFFF"/>
                <w:sz w:val="19"/>
                <w:szCs w:val="19"/>
              </w:rPr>
              <w:t xml:space="preserve">Table</w:t>
            </w:r>
          </w:p>
        </w:tc>
        <w:tc>
          <w:tcPr>
            <w:tcW w:type="dxa" w:w="4600"/>
            <w:shd w:fill="2F5D62" w:val="clear"/>
            <w:tcMar>
              <w:top w:type="dxa" w:w="80"/>
              <w:left w:type="dxa" w:w="100"/>
              <w:bottom w:type="dxa" w:w="80"/>
              <w:right w:type="dxa" w:w="100"/>
            </w:tcMar>
            <w:vAlign w:val="center"/>
          </w:tcPr>
          <w:p>
            <w:r>
              <w:rPr>
                <w:b/>
                <w:bCs/>
                <w:color w:val="FFFFFF"/>
                <w:sz w:val="19"/>
                <w:szCs w:val="19"/>
              </w:rPr>
              <w:t xml:space="preserve">Key columns</w:t>
            </w:r>
          </w:p>
        </w:tc>
        <w:tc>
          <w:tcPr>
            <w:tcW w:type="dxa" w:w="2600"/>
            <w:shd w:fill="2F5D62" w:val="clear"/>
            <w:tcMar>
              <w:top w:type="dxa" w:w="80"/>
              <w:left w:type="dxa" w:w="100"/>
              <w:bottom w:type="dxa" w:w="80"/>
              <w:right w:type="dxa" w:w="100"/>
            </w:tcMar>
            <w:vAlign w:val="center"/>
          </w:tcPr>
          <w:p>
            <w:r>
              <w:rPr>
                <w:b/>
                <w:bCs/>
                <w:color w:val="FFFFFF"/>
                <w:sz w:val="19"/>
                <w:szCs w:val="19"/>
              </w:rPr>
              <w:t xml:space="preserve">Notes</w:t>
            </w:r>
          </w:p>
        </w:tc>
      </w:tr>
      <w:tr>
        <w:tc>
          <w:tcPr>
            <w:tcW w:type="dxa" w:w="1800"/>
            <w:tcMar>
              <w:top w:type="dxa" w:w="80"/>
              <w:left w:type="dxa" w:w="100"/>
              <w:bottom w:type="dxa" w:w="80"/>
              <w:right w:type="dxa" w:w="100"/>
            </w:tcMar>
            <w:vAlign w:val="center"/>
          </w:tcPr>
          <w:p>
            <w:r>
              <w:rPr>
                <w:b w:val="false"/>
                <w:bCs w:val="false"/>
                <w:color w:val="1A1A1A"/>
                <w:sz w:val="19"/>
                <w:szCs w:val="19"/>
              </w:rPr>
              <w:t xml:space="preserve">users_staff</w:t>
            </w:r>
          </w:p>
        </w:tc>
        <w:tc>
          <w:tcPr>
            <w:tcW w:type="dxa" w:w="4600"/>
            <w:tcMar>
              <w:top w:type="dxa" w:w="80"/>
              <w:left w:type="dxa" w:w="100"/>
              <w:bottom w:type="dxa" w:w="80"/>
              <w:right w:type="dxa" w:w="100"/>
            </w:tcMar>
            <w:vAlign w:val="center"/>
          </w:tcPr>
          <w:p>
            <w:r>
              <w:rPr>
                <w:b w:val="false"/>
                <w:bCs w:val="false"/>
                <w:color w:val="1A1A1A"/>
                <w:sz w:val="19"/>
                <w:szCs w:val="19"/>
              </w:rPr>
              <w:t xml:space="preserve">id, name, role (clinician/triage_nurse/kiosk_attendant/admin), auth_ref</w:t>
            </w:r>
          </w:p>
        </w:tc>
        <w:tc>
          <w:tcPr>
            <w:tcW w:type="dxa" w:w="2600"/>
            <w:tcMar>
              <w:top w:type="dxa" w:w="80"/>
              <w:left w:type="dxa" w:w="100"/>
              <w:bottom w:type="dxa" w:w="80"/>
              <w:right w:type="dxa" w:w="100"/>
            </w:tcMar>
            <w:vAlign w:val="center"/>
          </w:tcPr>
          <w:p>
            <w:r>
              <w:rPr>
                <w:b w:val="false"/>
                <w:bCs w:val="false"/>
                <w:color w:val="1A1A1A"/>
                <w:sz w:val="19"/>
                <w:szCs w:val="19"/>
              </w:rPr>
              <w:t xml:space="preserve">Role-based access control source</w:t>
            </w:r>
          </w:p>
        </w:tc>
      </w:tr>
      <w:tr>
        <w:tc>
          <w:tcPr>
            <w:tcW w:type="dxa" w:w="1800"/>
            <w:shd w:fill="F5F8F8" w:val="clear"/>
            <w:tcMar>
              <w:top w:type="dxa" w:w="80"/>
              <w:left w:type="dxa" w:w="100"/>
              <w:bottom w:type="dxa" w:w="80"/>
              <w:right w:type="dxa" w:w="100"/>
            </w:tcMar>
            <w:vAlign w:val="center"/>
          </w:tcPr>
          <w:p>
            <w:r>
              <w:rPr>
                <w:b w:val="false"/>
                <w:bCs w:val="false"/>
                <w:color w:val="1A1A1A"/>
                <w:sz w:val="19"/>
                <w:szCs w:val="19"/>
              </w:rPr>
              <w:t xml:space="preserve">audit_log</w:t>
            </w:r>
          </w:p>
        </w:tc>
        <w:tc>
          <w:tcPr>
            <w:tcW w:type="dxa" w:w="4600"/>
            <w:shd w:fill="F5F8F8" w:val="clear"/>
            <w:tcMar>
              <w:top w:type="dxa" w:w="80"/>
              <w:left w:type="dxa" w:w="100"/>
              <w:bottom w:type="dxa" w:w="80"/>
              <w:right w:type="dxa" w:w="100"/>
            </w:tcMar>
            <w:vAlign w:val="center"/>
          </w:tcPr>
          <w:p>
            <w:r>
              <w:rPr>
                <w:b w:val="false"/>
                <w:bCs w:val="false"/>
                <w:color w:val="1A1A1A"/>
                <w:sz w:val="19"/>
                <w:szCs w:val="19"/>
              </w:rPr>
              <w:t xml:space="preserve">id, actor_id, actor_type (patient/staff/system), action, table_ref, record_ref, at</w:t>
            </w:r>
          </w:p>
        </w:tc>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Every state-changing operation across all layers</w:t>
            </w:r>
          </w:p>
        </w:tc>
      </w:tr>
      <w:tr>
        <w:tc>
          <w:tcPr>
            <w:tcW w:type="dxa" w:w="1800"/>
            <w:tcMar>
              <w:top w:type="dxa" w:w="80"/>
              <w:left w:type="dxa" w:w="100"/>
              <w:bottom w:type="dxa" w:w="80"/>
              <w:right w:type="dxa" w:w="100"/>
            </w:tcMar>
            <w:vAlign w:val="center"/>
          </w:tcPr>
          <w:p>
            <w:r>
              <w:rPr>
                <w:b w:val="false"/>
                <w:bCs w:val="false"/>
                <w:color w:val="1A1A1A"/>
                <w:sz w:val="19"/>
                <w:szCs w:val="19"/>
              </w:rPr>
              <w:t xml:space="preserve">terminology_versions</w:t>
            </w:r>
          </w:p>
        </w:tc>
        <w:tc>
          <w:tcPr>
            <w:tcW w:type="dxa" w:w="4600"/>
            <w:tcMar>
              <w:top w:type="dxa" w:w="80"/>
              <w:left w:type="dxa" w:w="100"/>
              <w:bottom w:type="dxa" w:w="80"/>
              <w:right w:type="dxa" w:w="100"/>
            </w:tcMar>
            <w:vAlign w:val="center"/>
          </w:tcPr>
          <w:p>
            <w:r>
              <w:rPr>
                <w:b w:val="false"/>
                <w:bCs w:val="false"/>
                <w:color w:val="1A1A1A"/>
                <w:sz w:val="19"/>
                <w:szCs w:val="19"/>
              </w:rPr>
              <w:t xml:space="preserve">id, system (SNOMED/LOINC/ICD-11/NAMASTE), version, effective_from</w:t>
            </w:r>
          </w:p>
        </w:tc>
        <w:tc>
          <w:tcPr>
            <w:tcW w:type="dxa" w:w="2600"/>
            <w:tcMar>
              <w:top w:type="dxa" w:w="80"/>
              <w:left w:type="dxa" w:w="100"/>
              <w:bottom w:type="dxa" w:w="80"/>
              <w:right w:type="dxa" w:w="100"/>
            </w:tcMar>
            <w:vAlign w:val="center"/>
          </w:tcPr>
          <w:p>
            <w:r>
              <w:rPr>
                <w:b w:val="false"/>
                <w:bCs w:val="false"/>
                <w:color w:val="1A1A1A"/>
                <w:sz w:val="19"/>
                <w:szCs w:val="19"/>
              </w:rPr>
              <w:t xml:space="preserve">Tracks which coding-system version was active for a given attested record</w:t>
            </w:r>
          </w:p>
        </w:tc>
      </w:tr>
    </w:tbl>
    <w:p>
      <w:pPr>
        <w:pStyle w:val="Heading1"/>
        <w:spacing w:after="200" w:before="400"/>
      </w:pPr>
      <w:r>
        <w:rPr>
          <w:b/>
          <w:bCs/>
          <w:color w:val="2F5D62"/>
          <w:sz w:val="32"/>
          <w:szCs w:val="32"/>
        </w:rPr>
        <w:t xml:space="preserve">7. Next.js API Route Contract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200"/>
      </w:tblGrid>
      <w:tr>
        <w:trPr>
          <w:tblHeader/>
        </w:trPr>
        <w:tc>
          <w:tcPr>
            <w:tcW w:type="dxa" w:w="3400"/>
            <w:shd w:fill="2F5D62" w:val="clear"/>
            <w:tcMar>
              <w:top w:type="dxa" w:w="80"/>
              <w:left w:type="dxa" w:w="100"/>
              <w:bottom w:type="dxa" w:w="80"/>
              <w:right w:type="dxa" w:w="100"/>
            </w:tcMar>
            <w:vAlign w:val="center"/>
          </w:tcPr>
          <w:p>
            <w:r>
              <w:rPr>
                <w:b/>
                <w:bCs/>
                <w:color w:val="FFFFFF"/>
                <w:sz w:val="19"/>
                <w:szCs w:val="19"/>
              </w:rPr>
              <w:t xml:space="preserve">Route</w:t>
            </w:r>
          </w:p>
        </w:tc>
        <w:tc>
          <w:tcPr>
            <w:tcW w:type="dxa" w:w="1400"/>
            <w:shd w:fill="2F5D62" w:val="clear"/>
            <w:tcMar>
              <w:top w:type="dxa" w:w="80"/>
              <w:left w:type="dxa" w:w="100"/>
              <w:bottom w:type="dxa" w:w="80"/>
              <w:right w:type="dxa" w:w="100"/>
            </w:tcMar>
            <w:vAlign w:val="center"/>
          </w:tcPr>
          <w:p>
            <w:r>
              <w:rPr>
                <w:b/>
                <w:bCs/>
                <w:color w:val="FFFFFF"/>
                <w:sz w:val="19"/>
                <w:szCs w:val="19"/>
              </w:rPr>
              <w:t xml:space="preserve">Method</w:t>
            </w:r>
          </w:p>
        </w:tc>
        <w:tc>
          <w:tcPr>
            <w:tcW w:type="dxa" w:w="4200"/>
            <w:shd w:fill="2F5D62" w:val="clear"/>
            <w:tcMar>
              <w:top w:type="dxa" w:w="80"/>
              <w:left w:type="dxa" w:w="100"/>
              <w:bottom w:type="dxa" w:w="80"/>
              <w:right w:type="dxa" w:w="100"/>
            </w:tcMar>
            <w:vAlign w:val="center"/>
          </w:tcPr>
          <w:p>
            <w:r>
              <w:rPr>
                <w:b/>
                <w:bCs/>
                <w:color w:val="FFFFFF"/>
                <w:sz w:val="19"/>
                <w:szCs w:val="19"/>
              </w:rPr>
              <w:t xml:space="preserve">Purpose</w:t>
            </w:r>
          </w:p>
        </w:tc>
      </w:tr>
      <w:tr>
        <w:tc>
          <w:tcPr>
            <w:tcW w:type="dxa" w:w="3400"/>
            <w:tcMar>
              <w:top w:type="dxa" w:w="80"/>
              <w:left w:type="dxa" w:w="100"/>
              <w:bottom w:type="dxa" w:w="80"/>
              <w:right w:type="dxa" w:w="100"/>
            </w:tcMar>
            <w:vAlign w:val="center"/>
          </w:tcPr>
          <w:p>
            <w:r>
              <w:rPr>
                <w:b w:val="false"/>
                <w:bCs w:val="false"/>
                <w:color w:val="1A1A1A"/>
                <w:sz w:val="19"/>
                <w:szCs w:val="19"/>
              </w:rPr>
              <w:t xml:space="preserve">/api/session</w:t>
            </w:r>
          </w:p>
        </w:tc>
        <w:tc>
          <w:tcPr>
            <w:tcW w:type="dxa" w:w="1400"/>
            <w:tcMar>
              <w:top w:type="dxa" w:w="80"/>
              <w:left w:type="dxa" w:w="100"/>
              <w:bottom w:type="dxa" w:w="80"/>
              <w:right w:type="dxa" w:w="100"/>
            </w:tcMar>
            <w:vAlign w:val="center"/>
          </w:tcPr>
          <w:p>
            <w:r>
              <w:rPr>
                <w:b w:val="false"/>
                <w:bCs w:val="false"/>
                <w:color w:val="1A1A1A"/>
                <w:sz w:val="19"/>
                <w:szCs w:val="19"/>
              </w:rPr>
              <w:t xml:space="preserve">POST</w:t>
            </w:r>
          </w:p>
        </w:tc>
        <w:tc>
          <w:tcPr>
            <w:tcW w:type="dxa" w:w="4200"/>
            <w:tcMar>
              <w:top w:type="dxa" w:w="80"/>
              <w:left w:type="dxa" w:w="100"/>
              <w:bottom w:type="dxa" w:w="80"/>
              <w:right w:type="dxa" w:w="100"/>
            </w:tcMar>
            <w:vAlign w:val="center"/>
          </w:tcPr>
          <w:p>
            <w:r>
              <w:rPr>
                <w:b w:val="false"/>
                <w:bCs w:val="false"/>
                <w:color w:val="1A1A1A"/>
                <w:sz w:val="19"/>
                <w:szCs w:val="19"/>
              </w:rPr>
              <w:t xml:space="preserve">Create a new kiosk session (language, queue/ABHA id)</w:t>
            </w:r>
          </w:p>
        </w:tc>
      </w:tr>
      <w:tr>
        <w:tc>
          <w:tcPr>
            <w:tcW w:type="dxa" w:w="3400"/>
            <w:shd w:fill="F5F8F8" w:val="clear"/>
            <w:tcMar>
              <w:top w:type="dxa" w:w="80"/>
              <w:left w:type="dxa" w:w="100"/>
              <w:bottom w:type="dxa" w:w="80"/>
              <w:right w:type="dxa" w:w="100"/>
            </w:tcMar>
            <w:vAlign w:val="center"/>
          </w:tcPr>
          <w:p>
            <w:r>
              <w:rPr>
                <w:b w:val="false"/>
                <w:bCs w:val="false"/>
                <w:color w:val="1A1A1A"/>
                <w:sz w:val="19"/>
                <w:szCs w:val="19"/>
              </w:rPr>
              <w:t xml:space="preserve">/api/session/:id/consent</w:t>
            </w:r>
          </w:p>
        </w:tc>
        <w:tc>
          <w:tcPr>
            <w:tcW w:type="dxa" w:w="1400"/>
            <w:shd w:fill="F5F8F8" w:val="clear"/>
            <w:tcMar>
              <w:top w:type="dxa" w:w="80"/>
              <w:left w:type="dxa" w:w="100"/>
              <w:bottom w:type="dxa" w:w="80"/>
              <w:right w:type="dxa" w:w="100"/>
            </w:tcMar>
            <w:vAlign w:val="center"/>
          </w:tcPr>
          <w:p>
            <w:r>
              <w:rPr>
                <w:b w:val="false"/>
                <w:bCs w:val="false"/>
                <w:color w:val="1A1A1A"/>
                <w:sz w:val="19"/>
                <w:szCs w:val="19"/>
              </w:rPr>
              <w:t xml:space="preserve">POST</w:t>
            </w:r>
          </w:p>
        </w:tc>
        <w:tc>
          <w:tcPr>
            <w:tcW w:type="dxa" w:w="4200"/>
            <w:shd w:fill="F5F8F8" w:val="clear"/>
            <w:tcMar>
              <w:top w:type="dxa" w:w="80"/>
              <w:left w:type="dxa" w:w="100"/>
              <w:bottom w:type="dxa" w:w="80"/>
              <w:right w:type="dxa" w:w="100"/>
            </w:tcMar>
            <w:vAlign w:val="center"/>
          </w:tcPr>
          <w:p>
            <w:r>
              <w:rPr>
                <w:b w:val="false"/>
                <w:bCs w:val="false"/>
                <w:color w:val="1A1A1A"/>
                <w:sz w:val="19"/>
                <w:szCs w:val="19"/>
              </w:rPr>
              <w:t xml:space="preserve">Record consent</w:t>
            </w:r>
          </w:p>
        </w:tc>
      </w:tr>
      <w:tr>
        <w:tc>
          <w:tcPr>
            <w:tcW w:type="dxa" w:w="3400"/>
            <w:tcMar>
              <w:top w:type="dxa" w:w="80"/>
              <w:left w:type="dxa" w:w="100"/>
              <w:bottom w:type="dxa" w:w="80"/>
              <w:right w:type="dxa" w:w="100"/>
            </w:tcMar>
            <w:vAlign w:val="center"/>
          </w:tcPr>
          <w:p>
            <w:r>
              <w:rPr>
                <w:b w:val="false"/>
                <w:bCs w:val="false"/>
                <w:color w:val="1A1A1A"/>
                <w:sz w:val="19"/>
                <w:szCs w:val="19"/>
              </w:rPr>
              <w:t xml:space="preserve">/api/session/:id/converse</w:t>
            </w:r>
          </w:p>
        </w:tc>
        <w:tc>
          <w:tcPr>
            <w:tcW w:type="dxa" w:w="1400"/>
            <w:tcMar>
              <w:top w:type="dxa" w:w="80"/>
              <w:left w:type="dxa" w:w="100"/>
              <w:bottom w:type="dxa" w:w="80"/>
              <w:right w:type="dxa" w:w="100"/>
            </w:tcMar>
            <w:vAlign w:val="center"/>
          </w:tcPr>
          <w:p>
            <w:r>
              <w:rPr>
                <w:b w:val="false"/>
                <w:bCs w:val="false"/>
                <w:color w:val="1A1A1A"/>
                <w:sz w:val="19"/>
                <w:szCs w:val="19"/>
              </w:rPr>
              <w:t xml:space="preserve">POST</w:t>
            </w:r>
          </w:p>
        </w:tc>
        <w:tc>
          <w:tcPr>
            <w:tcW w:type="dxa" w:w="4200"/>
            <w:tcMar>
              <w:top w:type="dxa" w:w="80"/>
              <w:left w:type="dxa" w:w="100"/>
              <w:bottom w:type="dxa" w:w="80"/>
              <w:right w:type="dxa" w:w="100"/>
            </w:tcMar>
            <w:vAlign w:val="center"/>
          </w:tcPr>
          <w:p>
            <w:r>
              <w:rPr>
                <w:b w:val="false"/>
                <w:bCs w:val="false"/>
                <w:color w:val="1A1A1A"/>
                <w:sz w:val="19"/>
                <w:szCs w:val="19"/>
              </w:rPr>
              <w:t xml:space="preserve">Send a patient turn (audio or touch payload) to the Voice AI Agent, return next prompt</w:t>
            </w:r>
          </w:p>
        </w:tc>
      </w:tr>
      <w:tr>
        <w:tc>
          <w:tcPr>
            <w:tcW w:type="dxa" w:w="3400"/>
            <w:shd w:fill="F5F8F8" w:val="clear"/>
            <w:tcMar>
              <w:top w:type="dxa" w:w="80"/>
              <w:left w:type="dxa" w:w="100"/>
              <w:bottom w:type="dxa" w:w="80"/>
              <w:right w:type="dxa" w:w="100"/>
            </w:tcMar>
            <w:vAlign w:val="center"/>
          </w:tcPr>
          <w:p>
            <w:r>
              <w:rPr>
                <w:b w:val="false"/>
                <w:bCs w:val="false"/>
                <w:color w:val="1A1A1A"/>
                <w:sz w:val="19"/>
                <w:szCs w:val="19"/>
              </w:rPr>
              <w:t xml:space="preserve">/api/session/:id/scan</w:t>
            </w:r>
          </w:p>
        </w:tc>
        <w:tc>
          <w:tcPr>
            <w:tcW w:type="dxa" w:w="1400"/>
            <w:shd w:fill="F5F8F8" w:val="clear"/>
            <w:tcMar>
              <w:top w:type="dxa" w:w="80"/>
              <w:left w:type="dxa" w:w="100"/>
              <w:bottom w:type="dxa" w:w="80"/>
              <w:right w:type="dxa" w:w="100"/>
            </w:tcMar>
            <w:vAlign w:val="center"/>
          </w:tcPr>
          <w:p>
            <w:r>
              <w:rPr>
                <w:b w:val="false"/>
                <w:bCs w:val="false"/>
                <w:color w:val="1A1A1A"/>
                <w:sz w:val="19"/>
                <w:szCs w:val="19"/>
              </w:rPr>
              <w:t xml:space="preserve">POST</w:t>
            </w:r>
          </w:p>
        </w:tc>
        <w:tc>
          <w:tcPr>
            <w:tcW w:type="dxa" w:w="4200"/>
            <w:shd w:fill="F5F8F8" w:val="clear"/>
            <w:tcMar>
              <w:top w:type="dxa" w:w="80"/>
              <w:left w:type="dxa" w:w="100"/>
              <w:bottom w:type="dxa" w:w="80"/>
              <w:right w:type="dxa" w:w="100"/>
            </w:tcMar>
            <w:vAlign w:val="center"/>
          </w:tcPr>
          <w:p>
            <w:r>
              <w:rPr>
                <w:b w:val="false"/>
                <w:bCs w:val="false"/>
                <w:color w:val="1A1A1A"/>
                <w:sz w:val="19"/>
                <w:szCs w:val="19"/>
              </w:rPr>
              <w:t xml:space="preserve">Upload a document; runs quality check + Gemini extraction</w:t>
            </w:r>
          </w:p>
        </w:tc>
      </w:tr>
      <w:tr>
        <w:tc>
          <w:tcPr>
            <w:tcW w:type="dxa" w:w="3400"/>
            <w:tcMar>
              <w:top w:type="dxa" w:w="80"/>
              <w:left w:type="dxa" w:w="100"/>
              <w:bottom w:type="dxa" w:w="80"/>
              <w:right w:type="dxa" w:w="100"/>
            </w:tcMar>
            <w:vAlign w:val="center"/>
          </w:tcPr>
          <w:p>
            <w:r>
              <w:rPr>
                <w:b w:val="false"/>
                <w:bCs w:val="false"/>
                <w:color w:val="1A1A1A"/>
                <w:sz w:val="19"/>
                <w:szCs w:val="19"/>
              </w:rPr>
              <w:t xml:space="preserve">/api/session/:id/summary</w:t>
            </w:r>
          </w:p>
        </w:tc>
        <w:tc>
          <w:tcPr>
            <w:tcW w:type="dxa" w:w="1400"/>
            <w:tcMar>
              <w:top w:type="dxa" w:w="80"/>
              <w:left w:type="dxa" w:w="100"/>
              <w:bottom w:type="dxa" w:w="80"/>
              <w:right w:type="dxa" w:w="100"/>
            </w:tcMar>
            <w:vAlign w:val="center"/>
          </w:tcPr>
          <w:p>
            <w:r>
              <w:rPr>
                <w:b w:val="false"/>
                <w:bCs w:val="false"/>
                <w:color w:val="1A1A1A"/>
                <w:sz w:val="19"/>
                <w:szCs w:val="19"/>
              </w:rPr>
              <w:t xml:space="preserve">POST</w:t>
            </w:r>
          </w:p>
        </w:tc>
        <w:tc>
          <w:tcPr>
            <w:tcW w:type="dxa" w:w="4200"/>
            <w:tcMar>
              <w:top w:type="dxa" w:w="80"/>
              <w:left w:type="dxa" w:w="100"/>
              <w:bottom w:type="dxa" w:w="80"/>
              <w:right w:type="dxa" w:w="100"/>
            </w:tcMar>
            <w:vAlign w:val="center"/>
          </w:tcPr>
          <w:p>
            <w:r>
              <w:rPr>
                <w:b w:val="false"/>
                <w:bCs w:val="false"/>
                <w:color w:val="1A1A1A"/>
                <w:sz w:val="19"/>
                <w:szCs w:val="19"/>
              </w:rPr>
              <w:t xml:space="preserve">Trigger summary generation + reconciliation over the draft layer</w:t>
            </w:r>
          </w:p>
        </w:tc>
      </w:tr>
      <w:tr>
        <w:tc>
          <w:tcPr>
            <w:tcW w:type="dxa" w:w="3400"/>
            <w:shd w:fill="F5F8F8" w:val="clear"/>
            <w:tcMar>
              <w:top w:type="dxa" w:w="80"/>
              <w:left w:type="dxa" w:w="100"/>
              <w:bottom w:type="dxa" w:w="80"/>
              <w:right w:type="dxa" w:w="100"/>
            </w:tcMar>
            <w:vAlign w:val="center"/>
          </w:tcPr>
          <w:p>
            <w:r>
              <w:rPr>
                <w:b w:val="false"/>
                <w:bCs w:val="false"/>
                <w:color w:val="1A1A1A"/>
                <w:sz w:val="19"/>
                <w:szCs w:val="19"/>
              </w:rPr>
              <w:t xml:space="preserve">/api/session/:id/red-flag</w:t>
            </w:r>
          </w:p>
        </w:tc>
        <w:tc>
          <w:tcPr>
            <w:tcW w:type="dxa" w:w="1400"/>
            <w:shd w:fill="F5F8F8" w:val="clear"/>
            <w:tcMar>
              <w:top w:type="dxa" w:w="80"/>
              <w:left w:type="dxa" w:w="100"/>
              <w:bottom w:type="dxa" w:w="80"/>
              <w:right w:type="dxa" w:w="100"/>
            </w:tcMar>
            <w:vAlign w:val="center"/>
          </w:tcPr>
          <w:p>
            <w:r>
              <w:rPr>
                <w:b w:val="false"/>
                <w:bCs w:val="false"/>
                <w:color w:val="1A1A1A"/>
                <w:sz w:val="19"/>
                <w:szCs w:val="19"/>
              </w:rPr>
              <w:t xml:space="preserve">GET / WS</w:t>
            </w:r>
          </w:p>
        </w:tc>
        <w:tc>
          <w:tcPr>
            <w:tcW w:type="dxa" w:w="4200"/>
            <w:shd w:fill="F5F8F8" w:val="clear"/>
            <w:tcMar>
              <w:top w:type="dxa" w:w="80"/>
              <w:left w:type="dxa" w:w="100"/>
              <w:bottom w:type="dxa" w:w="80"/>
              <w:right w:type="dxa" w:w="100"/>
            </w:tcMar>
            <w:vAlign w:val="center"/>
          </w:tcPr>
          <w:p>
            <w:r>
              <w:rPr>
                <w:b w:val="false"/>
                <w:bCs w:val="false"/>
                <w:color w:val="1A1A1A"/>
                <w:sz w:val="19"/>
                <w:szCs w:val="19"/>
              </w:rPr>
              <w:t xml:space="preserve">Real-time feed for triage dashboard alerts</w:t>
            </w:r>
          </w:p>
        </w:tc>
      </w:tr>
      <w:tr>
        <w:tc>
          <w:tcPr>
            <w:tcW w:type="dxa" w:w="3400"/>
            <w:tcMar>
              <w:top w:type="dxa" w:w="80"/>
              <w:left w:type="dxa" w:w="100"/>
              <w:bottom w:type="dxa" w:w="80"/>
              <w:right w:type="dxa" w:w="100"/>
            </w:tcMar>
            <w:vAlign w:val="center"/>
          </w:tcPr>
          <w:p>
            <w:r>
              <w:rPr>
                <w:b w:val="false"/>
                <w:bCs w:val="false"/>
                <w:color w:val="1A1A1A"/>
                <w:sz w:val="19"/>
                <w:szCs w:val="19"/>
              </w:rPr>
              <w:t xml:space="preserve">/api/clinician/queue</w:t>
            </w:r>
          </w:p>
        </w:tc>
        <w:tc>
          <w:tcPr>
            <w:tcW w:type="dxa" w:w="1400"/>
            <w:tcMar>
              <w:top w:type="dxa" w:w="80"/>
              <w:left w:type="dxa" w:w="100"/>
              <w:bottom w:type="dxa" w:w="80"/>
              <w:right w:type="dxa" w:w="100"/>
            </w:tcMar>
            <w:vAlign w:val="center"/>
          </w:tcPr>
          <w:p>
            <w:r>
              <w:rPr>
                <w:b w:val="false"/>
                <w:bCs w:val="false"/>
                <w:color w:val="1A1A1A"/>
                <w:sz w:val="19"/>
                <w:szCs w:val="19"/>
              </w:rPr>
              <w:t xml:space="preserve">GET</w:t>
            </w:r>
          </w:p>
        </w:tc>
        <w:tc>
          <w:tcPr>
            <w:tcW w:type="dxa" w:w="4200"/>
            <w:tcMar>
              <w:top w:type="dxa" w:w="80"/>
              <w:left w:type="dxa" w:w="100"/>
              <w:bottom w:type="dxa" w:w="80"/>
              <w:right w:type="dxa" w:w="100"/>
            </w:tcMar>
            <w:vAlign w:val="center"/>
          </w:tcPr>
          <w:p>
            <w:r>
              <w:rPr>
                <w:b w:val="false"/>
                <w:bCs w:val="false"/>
                <w:color w:val="1A1A1A"/>
                <w:sz w:val="19"/>
                <w:szCs w:val="19"/>
              </w:rPr>
              <w:t xml:space="preserve">List sessions awaiting or in review</w:t>
            </w:r>
          </w:p>
        </w:tc>
      </w:tr>
      <w:tr>
        <w:tc>
          <w:tcPr>
            <w:tcW w:type="dxa" w:w="3400"/>
            <w:shd w:fill="F5F8F8" w:val="clear"/>
            <w:tcMar>
              <w:top w:type="dxa" w:w="80"/>
              <w:left w:type="dxa" w:w="100"/>
              <w:bottom w:type="dxa" w:w="80"/>
              <w:right w:type="dxa" w:w="100"/>
            </w:tcMar>
            <w:vAlign w:val="center"/>
          </w:tcPr>
          <w:p>
            <w:r>
              <w:rPr>
                <w:b w:val="false"/>
                <w:bCs w:val="false"/>
                <w:color w:val="1A1A1A"/>
                <w:sz w:val="19"/>
                <w:szCs w:val="19"/>
              </w:rPr>
              <w:t xml:space="preserve">/api/clinician/session/:id/review</w:t>
            </w:r>
          </w:p>
        </w:tc>
        <w:tc>
          <w:tcPr>
            <w:tcW w:type="dxa" w:w="1400"/>
            <w:shd w:fill="F5F8F8" w:val="clear"/>
            <w:tcMar>
              <w:top w:type="dxa" w:w="80"/>
              <w:left w:type="dxa" w:w="100"/>
              <w:bottom w:type="dxa" w:w="80"/>
              <w:right w:type="dxa" w:w="100"/>
            </w:tcMar>
            <w:vAlign w:val="center"/>
          </w:tcPr>
          <w:p>
            <w:r>
              <w:rPr>
                <w:b w:val="false"/>
                <w:bCs w:val="false"/>
                <w:color w:val="1A1A1A"/>
                <w:sz w:val="19"/>
                <w:szCs w:val="19"/>
              </w:rPr>
              <w:t xml:space="preserve">PATCH</w:t>
            </w:r>
          </w:p>
        </w:tc>
        <w:tc>
          <w:tcPr>
            <w:tcW w:type="dxa" w:w="4200"/>
            <w:shd w:fill="F5F8F8" w:val="clear"/>
            <w:tcMar>
              <w:top w:type="dxa" w:w="80"/>
              <w:left w:type="dxa" w:w="100"/>
              <w:bottom w:type="dxa" w:w="80"/>
              <w:right w:type="dxa" w:w="100"/>
            </w:tcMar>
            <w:vAlign w:val="center"/>
          </w:tcPr>
          <w:p>
            <w:r>
              <w:rPr>
                <w:b w:val="false"/>
                <w:bCs w:val="false"/>
                <w:color w:val="1A1A1A"/>
                <w:sz w:val="19"/>
                <w:szCs w:val="19"/>
              </w:rPr>
              <w:t xml:space="preserve">Section-level accept/edit/reject action</w:t>
            </w:r>
          </w:p>
        </w:tc>
      </w:tr>
      <w:tr>
        <w:tc>
          <w:tcPr>
            <w:tcW w:type="dxa" w:w="3400"/>
            <w:tcMar>
              <w:top w:type="dxa" w:w="80"/>
              <w:left w:type="dxa" w:w="100"/>
              <w:bottom w:type="dxa" w:w="80"/>
              <w:right w:type="dxa" w:w="100"/>
            </w:tcMar>
            <w:vAlign w:val="center"/>
          </w:tcPr>
          <w:p>
            <w:r>
              <w:rPr>
                <w:b w:val="false"/>
                <w:bCs w:val="false"/>
                <w:color w:val="1A1A1A"/>
                <w:sz w:val="19"/>
                <w:szCs w:val="19"/>
              </w:rPr>
              <w:t xml:space="preserve">/api/clinician/session/:id/attest</w:t>
            </w:r>
          </w:p>
        </w:tc>
        <w:tc>
          <w:tcPr>
            <w:tcW w:type="dxa" w:w="1400"/>
            <w:tcMar>
              <w:top w:type="dxa" w:w="80"/>
              <w:left w:type="dxa" w:w="100"/>
              <w:bottom w:type="dxa" w:w="80"/>
              <w:right w:type="dxa" w:w="100"/>
            </w:tcMar>
            <w:vAlign w:val="center"/>
          </w:tcPr>
          <w:p>
            <w:r>
              <w:rPr>
                <w:b w:val="false"/>
                <w:bCs w:val="false"/>
                <w:color w:val="1A1A1A"/>
                <w:sz w:val="19"/>
                <w:szCs w:val="19"/>
              </w:rPr>
              <w:t xml:space="preserve">POST</w:t>
            </w:r>
          </w:p>
        </w:tc>
        <w:tc>
          <w:tcPr>
            <w:tcW w:type="dxa" w:w="4200"/>
            <w:tcMar>
              <w:top w:type="dxa" w:w="80"/>
              <w:left w:type="dxa" w:w="100"/>
              <w:bottom w:type="dxa" w:w="80"/>
              <w:right w:type="dxa" w:w="100"/>
            </w:tcMar>
            <w:vAlign w:val="center"/>
          </w:tcPr>
          <w:p>
            <w:r>
              <w:rPr>
                <w:b w:val="false"/>
                <w:bCs w:val="false"/>
                <w:color w:val="1A1A1A"/>
                <w:sz w:val="19"/>
                <w:szCs w:val="19"/>
              </w:rPr>
              <w:t xml:space="preserve">Finalise attested record</w:t>
            </w:r>
          </w:p>
        </w:tc>
      </w:tr>
      <w:tr>
        <w:tc>
          <w:tcPr>
            <w:tcW w:type="dxa" w:w="3400"/>
            <w:shd w:fill="F5F8F8" w:val="clear"/>
            <w:tcMar>
              <w:top w:type="dxa" w:w="80"/>
              <w:left w:type="dxa" w:w="100"/>
              <w:bottom w:type="dxa" w:w="80"/>
              <w:right w:type="dxa" w:w="100"/>
            </w:tcMar>
            <w:vAlign w:val="center"/>
          </w:tcPr>
          <w:p>
            <w:r>
              <w:rPr>
                <w:b w:val="false"/>
                <w:bCs w:val="false"/>
                <w:color w:val="1A1A1A"/>
                <w:sz w:val="19"/>
                <w:szCs w:val="19"/>
              </w:rPr>
              <w:t xml:space="preserve">/api/clinician/session/:id/fhir</w:t>
            </w:r>
          </w:p>
        </w:tc>
        <w:tc>
          <w:tcPr>
            <w:tcW w:type="dxa" w:w="1400"/>
            <w:shd w:fill="F5F8F8" w:val="clear"/>
            <w:tcMar>
              <w:top w:type="dxa" w:w="80"/>
              <w:left w:type="dxa" w:w="100"/>
              <w:bottom w:type="dxa" w:w="80"/>
              <w:right w:type="dxa" w:w="100"/>
            </w:tcMar>
            <w:vAlign w:val="center"/>
          </w:tcPr>
          <w:p>
            <w:r>
              <w:rPr>
                <w:b w:val="false"/>
                <w:bCs w:val="false"/>
                <w:color w:val="1A1A1A"/>
                <w:sz w:val="19"/>
                <w:szCs w:val="19"/>
              </w:rPr>
              <w:t xml:space="preserve">POST</w:t>
            </w:r>
          </w:p>
        </w:tc>
        <w:tc>
          <w:tcPr>
            <w:tcW w:type="dxa" w:w="4200"/>
            <w:shd w:fill="F5F8F8" w:val="clear"/>
            <w:tcMar>
              <w:top w:type="dxa" w:w="80"/>
              <w:left w:type="dxa" w:w="100"/>
              <w:bottom w:type="dxa" w:w="80"/>
              <w:right w:type="dxa" w:w="100"/>
            </w:tcMar>
            <w:vAlign w:val="center"/>
          </w:tcPr>
          <w:p>
            <w:r>
              <w:rPr>
                <w:b w:val="false"/>
                <w:bCs w:val="false"/>
                <w:color w:val="1A1A1A"/>
                <w:sz w:val="19"/>
                <w:szCs w:val="19"/>
              </w:rPr>
              <w:t xml:space="preserve">Build + validate FHIR bundle from the attested record</w:t>
            </w:r>
          </w:p>
        </w:tc>
      </w:tr>
    </w:tbl>
    <w:p>
      <w:pPr>
        <w:pStyle w:val="Heading1"/>
        <w:spacing w:after="200" w:before="400"/>
      </w:pPr>
      <w:r>
        <w:rPr>
          <w:b/>
          <w:bCs/>
          <w:color w:val="2F5D62"/>
          <w:sz w:val="32"/>
          <w:szCs w:val="32"/>
        </w:rPr>
        <w:t xml:space="preserve">8. Deployment Topology</w:t>
      </w:r>
    </w:p>
    <w:p>
      <w:pPr>
        <w:pStyle w:val="ListParagraph"/>
        <w:numPr>
          <w:ilvl w:val="0"/>
          <w:numId w:val="1"/>
        </w:numPr>
        <w:spacing w:after="90"/>
      </w:pPr>
      <w:r>
        <w:rPr>
          <w:sz w:val="21"/>
          <w:szCs w:val="21"/>
        </w:rPr>
        <w:t xml:space="preserve">Next.js app deployed to a Node-compatible hosting platform (single deployable), serving both /kiosk and /clinician route groups; kiosk terminals run the /kiosk routes in a locked-down full-screen browser session.</w:t>
      </w:r>
    </w:p>
    <w:p>
      <w:pPr>
        <w:pStyle w:val="ListParagraph"/>
        <w:numPr>
          <w:ilvl w:val="0"/>
          <w:numId w:val="1"/>
        </w:numPr>
        <w:spacing w:after="90"/>
      </w:pPr>
      <w:r>
        <w:rPr>
          <w:sz w:val="21"/>
          <w:szCs w:val="21"/>
        </w:rPr>
        <w:t xml:space="preserve">Neon PostgreSQL reached via its serverless driver over HTTPS/WebSocket from server-side code only; a dedicated Neon branch is used for AI-evaluation test runs (Section 9 of the PRD) to avoid touching live/demo data.</w:t>
      </w:r>
    </w:p>
    <w:p>
      <w:pPr>
        <w:pStyle w:val="ListParagraph"/>
        <w:numPr>
          <w:ilvl w:val="0"/>
          <w:numId w:val="1"/>
        </w:numPr>
        <w:spacing w:after="90"/>
      </w:pPr>
      <w:r>
        <w:rPr>
          <w:sz w:val="21"/>
          <w:szCs w:val="21"/>
        </w:rPr>
        <w:t xml:space="preserve">Gemini and Voice AI Agent APIs are called exclusively from Next.js server routes with server-held credentials; no key or endpoint is exposed to the browser bundle.</w:t>
      </w:r>
    </w:p>
    <w:p>
      <w:pPr>
        <w:pStyle w:val="ListParagraph"/>
        <w:numPr>
          <w:ilvl w:val="0"/>
          <w:numId w:val="1"/>
        </w:numPr>
        <w:spacing w:after="90"/>
      </w:pPr>
      <w:r>
        <w:rPr>
          <w:sz w:val="21"/>
          <w:szCs w:val="21"/>
        </w:rPr>
        <w:t xml:space="preserve">ABDM gateway and target HIS/A-HMIS integration are mocked with local sandbox endpoints for the MVP, matching the Phase 1 out-of-scope statement; the FHIR export module is written against the same interface shape a real gateway would expose, so swapping the mock for a live endpoint later is a configuration change, not a rewrite.</w:t>
      </w:r>
    </w:p>
    <w:p>
      <w:pPr>
        <w:pStyle w:val="Heading1"/>
        <w:spacing w:after="200" w:before="400"/>
      </w:pPr>
      <w:r>
        <w:rPr>
          <w:b/>
          <w:bCs/>
          <w:color w:val="2F5D62"/>
          <w:sz w:val="32"/>
          <w:szCs w:val="32"/>
        </w:rPr>
        <w:t xml:space="preserve">9. Security Notes Specific to This Stack</w:t>
      </w:r>
    </w:p>
    <w:p>
      <w:pPr>
        <w:pStyle w:val="ListParagraph"/>
        <w:numPr>
          <w:ilvl w:val="0"/>
          <w:numId w:val="1"/>
        </w:numPr>
        <w:spacing w:after="90"/>
      </w:pPr>
      <w:r>
        <w:rPr>
          <w:sz w:val="21"/>
          <w:szCs w:val="21"/>
        </w:rPr>
        <w:t xml:space="preserve">All server routes enforce session-scoped access: a kiosk session can only read/write its own rows; clinician routes enforce role-based access via users_staff.</w:t>
      </w:r>
    </w:p>
    <w:p>
      <w:pPr>
        <w:pStyle w:val="ListParagraph"/>
        <w:numPr>
          <w:ilvl w:val="0"/>
          <w:numId w:val="1"/>
        </w:numPr>
        <w:spacing w:after="90"/>
      </w:pPr>
      <w:r>
        <w:rPr>
          <w:sz w:val="21"/>
          <w:szCs w:val="21"/>
        </w:rPr>
        <w:t xml:space="preserve">Uploaded documents are validated for file type and scanned before being sent to Gemini or persisted, per the PRD's B1 requirement.</w:t>
      </w:r>
    </w:p>
    <w:p>
      <w:pPr>
        <w:pStyle w:val="ListParagraph"/>
        <w:numPr>
          <w:ilvl w:val="0"/>
          <w:numId w:val="1"/>
        </w:numPr>
        <w:spacing w:after="90"/>
      </w:pPr>
      <w:r>
        <w:rPr>
          <w:sz w:val="21"/>
          <w:szCs w:val="21"/>
        </w:rPr>
        <w:t xml:space="preserve">Gemini and Voice AI Agent calls carry only the minimum data needed per call (e.g., the current document image, not the patient's full history) unless the dialogue context genuinely requires prior answers.</w:t>
      </w:r>
    </w:p>
    <w:p>
      <w:pPr>
        <w:pStyle w:val="ListParagraph"/>
        <w:numPr>
          <w:ilvl w:val="0"/>
          <w:numId w:val="1"/>
        </w:numPr>
        <w:spacing w:after="90"/>
      </w:pPr>
      <w:r>
        <w:rPr>
          <w:sz w:val="21"/>
          <w:szCs w:val="21"/>
        </w:rPr>
        <w:t xml:space="preserve">Neon connection strings and AI API keys are stored as server-side environment variables only, never bundled into client JavaScript.</w:t>
      </w:r>
    </w:p>
    <w:p>
      <w:pPr>
        <w:pStyle w:val="Heading1"/>
        <w:spacing w:after="200" w:before="400"/>
      </w:pPr>
      <w:r>
        <w:rPr>
          <w:b/>
          <w:bCs/>
          <w:color w:val="2F5D62"/>
          <w:sz w:val="32"/>
          <w:szCs w:val="32"/>
        </w:rPr>
        <w:t xml:space="preserve">10. Traceability Back to Phase 1</w:t>
      </w:r>
    </w:p>
    <w:p>
      <w:pPr>
        <w:spacing w:after="160" w:line="300"/>
      </w:pPr>
      <w:r>
        <w:rPr>
          <w:b w:val="false"/>
          <w:bCs w:val="false"/>
          <w:i w:val="false"/>
          <w:iCs w:val="false"/>
          <w:sz w:val="21"/>
          <w:szCs w:val="21"/>
        </w:rPr>
        <w:t xml:space="preserve">This architecture implements, without altering, the following Phase 1 commitments: the three-layer record model (Part IV §15), the document-to-history reconciliation policy (Part III §14), the no-diagnosis boundary enforced at the UI and prompt level (Part III §13), and the FHIR resource graph (Part V §17.2). Any future change to this architecture that would affect one of those commitments must be reflected back into the Phase 1 knowledge base and the Phase 2 PRD together, not made silently in code.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2026-08-31T09:26:20.907Z</dcterms:created>
  <dcterms:modified xsi:type="dcterms:W3CDTF">2026-08-31T09:26:20.907Z</dcterms:modified>
</cp:coreProperties>
</file>

<file path=docProps/custom.xml><?xml version="1.0" encoding="utf-8"?>
<Properties xmlns="http://schemas.openxmlformats.org/officeDocument/2006/custom-properties" xmlns:vt="http://schemas.openxmlformats.org/officeDocument/2006/docPropsVTypes"/>
</file>