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2F5D62"/>
          <w:sz w:val="64"/>
          <w:szCs w:val="64"/>
        </w:rPr>
        <w:t xml:space="preserve">MediKiosk</w:t>
      </w:r>
    </w:p>
    <w:p>
      <w:pPr>
        <w:spacing w:after="100"/>
        <w:jc w:val="center"/>
      </w:pPr>
      <w:r>
        <w:rPr>
          <w:i/>
          <w:iCs/>
          <w:sz w:val="30"/>
          <w:szCs w:val="30"/>
        </w:rPr>
        <w:t xml:space="preserve">UI / UX Design Specification</w:t>
      </w:r>
    </w:p>
    <w:p>
      <w:pPr>
        <w:spacing w:after="500"/>
        <w:jc w:val="center"/>
      </w:pPr>
      <w:r>
        <w:rPr>
          <w:b/>
          <w:bCs/>
          <w:color w:val="2F5D62"/>
          <w:sz w:val="26"/>
          <w:szCs w:val="26"/>
        </w:rPr>
        <w:t xml:space="preserve">Patient Kiosk &amp; Clinician Review Dashboard — Phase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D62" w:val="clear"/>
            <w:tcMar>
              <w:top w:type="dxa" w:w="80"/>
              <w:left w:type="dxa" w:w="100"/>
              <w:bottom w:type="dxa" w:w="80"/>
              <w:right w:type="dxa" w:w="100"/>
            </w:tcMar>
            <w:vAlign w:val="center"/>
          </w:tcPr>
          <w:p>
            <w:r>
              <w:rPr>
                <w:b/>
                <w:bCs/>
                <w:color w:val="FFFFFF"/>
                <w:sz w:val="19"/>
                <w:szCs w:val="19"/>
              </w:rPr>
              <w:t xml:space="preserve">Field</w:t>
            </w:r>
          </w:p>
        </w:tc>
        <w:tc>
          <w:tcPr>
            <w:tcW w:type="dxa" w:w="6400"/>
            <w:shd w:fill="2F5D62" w:val="clear"/>
            <w:tcMar>
              <w:top w:type="dxa" w:w="80"/>
              <w:left w:type="dxa" w:w="100"/>
              <w:bottom w:type="dxa" w:w="80"/>
              <w:right w:type="dxa" w:w="100"/>
            </w:tcMar>
            <w:vAlign w:val="center"/>
          </w:tcPr>
          <w:p>
            <w:r>
              <w:rPr>
                <w:b/>
                <w:bCs/>
                <w:color w:val="FFFFFF"/>
                <w:sz w:val="19"/>
                <w:szCs w:val="19"/>
              </w:rPr>
              <w:t xml:space="preserve">Detail</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Document</w:t>
            </w:r>
          </w:p>
        </w:tc>
        <w:tc>
          <w:tcPr>
            <w:tcW w:type="dxa" w:w="6400"/>
            <w:tcMar>
              <w:top w:type="dxa" w:w="80"/>
              <w:left w:type="dxa" w:w="100"/>
              <w:bottom w:type="dxa" w:w="80"/>
              <w:right w:type="dxa" w:w="100"/>
            </w:tcMar>
            <w:vAlign w:val="center"/>
          </w:tcPr>
          <w:p>
            <w:r>
              <w:rPr>
                <w:b w:val="false"/>
                <w:bCs w:val="false"/>
                <w:color w:val="1A1A1A"/>
                <w:sz w:val="19"/>
                <w:szCs w:val="19"/>
              </w:rPr>
              <w:t xml:space="preserve">MediKiosk Phase 2 — UI/UX Design</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Companion to</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MediKiosk_Phase2_PRD.docx, MediKiosk_Technical_Architecture.docx</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Design intent</w:t>
            </w:r>
          </w:p>
        </w:tc>
        <w:tc>
          <w:tcPr>
            <w:tcW w:type="dxa" w:w="6400"/>
            <w:tcMar>
              <w:top w:type="dxa" w:w="80"/>
              <w:left w:type="dxa" w:w="100"/>
              <w:bottom w:type="dxa" w:w="80"/>
              <w:right w:type="dxa" w:w="100"/>
            </w:tcMar>
            <w:vAlign w:val="center"/>
          </w:tcPr>
          <w:p>
            <w:r>
              <w:rPr>
                <w:b w:val="false"/>
                <w:bCs w:val="false"/>
                <w:color w:val="1A1A1A"/>
                <w:sz w:val="19"/>
                <w:szCs w:val="19"/>
              </w:rPr>
              <w:t xml:space="preserve">Usable with zero training by a first-time, low-literacy, elderly, or non-verbal patient; fast and trustworthy for a time-pressed clinician</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Standard</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WCAG 2.2 AA (kiosk); standard desktop accessibility practice (clinician dashboard)</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Surfaces covered</w:t>
            </w:r>
          </w:p>
        </w:tc>
        <w:tc>
          <w:tcPr>
            <w:tcW w:type="dxa" w:w="6400"/>
            <w:tcMar>
              <w:top w:type="dxa" w:w="80"/>
              <w:left w:type="dxa" w:w="100"/>
              <w:bottom w:type="dxa" w:w="80"/>
              <w:right w:type="dxa" w:w="100"/>
            </w:tcMar>
            <w:vAlign w:val="center"/>
          </w:tcPr>
          <w:p>
            <w:r>
              <w:rPr>
                <w:b w:val="false"/>
                <w:bCs w:val="false"/>
                <w:color w:val="1A1A1A"/>
                <w:sz w:val="19"/>
                <w:szCs w:val="19"/>
              </w:rPr>
              <w:t xml:space="preserve">Patient kiosk (React/Next.js, touchscreen + voice), Clinician review dashboard (React/Next.js, desktop)</w:t>
            </w:r>
          </w:p>
        </w:tc>
      </w:tr>
    </w:tbl>
    <w:p>
      <w:r>
        <w:br w:type="page"/>
      </w:r>
    </w:p>
    <w:p>
      <w:pPr>
        <w:pStyle w:val="Heading1"/>
        <w:spacing w:after="200" w:before="400"/>
      </w:pPr>
      <w:r>
        <w:rPr>
          <w:b/>
          <w:bCs/>
          <w:color w:val="2F5D62"/>
          <w:sz w:val="32"/>
          <w:szCs w:val="32"/>
        </w:rPr>
        <w:t xml:space="preserve">1. Design Principles</w:t>
      </w:r>
    </w:p>
    <w:p>
      <w:pPr>
        <w:pStyle w:val="ListParagraph"/>
        <w:numPr>
          <w:ilvl w:val="0"/>
          <w:numId w:val="1"/>
        </w:numPr>
        <w:spacing w:after="90"/>
      </w:pPr>
      <w:r>
        <w:rPr>
          <w:sz w:val="21"/>
          <w:szCs w:val="21"/>
        </w:rPr>
        <w:t xml:space="preserve">Say it and show it — every instruction and every question is available as audio and as large-icon text simultaneously; the patient never has to choose one mode permanently.</w:t>
      </w:r>
    </w:p>
    <w:p>
      <w:pPr>
        <w:pStyle w:val="ListParagraph"/>
        <w:numPr>
          <w:ilvl w:val="0"/>
          <w:numId w:val="1"/>
        </w:numPr>
        <w:spacing w:after="90"/>
      </w:pPr>
      <w:r>
        <w:rPr>
          <w:sz w:val="21"/>
          <w:szCs w:val="21"/>
        </w:rPr>
        <w:t xml:space="preserve">One idea per screen — a single question or a single decision per screen, large touch targets, no scrolling forms.</w:t>
      </w:r>
    </w:p>
    <w:p>
      <w:pPr>
        <w:pStyle w:val="ListParagraph"/>
        <w:numPr>
          <w:ilvl w:val="0"/>
          <w:numId w:val="1"/>
        </w:numPr>
        <w:spacing w:after="90"/>
      </w:pPr>
      <w:r>
        <w:rPr>
          <w:sz w:val="21"/>
          <w:szCs w:val="21"/>
        </w:rPr>
        <w:t xml:space="preserve">Nothing is ever silently decided for the patient or the doctor — low-confidence answers, contradictions, and AI-derived fields are always visibly marked, never quietly resolved.</w:t>
      </w:r>
    </w:p>
    <w:p>
      <w:pPr>
        <w:pStyle w:val="ListParagraph"/>
        <w:numPr>
          <w:ilvl w:val="0"/>
          <w:numId w:val="1"/>
        </w:numPr>
        <w:spacing w:after="90"/>
      </w:pPr>
      <w:r>
        <w:rPr>
          <w:sz w:val="21"/>
          <w:szCs w:val="21"/>
        </w:rPr>
        <w:t xml:space="preserve">The exit is always visible — a human-help button and a "start over" option are present on every screen without losing already-captured data.</w:t>
      </w:r>
    </w:p>
    <w:p>
      <w:pPr>
        <w:pStyle w:val="ListParagraph"/>
        <w:numPr>
          <w:ilvl w:val="0"/>
          <w:numId w:val="1"/>
        </w:numPr>
        <w:spacing w:after="90"/>
      </w:pPr>
      <w:r>
        <w:rPr>
          <w:sz w:val="21"/>
          <w:szCs w:val="21"/>
        </w:rPr>
        <w:t xml:space="preserve">The clinician sees a summary, not a transcript — the review dashboard is built for a 60-second read, with drill-down available but not forced.</w:t>
      </w:r>
    </w:p>
    <w:p>
      <w:pPr>
        <w:pStyle w:val="Heading1"/>
        <w:spacing w:after="200" w:before="400"/>
      </w:pPr>
      <w:r>
        <w:rPr>
          <w:b/>
          <w:bCs/>
          <w:color w:val="2F5D62"/>
          <w:sz w:val="32"/>
          <w:szCs w:val="32"/>
        </w:rPr>
        <w:t xml:space="preserve">2. Visual System</w:t>
      </w:r>
    </w:p>
    <w:p>
      <w:pPr>
        <w:pStyle w:val="Heading3"/>
        <w:spacing w:after="120" w:before="220"/>
      </w:pPr>
      <w:r>
        <w:rPr>
          <w:b/>
          <w:bCs/>
          <w:color w:val="C15B3A"/>
          <w:sz w:val="22"/>
          <w:szCs w:val="22"/>
        </w:rPr>
        <w:t xml:space="preserve">2.1 Colour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2F5D62" w:val="clear"/>
            <w:tcMar>
              <w:top w:type="dxa" w:w="80"/>
              <w:left w:type="dxa" w:w="100"/>
              <w:bottom w:type="dxa" w:w="80"/>
              <w:right w:type="dxa" w:w="100"/>
            </w:tcMar>
            <w:vAlign w:val="center"/>
          </w:tcPr>
          <w:p>
            <w:r>
              <w:rPr>
                <w:b/>
                <w:bCs/>
                <w:color w:val="FFFFFF"/>
                <w:sz w:val="19"/>
                <w:szCs w:val="19"/>
              </w:rPr>
              <w:t xml:space="preserve">Token</w:t>
            </w:r>
          </w:p>
        </w:tc>
        <w:tc>
          <w:tcPr>
            <w:tcW w:type="dxa" w:w="1600"/>
            <w:shd w:fill="2F5D62" w:val="clear"/>
            <w:tcMar>
              <w:top w:type="dxa" w:w="80"/>
              <w:left w:type="dxa" w:w="100"/>
              <w:bottom w:type="dxa" w:w="80"/>
              <w:right w:type="dxa" w:w="100"/>
            </w:tcMar>
            <w:vAlign w:val="center"/>
          </w:tcPr>
          <w:p>
            <w:r>
              <w:rPr>
                <w:b/>
                <w:bCs/>
                <w:color w:val="FFFFFF"/>
                <w:sz w:val="19"/>
                <w:szCs w:val="19"/>
              </w:rPr>
              <w:t xml:space="preserve">Hex</w:t>
            </w:r>
          </w:p>
        </w:tc>
        <w:tc>
          <w:tcPr>
            <w:tcW w:type="dxa" w:w="5200"/>
            <w:shd w:fill="2F5D62" w:val="clear"/>
            <w:tcMar>
              <w:top w:type="dxa" w:w="80"/>
              <w:left w:type="dxa" w:w="100"/>
              <w:bottom w:type="dxa" w:w="80"/>
              <w:right w:type="dxa" w:w="100"/>
            </w:tcMar>
            <w:vAlign w:val="center"/>
          </w:tcPr>
          <w:p>
            <w:r>
              <w:rPr>
                <w:b/>
                <w:bCs/>
                <w:color w:val="FFFFFF"/>
                <w:sz w:val="19"/>
                <w:szCs w:val="19"/>
              </w:rPr>
              <w:t xml:space="preserve">Use</w:t>
            </w:r>
          </w:p>
        </w:tc>
      </w:tr>
      <w:tr>
        <w:tc>
          <w:tcPr>
            <w:tcW w:type="dxa" w:w="2200"/>
            <w:tcMar>
              <w:top w:type="dxa" w:w="80"/>
              <w:left w:type="dxa" w:w="100"/>
              <w:bottom w:type="dxa" w:w="80"/>
              <w:right w:type="dxa" w:w="100"/>
            </w:tcMar>
            <w:vAlign w:val="center"/>
          </w:tcPr>
          <w:p>
            <w:r>
              <w:rPr>
                <w:b w:val="false"/>
                <w:bCs w:val="false"/>
                <w:color w:val="1A1A1A"/>
                <w:sz w:val="19"/>
                <w:szCs w:val="19"/>
              </w:rPr>
              <w:t xml:space="preserve">Primary — Teal</w:t>
            </w:r>
          </w:p>
        </w:tc>
        <w:tc>
          <w:tcPr>
            <w:tcW w:type="dxa" w:w="1600"/>
            <w:tcMar>
              <w:top w:type="dxa" w:w="80"/>
              <w:left w:type="dxa" w:w="100"/>
              <w:bottom w:type="dxa" w:w="80"/>
              <w:right w:type="dxa" w:w="100"/>
            </w:tcMar>
            <w:vAlign w:val="center"/>
          </w:tcPr>
          <w:p>
            <w:r>
              <w:rPr>
                <w:b w:val="false"/>
                <w:bCs w:val="false"/>
                <w:color w:val="1A1A1A"/>
                <w:sz w:val="19"/>
                <w:szCs w:val="19"/>
              </w:rPr>
              <w:t xml:space="preserve">#2F5D62</w:t>
            </w:r>
          </w:p>
        </w:tc>
        <w:tc>
          <w:tcPr>
            <w:tcW w:type="dxa" w:w="5200"/>
            <w:tcMar>
              <w:top w:type="dxa" w:w="80"/>
              <w:left w:type="dxa" w:w="100"/>
              <w:bottom w:type="dxa" w:w="80"/>
              <w:right w:type="dxa" w:w="100"/>
            </w:tcMar>
            <w:vAlign w:val="center"/>
          </w:tcPr>
          <w:p>
            <w:r>
              <w:rPr>
                <w:b w:val="false"/>
                <w:bCs w:val="false"/>
                <w:color w:val="1A1A1A"/>
                <w:sz w:val="19"/>
                <w:szCs w:val="19"/>
              </w:rPr>
              <w:t xml:space="preserve">Headers, primary buttons, progress indicator</w:t>
            </w:r>
          </w:p>
        </w:tc>
      </w:tr>
      <w:tr>
        <w:tc>
          <w:tcPr>
            <w:tcW w:type="dxa" w:w="2200"/>
            <w:shd w:fill="F5F8F8" w:val="clear"/>
            <w:tcMar>
              <w:top w:type="dxa" w:w="80"/>
              <w:left w:type="dxa" w:w="100"/>
              <w:bottom w:type="dxa" w:w="80"/>
              <w:right w:type="dxa" w:w="100"/>
            </w:tcMar>
            <w:vAlign w:val="center"/>
          </w:tcPr>
          <w:p>
            <w:r>
              <w:rPr>
                <w:b w:val="false"/>
                <w:bCs w:val="false"/>
                <w:color w:val="1A1A1A"/>
                <w:sz w:val="19"/>
                <w:szCs w:val="19"/>
              </w:rPr>
              <w:t xml:space="preserve">Primary tint</w:t>
            </w:r>
          </w:p>
        </w:tc>
        <w:tc>
          <w:tcPr>
            <w:tcW w:type="dxa" w:w="1600"/>
            <w:shd w:fill="F5F8F8" w:val="clear"/>
            <w:tcMar>
              <w:top w:type="dxa" w:w="80"/>
              <w:left w:type="dxa" w:w="100"/>
              <w:bottom w:type="dxa" w:w="80"/>
              <w:right w:type="dxa" w:w="100"/>
            </w:tcMar>
            <w:vAlign w:val="center"/>
          </w:tcPr>
          <w:p>
            <w:r>
              <w:rPr>
                <w:b w:val="false"/>
                <w:bCs w:val="false"/>
                <w:color w:val="1A1A1A"/>
                <w:sz w:val="19"/>
                <w:szCs w:val="19"/>
              </w:rPr>
              <w:t xml:space="preserve">#EAF3F2</w:t>
            </w:r>
          </w:p>
        </w:tc>
        <w:tc>
          <w:tcPr>
            <w:tcW w:type="dxa" w:w="5200"/>
            <w:shd w:fill="F5F8F8" w:val="clear"/>
            <w:tcMar>
              <w:top w:type="dxa" w:w="80"/>
              <w:left w:type="dxa" w:w="100"/>
              <w:bottom w:type="dxa" w:w="80"/>
              <w:right w:type="dxa" w:w="100"/>
            </w:tcMar>
            <w:vAlign w:val="center"/>
          </w:tcPr>
          <w:p>
            <w:r>
              <w:rPr>
                <w:b w:val="false"/>
                <w:bCs w:val="false"/>
                <w:color w:val="1A1A1A"/>
                <w:sz w:val="19"/>
                <w:szCs w:val="19"/>
              </w:rPr>
              <w:t xml:space="preserve">Card backgrounds, selected-state fill</w:t>
            </w:r>
          </w:p>
        </w:tc>
      </w:tr>
      <w:tr>
        <w:tc>
          <w:tcPr>
            <w:tcW w:type="dxa" w:w="2200"/>
            <w:tcMar>
              <w:top w:type="dxa" w:w="80"/>
              <w:left w:type="dxa" w:w="100"/>
              <w:bottom w:type="dxa" w:w="80"/>
              <w:right w:type="dxa" w:w="100"/>
            </w:tcMar>
            <w:vAlign w:val="center"/>
          </w:tcPr>
          <w:p>
            <w:r>
              <w:rPr>
                <w:b w:val="false"/>
                <w:bCs w:val="false"/>
                <w:color w:val="1A1A1A"/>
                <w:sz w:val="19"/>
                <w:szCs w:val="19"/>
              </w:rPr>
              <w:t xml:space="preserve">Accent — Terracotta</w:t>
            </w:r>
          </w:p>
        </w:tc>
        <w:tc>
          <w:tcPr>
            <w:tcW w:type="dxa" w:w="1600"/>
            <w:tcMar>
              <w:top w:type="dxa" w:w="80"/>
              <w:left w:type="dxa" w:w="100"/>
              <w:bottom w:type="dxa" w:w="80"/>
              <w:right w:type="dxa" w:w="100"/>
            </w:tcMar>
            <w:vAlign w:val="center"/>
          </w:tcPr>
          <w:p>
            <w:r>
              <w:rPr>
                <w:b w:val="false"/>
                <w:bCs w:val="false"/>
                <w:color w:val="1A1A1A"/>
                <w:sz w:val="19"/>
                <w:szCs w:val="19"/>
              </w:rPr>
              <w:t xml:space="preserve">#C15B3A</w:t>
            </w:r>
          </w:p>
        </w:tc>
        <w:tc>
          <w:tcPr>
            <w:tcW w:type="dxa" w:w="5200"/>
            <w:tcMar>
              <w:top w:type="dxa" w:w="80"/>
              <w:left w:type="dxa" w:w="100"/>
              <w:bottom w:type="dxa" w:w="80"/>
              <w:right w:type="dxa" w:w="100"/>
            </w:tcMar>
            <w:vAlign w:val="center"/>
          </w:tcPr>
          <w:p>
            <w:r>
              <w:rPr>
                <w:b w:val="false"/>
                <w:bCs w:val="false"/>
                <w:color w:val="1A1A1A"/>
                <w:sz w:val="19"/>
                <w:szCs w:val="19"/>
              </w:rPr>
              <w:t xml:space="preserve">Call-to-action emphasis, active step marker</w:t>
            </w:r>
          </w:p>
        </w:tc>
      </w:tr>
      <w:tr>
        <w:tc>
          <w:tcPr>
            <w:tcW w:type="dxa" w:w="2200"/>
            <w:shd w:fill="F5F8F8" w:val="clear"/>
            <w:tcMar>
              <w:top w:type="dxa" w:w="80"/>
              <w:left w:type="dxa" w:w="100"/>
              <w:bottom w:type="dxa" w:w="80"/>
              <w:right w:type="dxa" w:w="100"/>
            </w:tcMar>
            <w:vAlign w:val="center"/>
          </w:tcPr>
          <w:p>
            <w:r>
              <w:rPr>
                <w:b w:val="false"/>
                <w:bCs w:val="false"/>
                <w:color w:val="1A1A1A"/>
                <w:sz w:val="19"/>
                <w:szCs w:val="19"/>
              </w:rPr>
              <w:t xml:space="preserve">Alert — Red</w:t>
            </w:r>
          </w:p>
        </w:tc>
        <w:tc>
          <w:tcPr>
            <w:tcW w:type="dxa" w:w="1600"/>
            <w:shd w:fill="F5F8F8" w:val="clear"/>
            <w:tcMar>
              <w:top w:type="dxa" w:w="80"/>
              <w:left w:type="dxa" w:w="100"/>
              <w:bottom w:type="dxa" w:w="80"/>
              <w:right w:type="dxa" w:w="100"/>
            </w:tcMar>
            <w:vAlign w:val="center"/>
          </w:tcPr>
          <w:p>
            <w:r>
              <w:rPr>
                <w:b w:val="false"/>
                <w:bCs w:val="false"/>
                <w:color w:val="1A1A1A"/>
                <w:sz w:val="19"/>
                <w:szCs w:val="19"/>
              </w:rPr>
              <w:t xml:space="preserve">#C4292A</w:t>
            </w:r>
          </w:p>
        </w:tc>
        <w:tc>
          <w:tcPr>
            <w:tcW w:type="dxa" w:w="5200"/>
            <w:shd w:fill="F5F8F8" w:val="clear"/>
            <w:tcMar>
              <w:top w:type="dxa" w:w="80"/>
              <w:left w:type="dxa" w:w="100"/>
              <w:bottom w:type="dxa" w:w="80"/>
              <w:right w:type="dxa" w:w="100"/>
            </w:tcMar>
            <w:vAlign w:val="center"/>
          </w:tcPr>
          <w:p>
            <w:r>
              <w:rPr>
                <w:b w:val="false"/>
                <w:bCs w:val="false"/>
                <w:color w:val="1A1A1A"/>
                <w:sz w:val="19"/>
                <w:szCs w:val="19"/>
              </w:rPr>
              <w:t xml:space="preserve">Emergency / red-flag states only — reserved, never used decoratively</w:t>
            </w:r>
          </w:p>
        </w:tc>
      </w:tr>
      <w:tr>
        <w:tc>
          <w:tcPr>
            <w:tcW w:type="dxa" w:w="2200"/>
            <w:tcMar>
              <w:top w:type="dxa" w:w="80"/>
              <w:left w:type="dxa" w:w="100"/>
              <w:bottom w:type="dxa" w:w="80"/>
              <w:right w:type="dxa" w:w="100"/>
            </w:tcMar>
            <w:vAlign w:val="center"/>
          </w:tcPr>
          <w:p>
            <w:r>
              <w:rPr>
                <w:b w:val="false"/>
                <w:bCs w:val="false"/>
                <w:color w:val="1A1A1A"/>
                <w:sz w:val="19"/>
                <w:szCs w:val="19"/>
              </w:rPr>
              <w:t xml:space="preserve">Caution — Amber</w:t>
            </w:r>
          </w:p>
        </w:tc>
        <w:tc>
          <w:tcPr>
            <w:tcW w:type="dxa" w:w="1600"/>
            <w:tcMar>
              <w:top w:type="dxa" w:w="80"/>
              <w:left w:type="dxa" w:w="100"/>
              <w:bottom w:type="dxa" w:w="80"/>
              <w:right w:type="dxa" w:w="100"/>
            </w:tcMar>
            <w:vAlign w:val="center"/>
          </w:tcPr>
          <w:p>
            <w:r>
              <w:rPr>
                <w:b w:val="false"/>
                <w:bCs w:val="false"/>
                <w:color w:val="1A1A1A"/>
                <w:sz w:val="19"/>
                <w:szCs w:val="19"/>
              </w:rPr>
              <w:t xml:space="preserve">#B8860B</w:t>
            </w:r>
          </w:p>
        </w:tc>
        <w:tc>
          <w:tcPr>
            <w:tcW w:type="dxa" w:w="5200"/>
            <w:tcMar>
              <w:top w:type="dxa" w:w="80"/>
              <w:left w:type="dxa" w:w="100"/>
              <w:bottom w:type="dxa" w:w="80"/>
              <w:right w:type="dxa" w:w="100"/>
            </w:tcMar>
            <w:vAlign w:val="center"/>
          </w:tcPr>
          <w:p>
            <w:r>
              <w:rPr>
                <w:b w:val="false"/>
                <w:bCs w:val="false"/>
                <w:color w:val="1A1A1A"/>
                <w:sz w:val="19"/>
                <w:szCs w:val="19"/>
              </w:rPr>
              <w:t xml:space="preserve">Low-confidence / needs-verification flags</w:t>
            </w:r>
          </w:p>
        </w:tc>
      </w:tr>
      <w:tr>
        <w:tc>
          <w:tcPr>
            <w:tcW w:type="dxa" w:w="2200"/>
            <w:shd w:fill="F5F8F8" w:val="clear"/>
            <w:tcMar>
              <w:top w:type="dxa" w:w="80"/>
              <w:left w:type="dxa" w:w="100"/>
              <w:bottom w:type="dxa" w:w="80"/>
              <w:right w:type="dxa" w:w="100"/>
            </w:tcMar>
            <w:vAlign w:val="center"/>
          </w:tcPr>
          <w:p>
            <w:r>
              <w:rPr>
                <w:b w:val="false"/>
                <w:bCs w:val="false"/>
                <w:color w:val="1A1A1A"/>
                <w:sz w:val="19"/>
                <w:szCs w:val="19"/>
              </w:rPr>
              <w:t xml:space="preserve">Success — Green</w:t>
            </w:r>
          </w:p>
        </w:tc>
        <w:tc>
          <w:tcPr>
            <w:tcW w:type="dxa" w:w="1600"/>
            <w:shd w:fill="F5F8F8" w:val="clear"/>
            <w:tcMar>
              <w:top w:type="dxa" w:w="80"/>
              <w:left w:type="dxa" w:w="100"/>
              <w:bottom w:type="dxa" w:w="80"/>
              <w:right w:type="dxa" w:w="100"/>
            </w:tcMar>
            <w:vAlign w:val="center"/>
          </w:tcPr>
          <w:p>
            <w:r>
              <w:rPr>
                <w:b w:val="false"/>
                <w:bCs w:val="false"/>
                <w:color w:val="1A1A1A"/>
                <w:sz w:val="19"/>
                <w:szCs w:val="19"/>
              </w:rPr>
              <w:t xml:space="preserve">#2E7D4F</w:t>
            </w:r>
          </w:p>
        </w:tc>
        <w:tc>
          <w:tcPr>
            <w:tcW w:type="dxa" w:w="5200"/>
            <w:shd w:fill="F5F8F8" w:val="clear"/>
            <w:tcMar>
              <w:top w:type="dxa" w:w="80"/>
              <w:left w:type="dxa" w:w="100"/>
              <w:bottom w:type="dxa" w:w="80"/>
              <w:right w:type="dxa" w:w="100"/>
            </w:tcMar>
            <w:vAlign w:val="center"/>
          </w:tcPr>
          <w:p>
            <w:r>
              <w:rPr>
                <w:b w:val="false"/>
                <w:bCs w:val="false"/>
                <w:color w:val="1A1A1A"/>
                <w:sz w:val="19"/>
                <w:szCs w:val="19"/>
              </w:rPr>
              <w:t xml:space="preserve">Confirmed / attested states</w:t>
            </w:r>
          </w:p>
        </w:tc>
      </w:tr>
      <w:tr>
        <w:tc>
          <w:tcPr>
            <w:tcW w:type="dxa" w:w="2200"/>
            <w:tcMar>
              <w:top w:type="dxa" w:w="80"/>
              <w:left w:type="dxa" w:w="100"/>
              <w:bottom w:type="dxa" w:w="80"/>
              <w:right w:type="dxa" w:w="100"/>
            </w:tcMar>
            <w:vAlign w:val="center"/>
          </w:tcPr>
          <w:p>
            <w:r>
              <w:rPr>
                <w:b w:val="false"/>
                <w:bCs w:val="false"/>
                <w:color w:val="1A1A1A"/>
                <w:sz w:val="19"/>
                <w:szCs w:val="19"/>
              </w:rPr>
              <w:t xml:space="preserve">Neutral text</w:t>
            </w:r>
          </w:p>
        </w:tc>
        <w:tc>
          <w:tcPr>
            <w:tcW w:type="dxa" w:w="1600"/>
            <w:tcMar>
              <w:top w:type="dxa" w:w="80"/>
              <w:left w:type="dxa" w:w="100"/>
              <w:bottom w:type="dxa" w:w="80"/>
              <w:right w:type="dxa" w:w="100"/>
            </w:tcMar>
            <w:vAlign w:val="center"/>
          </w:tcPr>
          <w:p>
            <w:r>
              <w:rPr>
                <w:b w:val="false"/>
                <w:bCs w:val="false"/>
                <w:color w:val="1A1A1A"/>
                <w:sz w:val="19"/>
                <w:szCs w:val="19"/>
              </w:rPr>
              <w:t xml:space="preserve">#1A1A1A on #FFFFFF</w:t>
            </w:r>
          </w:p>
        </w:tc>
        <w:tc>
          <w:tcPr>
            <w:tcW w:type="dxa" w:w="5200"/>
            <w:tcMar>
              <w:top w:type="dxa" w:w="80"/>
              <w:left w:type="dxa" w:w="100"/>
              <w:bottom w:type="dxa" w:w="80"/>
              <w:right w:type="dxa" w:w="100"/>
            </w:tcMar>
            <w:vAlign w:val="center"/>
          </w:tcPr>
          <w:p>
            <w:r>
              <w:rPr>
                <w:b w:val="false"/>
                <w:bCs w:val="false"/>
                <w:color w:val="1A1A1A"/>
                <w:sz w:val="19"/>
                <w:szCs w:val="19"/>
              </w:rPr>
              <w:t xml:space="preserve">Body text; minimum 4.5:1 contrast throughout</w:t>
            </w:r>
          </w:p>
        </w:tc>
      </w:tr>
    </w:tbl>
    <w:p>
      <w:pPr>
        <w:pStyle w:val="Heading3"/>
        <w:spacing w:after="120" w:before="220"/>
      </w:pPr>
      <w:r>
        <w:rPr>
          <w:b/>
          <w:bCs/>
          <w:color w:val="C15B3A"/>
          <w:sz w:val="22"/>
          <w:szCs w:val="22"/>
        </w:rPr>
        <w:t xml:space="preserve">2.2 Typography</w:t>
      </w:r>
    </w:p>
    <w:p>
      <w:pPr>
        <w:pStyle w:val="ListParagraph"/>
        <w:numPr>
          <w:ilvl w:val="0"/>
          <w:numId w:val="1"/>
        </w:numPr>
        <w:spacing w:after="90"/>
      </w:pPr>
      <w:r>
        <w:rPr>
          <w:sz w:val="21"/>
          <w:szCs w:val="21"/>
        </w:rPr>
        <w:t xml:space="preserve">Kiosk default body text: 24px minimum, scalable to 32px via an on-screen text-size toggle.</w:t>
      </w:r>
    </w:p>
    <w:p>
      <w:pPr>
        <w:pStyle w:val="ListParagraph"/>
        <w:numPr>
          <w:ilvl w:val="0"/>
          <w:numId w:val="1"/>
        </w:numPr>
        <w:spacing w:after="90"/>
      </w:pPr>
      <w:r>
        <w:rPr>
          <w:sz w:val="21"/>
          <w:szCs w:val="21"/>
        </w:rPr>
        <w:t xml:space="preserve">Clinician dashboard body text: 15–16px, information-dense but never below 14px for clinical values.</w:t>
      </w:r>
    </w:p>
    <w:p>
      <w:pPr>
        <w:pStyle w:val="ListParagraph"/>
        <w:numPr>
          <w:ilvl w:val="0"/>
          <w:numId w:val="1"/>
        </w:numPr>
        <w:spacing w:after="90"/>
      </w:pPr>
      <w:r>
        <w:rPr>
          <w:sz w:val="21"/>
          <w:szCs w:val="21"/>
        </w:rPr>
        <w:t xml:space="preserve">One typeface family across both surfaces (system-native sans-serif) to keep load times low on kiosk hardware.</w:t>
      </w:r>
    </w:p>
    <w:p>
      <w:pPr>
        <w:pStyle w:val="Heading3"/>
        <w:spacing w:after="120" w:before="220"/>
      </w:pPr>
      <w:r>
        <w:rPr>
          <w:b/>
          <w:bCs/>
          <w:color w:val="C15B3A"/>
          <w:sz w:val="22"/>
          <w:szCs w:val="22"/>
        </w:rPr>
        <w:t xml:space="preserve">2.3 Iconography &amp; touch targets</w:t>
      </w:r>
    </w:p>
    <w:p>
      <w:pPr>
        <w:pStyle w:val="ListParagraph"/>
        <w:numPr>
          <w:ilvl w:val="0"/>
          <w:numId w:val="1"/>
        </w:numPr>
        <w:spacing w:after="90"/>
      </w:pPr>
      <w:r>
        <w:rPr>
          <w:sz w:val="21"/>
          <w:szCs w:val="21"/>
        </w:rPr>
        <w:t xml:space="preserve">Every question that can be represented visually gets a simple line icon in addition to text (e.g., a stomach icon for abdominal pain).</w:t>
      </w:r>
    </w:p>
    <w:p>
      <w:pPr>
        <w:pStyle w:val="ListParagraph"/>
        <w:numPr>
          <w:ilvl w:val="0"/>
          <w:numId w:val="1"/>
        </w:numPr>
        <w:spacing w:after="90"/>
      </w:pPr>
      <w:r>
        <w:rPr>
          <w:sz w:val="21"/>
          <w:szCs w:val="21"/>
        </w:rPr>
        <w:t xml:space="preserve">Minimum touch target 44×44px, with 8px minimum spacing between adjacent targets, per WCAG 2.2 AA.</w:t>
      </w:r>
    </w:p>
    <w:p>
      <w:pPr>
        <w:pStyle w:val="ListParagraph"/>
        <w:numPr>
          <w:ilvl w:val="0"/>
          <w:numId w:val="1"/>
        </w:numPr>
        <w:spacing w:after="90"/>
      </w:pPr>
      <w:r>
        <w:rPr>
          <w:sz w:val="21"/>
          <w:szCs w:val="21"/>
        </w:rPr>
        <w:t xml:space="preserve">Colour is never the only signal — status uses an icon + label + colour together (e.g., an amber triangle icon labelled "Please verify", not just an amber border).</w:t>
      </w:r>
    </w:p>
    <w:p>
      <w:pPr>
        <w:pStyle w:val="Heading1"/>
        <w:spacing w:after="200" w:before="400"/>
      </w:pPr>
      <w:r>
        <w:rPr>
          <w:b/>
          <w:bCs/>
          <w:color w:val="2F5D62"/>
          <w:sz w:val="32"/>
          <w:szCs w:val="32"/>
        </w:rPr>
        <w:t xml:space="preserve">3. Patient Kiosk — Screen-by-Screen Flow</w:t>
      </w:r>
    </w:p>
    <w:p>
      <w:pPr>
        <w:spacing w:after="160" w:line="300"/>
      </w:pPr>
      <w:r>
        <w:rPr>
          <w:b w:val="false"/>
          <w:bCs w:val="false"/>
          <w:i w:val="false"/>
          <w:iCs w:val="false"/>
          <w:sz w:val="21"/>
          <w:szCs w:val="21"/>
        </w:rPr>
        <w:t xml:space="preserve">The flow below follows the five-step journey defined in Phase 1 (Identify → Converse → Scan → Summarise &amp; Route → Consult), broken into buildable screens.</w:t>
      </w:r>
    </w:p>
    <w:p>
      <w:pPr>
        <w:pStyle w:val="Heading2"/>
        <w:spacing w:after="150" w:before="300"/>
      </w:pPr>
      <w:r>
        <w:rPr>
          <w:b/>
          <w:bCs/>
          <w:color w:val="2F5D62"/>
          <w:sz w:val="26"/>
          <w:szCs w:val="26"/>
        </w:rPr>
        <w:t xml:space="preserve">3.1 Language Selection</w:t>
      </w:r>
    </w:p>
    <w:p>
      <w:pPr>
        <w:spacing w:after="160" w:line="300"/>
      </w:pPr>
      <w:r>
        <w:rPr>
          <w:b w:val="false"/>
          <w:bCs w:val="false"/>
          <w:i w:val="false"/>
          <w:iCs w:val="false"/>
          <w:sz w:val="21"/>
          <w:szCs w:val="21"/>
        </w:rPr>
        <w:t xml:space="preserve">First screen on session start. Sets the language for all subsequent audio and on-screen text.</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Centre-stage grid of language buttons, each showing the language's own script (e.g., हिन्दी, English) plus a small flag-free national emblem, avoiding sensitive iconography.</w:t>
      </w:r>
    </w:p>
    <w:p>
      <w:pPr>
        <w:pStyle w:val="ListParagraph"/>
        <w:numPr>
          <w:ilvl w:val="0"/>
          <w:numId w:val="1"/>
        </w:numPr>
        <w:spacing w:after="90"/>
      </w:pPr>
      <w:r>
        <w:rPr>
          <w:sz w:val="21"/>
          <w:szCs w:val="21"/>
        </w:rPr>
        <w:t xml:space="preserve">A speaker icon in the top corner lets the patient hear each language name spoken before choosing.</w:t>
      </w:r>
    </w:p>
    <w:p>
      <w:pPr>
        <w:pStyle w:val="ListParagraph"/>
        <w:numPr>
          <w:ilvl w:val="0"/>
          <w:numId w:val="1"/>
        </w:numPr>
        <w:spacing w:after="90"/>
      </w:pPr>
      <w:r>
        <w:rPr>
          <w:sz w:val="21"/>
          <w:szCs w:val="21"/>
        </w:rPr>
        <w:t xml:space="preserve">"Need help?" button pinned bottom-right, always visible, connects to a kiosk attendant.</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Tapping a language immediately starts audio guidance in that language.</w:t>
      </w:r>
    </w:p>
    <w:p>
      <w:pPr>
        <w:pStyle w:val="ListParagraph"/>
        <w:numPr>
          <w:ilvl w:val="0"/>
          <w:numId w:val="1"/>
        </w:numPr>
        <w:spacing w:after="90"/>
      </w:pPr>
      <w:r>
        <w:rPr>
          <w:sz w:val="21"/>
          <w:szCs w:val="21"/>
        </w:rPr>
        <w:t xml:space="preserve">The patient can also simply say the name of their language into an always-listening prompt as an alternative to tapping.</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Screen reads its own instructions aloud automatically on load, no interaction required to hear it.</w:t>
      </w:r>
    </w:p>
    <w:p>
      <w:pPr>
        <w:pStyle w:val="ListParagraph"/>
        <w:numPr>
          <w:ilvl w:val="0"/>
          <w:numId w:val="1"/>
        </w:numPr>
        <w:spacing w:after="90"/>
      </w:pPr>
      <w:r>
        <w:rPr>
          <w:sz w:val="21"/>
          <w:szCs w:val="21"/>
        </w:rPr>
        <w:t xml:space="preserve">Buttons sized for easy tapping by elderly or motor-impaired users; no double-tap or long-press required anywhere in the flow.</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Default (first load), returning-session (language pre-filled from a resumed session), unsupported-language fallback (shows the closest supported language plus a note that it is not yet fully supported).</w:t>
      </w:r>
    </w:p>
    <w:p>
      <w:pPr>
        <w:pStyle w:val="Heading2"/>
        <w:spacing w:after="150" w:before="300"/>
      </w:pPr>
      <w:r>
        <w:rPr>
          <w:b/>
          <w:bCs/>
          <w:color w:val="2F5D62"/>
          <w:sz w:val="26"/>
          <w:szCs w:val="26"/>
        </w:rPr>
        <w:t xml:space="preserve">3.2 Consent</w:t>
      </w:r>
    </w:p>
    <w:p>
      <w:pPr>
        <w:spacing w:after="160" w:line="300"/>
      </w:pPr>
      <w:r>
        <w:rPr>
          <w:b w:val="false"/>
          <w:bCs w:val="false"/>
          <w:i w:val="false"/>
          <w:iCs w:val="false"/>
          <w:sz w:val="21"/>
          <w:szCs w:val="21"/>
        </w:rPr>
        <w:t xml:space="preserve">Plain-language explanation of what data is captured, why, and for how long, before anything is recorded.</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Short paragraph of notice text on-screen, read aloud in full by default, with a visible "replay" control.</w:t>
      </w:r>
    </w:p>
    <w:p>
      <w:pPr>
        <w:pStyle w:val="ListParagraph"/>
        <w:numPr>
          <w:ilvl w:val="0"/>
          <w:numId w:val="1"/>
        </w:numPr>
        <w:spacing w:after="90"/>
      </w:pPr>
      <w:r>
        <w:rPr>
          <w:sz w:val="21"/>
          <w:szCs w:val="21"/>
        </w:rPr>
        <w:t xml:space="preserve">Three explicit choices: Agree &amp; continue / Hear it again / I have questions (routes to human help).</w:t>
      </w:r>
    </w:p>
    <w:p>
      <w:pPr>
        <w:pStyle w:val="ListParagraph"/>
        <w:numPr>
          <w:ilvl w:val="0"/>
          <w:numId w:val="1"/>
        </w:numPr>
        <w:spacing w:after="90"/>
      </w:pPr>
      <w:r>
        <w:rPr>
          <w:sz w:val="21"/>
          <w:szCs w:val="21"/>
        </w:rPr>
        <w:t xml:space="preserve">A link/icon to "what happens to my data" expands into simple bullet points, not legal text.</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Consent can be given by tapping Agree or by a clear spoken "yes" after the full notice has played — a partial or ambiguous response re-plays the notice rather than assuming agreement.</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Audio-only comprehension is not assumed sufficient — a short two-question comprehension check (e.g., "Can you say no and still see the doctor?") is used during usability testing per Phase 1 §18.2.</w:t>
      </w:r>
    </w:p>
    <w:p>
      <w:pPr>
        <w:pStyle w:val="ListParagraph"/>
        <w:numPr>
          <w:ilvl w:val="0"/>
          <w:numId w:val="1"/>
        </w:numPr>
        <w:spacing w:after="90"/>
      </w:pPr>
      <w:r>
        <w:rPr>
          <w:sz w:val="21"/>
          <w:szCs w:val="21"/>
        </w:rPr>
        <w:t xml:space="preserve">Guardian/caregiver consent path is a distinct, clearly labelled variant of this screen for paediatric or assisted patients.</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Standard consent, guardian-assisted consent, re-consent after a session resume, decline (routes to standard manual registration, not a dead end).</w:t>
      </w:r>
    </w:p>
    <w:p>
      <w:pPr>
        <w:pStyle w:val="Heading2"/>
        <w:spacing w:after="150" w:before="300"/>
      </w:pPr>
      <w:r>
        <w:rPr>
          <w:b/>
          <w:bCs/>
          <w:color w:val="2F5D62"/>
          <w:sz w:val="26"/>
          <w:szCs w:val="26"/>
        </w:rPr>
        <w:t xml:space="preserve">3.3 Identify</w:t>
      </w:r>
    </w:p>
    <w:p>
      <w:pPr>
        <w:spacing w:after="160" w:line="300"/>
      </w:pPr>
      <w:r>
        <w:rPr>
          <w:b w:val="false"/>
          <w:bCs w:val="false"/>
          <w:i w:val="false"/>
          <w:iCs w:val="false"/>
          <w:sz w:val="21"/>
          <w:szCs w:val="21"/>
        </w:rPr>
        <w:t xml:space="preserve">Captures who the patient is, using the lowest-friction method available.</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Primary action: scan a QR code (mock ABHA or hospital queue slip) using the kiosk camera, shown as a large camera-frame guide.</w:t>
      </w:r>
    </w:p>
    <w:p>
      <w:pPr>
        <w:pStyle w:val="ListParagraph"/>
        <w:numPr>
          <w:ilvl w:val="0"/>
          <w:numId w:val="1"/>
        </w:numPr>
        <w:spacing w:after="90"/>
      </w:pPr>
      <w:r>
        <w:rPr>
          <w:sz w:val="21"/>
          <w:szCs w:val="21"/>
        </w:rPr>
        <w:t xml:space="preserve">Secondary action: "I don't have a code" — falls back to a short manual entry (name, age, sex, phone) assisted by large-key touch input.</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QR scanning is touch/camera-based, not voice-based, by design — voice is not a reliable way to transmit an ID.</w:t>
      </w:r>
    </w:p>
    <w:p>
      <w:pPr>
        <w:pStyle w:val="ListParagraph"/>
        <w:numPr>
          <w:ilvl w:val="0"/>
          <w:numId w:val="1"/>
        </w:numPr>
        <w:spacing w:after="90"/>
      </w:pPr>
      <w:r>
        <w:rPr>
          <w:sz w:val="21"/>
          <w:szCs w:val="21"/>
        </w:rPr>
        <w:t xml:space="preserve">Manual entry fields can be dictated field-by-field if the patient prefers, with a visible transcript for confirmation before submitting.</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High-contrast camera frame, haptic-style visual pulse to indicate active scanning, error message in plain language if the QR does not match a known format.</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QR success, QR failure/retry, manual entry, returning-patient match found (offers to pre-fill known details, patient must confirm each one).</w:t>
      </w:r>
    </w:p>
    <w:p>
      <w:pPr>
        <w:pStyle w:val="Heading2"/>
        <w:spacing w:after="150" w:before="300"/>
      </w:pPr>
      <w:r>
        <w:rPr>
          <w:b/>
          <w:bCs/>
          <w:color w:val="2F5D62"/>
          <w:sz w:val="26"/>
          <w:szCs w:val="26"/>
        </w:rPr>
        <w:t xml:space="preserve">3.4 Converse — Adaptive Interview (Voice AI Agent)</w:t>
      </w:r>
    </w:p>
    <w:p>
      <w:pPr>
        <w:spacing w:after="160" w:line="300"/>
      </w:pPr>
      <w:r>
        <w:rPr>
          <w:b w:val="false"/>
          <w:bCs w:val="false"/>
          <w:i w:val="false"/>
          <w:iCs w:val="false"/>
          <w:sz w:val="21"/>
          <w:szCs w:val="21"/>
        </w:rPr>
        <w:t xml:space="preserve">The core history-taking screen. One question at a time, spoken and shown together.</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Large central question text with a matching icon; below it, tappable answer chips for closed questions or a big microphone button for open questions.</w:t>
      </w:r>
    </w:p>
    <w:p>
      <w:pPr>
        <w:pStyle w:val="ListParagraph"/>
        <w:numPr>
          <w:ilvl w:val="0"/>
          <w:numId w:val="1"/>
        </w:numPr>
        <w:spacing w:after="90"/>
      </w:pPr>
      <w:r>
        <w:rPr>
          <w:sz w:val="21"/>
          <w:szCs w:val="21"/>
        </w:rPr>
        <w:t xml:space="preserve">A slim progress bar shows section (Chief Complaint → HPI → Past History → Medications → Family/Personal → Review of Systems) without exposing clinical jargon.</w:t>
      </w:r>
    </w:p>
    <w:p>
      <w:pPr>
        <w:pStyle w:val="ListParagraph"/>
        <w:numPr>
          <w:ilvl w:val="0"/>
          <w:numId w:val="1"/>
        </w:numPr>
        <w:spacing w:after="90"/>
      </w:pPr>
      <w:r>
        <w:rPr>
          <w:sz w:val="21"/>
          <w:szCs w:val="21"/>
        </w:rPr>
        <w:t xml:space="preserve">A visible live transcript strip beneath the question, so the patient can see what the system heard.</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Every question is answerable by speaking OR tapping; switching mode mid-question is seamless.</w:t>
      </w:r>
    </w:p>
    <w:p>
      <w:pPr>
        <w:pStyle w:val="ListParagraph"/>
        <w:numPr>
          <w:ilvl w:val="0"/>
          <w:numId w:val="1"/>
        </w:numPr>
        <w:spacing w:after="90"/>
      </w:pPr>
      <w:r>
        <w:rPr>
          <w:sz w:val="21"/>
          <w:szCs w:val="21"/>
        </w:rPr>
        <w:t xml:space="preserve">"I don't know" and "Prefer not to say" are always present as explicit chip options — never something the patient has to guess how to skip.</w:t>
      </w:r>
    </w:p>
    <w:p>
      <w:pPr>
        <w:pStyle w:val="ListParagraph"/>
        <w:numPr>
          <w:ilvl w:val="0"/>
          <w:numId w:val="1"/>
        </w:numPr>
        <w:spacing w:after="90"/>
      </w:pPr>
      <w:r>
        <w:rPr>
          <w:sz w:val="21"/>
          <w:szCs w:val="21"/>
        </w:rPr>
        <w:t xml:space="preserve">If the agent's confidence in a spoken answer is low, it asks a short, non-repetitive clarifying question rather than silently guessing.</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Barge-in supported — the patient can start speaking before the prompt finishes.</w:t>
      </w:r>
    </w:p>
    <w:p>
      <w:pPr>
        <w:pStyle w:val="ListParagraph"/>
        <w:numPr>
          <w:ilvl w:val="0"/>
          <w:numId w:val="1"/>
        </w:numPr>
        <w:spacing w:after="90"/>
      </w:pPr>
      <w:r>
        <w:rPr>
          <w:sz w:val="21"/>
          <w:szCs w:val="21"/>
        </w:rPr>
        <w:t xml:space="preserve">Speed and volume controls always reachable without leaving the question.</w:t>
      </w:r>
    </w:p>
    <w:p>
      <w:pPr>
        <w:pStyle w:val="ListParagraph"/>
        <w:numPr>
          <w:ilvl w:val="0"/>
          <w:numId w:val="1"/>
        </w:numPr>
        <w:spacing w:after="90"/>
      </w:pPr>
      <w:r>
        <w:rPr>
          <w:sz w:val="21"/>
          <w:szCs w:val="21"/>
        </w:rPr>
        <w:t xml:space="preserve">For the AYUSH flow, every question is prefixed on-screen with a small "About you" label so patients understand these are self-reported, not diagnostic, questions.</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Normal question, low-confidence re-ask, red-flag interrupt (see 3.5), patient correction of a previous answer (accessible via a visible "go back" without losing later answers), session pause/resume.</w:t>
      </w:r>
    </w:p>
    <w:p>
      <w:pPr>
        <w:pStyle w:val="Heading2"/>
        <w:spacing w:after="150" w:before="300"/>
      </w:pPr>
      <w:r>
        <w:rPr>
          <w:b/>
          <w:bCs/>
          <w:color w:val="2F5D62"/>
          <w:sz w:val="26"/>
          <w:szCs w:val="26"/>
        </w:rPr>
        <w:t xml:space="preserve">3.5 Emergency / Red-Flag Alert (interrupt state)</w:t>
      </w:r>
    </w:p>
    <w:p>
      <w:pPr>
        <w:spacing w:after="160" w:line="300"/>
      </w:pPr>
      <w:r>
        <w:rPr>
          <w:b w:val="false"/>
          <w:bCs w:val="false"/>
          <w:i w:val="false"/>
          <w:iCs w:val="false"/>
          <w:sz w:val="21"/>
          <w:szCs w:val="21"/>
        </w:rPr>
        <w:t xml:space="preserve">Triggered automatically the moment a deterministic red-flag pattern is detected — overrides the normal flow.</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Full-screen, high-contrast alert with a single, calm, plain-language instruction (e.g., "Please go to the Emergency desk now — a nurse has been alerted").</w:t>
      </w:r>
    </w:p>
    <w:p>
      <w:pPr>
        <w:pStyle w:val="ListParagraph"/>
        <w:numPr>
          <w:ilvl w:val="0"/>
          <w:numId w:val="1"/>
        </w:numPr>
        <w:spacing w:after="90"/>
      </w:pPr>
      <w:r>
        <w:rPr>
          <w:sz w:val="21"/>
          <w:szCs w:val="21"/>
        </w:rPr>
        <w:t xml:space="preserve">No further data entry is requested at this point; the interview can resume later if appropriate.</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Instruction is spoken automatically and repeats until dismissed by staff, not by the patient.</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Uses red only for this state (reserved colour per Section 2.1); very large text; no reliance on reading small print during a distress state.</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Alert active / acknowledged by staff / escalated (patient view stays the same in all cases — escalation is a staff-side state, not shown to the patient).</w:t>
      </w:r>
    </w:p>
    <w:p>
      <w:pPr>
        <w:pStyle w:val="Heading2"/>
        <w:spacing w:after="150" w:before="300"/>
      </w:pPr>
      <w:r>
        <w:rPr>
          <w:b/>
          <w:bCs/>
          <w:color w:val="2F5D62"/>
          <w:sz w:val="26"/>
          <w:szCs w:val="26"/>
        </w:rPr>
        <w:t xml:space="preserve">3.6 Scan — Document Capture</w:t>
      </w:r>
    </w:p>
    <w:p>
      <w:pPr>
        <w:spacing w:after="160" w:line="300"/>
      </w:pPr>
      <w:r>
        <w:rPr>
          <w:b w:val="false"/>
          <w:bCs w:val="false"/>
          <w:i w:val="false"/>
          <w:iCs w:val="false"/>
          <w:sz w:val="21"/>
          <w:szCs w:val="21"/>
        </w:rPr>
        <w:t xml:space="preserve">Lets the patient add prior prescriptions, lab reports, or discharge summaries.</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Large "Add a document" button with three icon options: camera, upload from queue-slip scanner, skip this step.</w:t>
      </w:r>
    </w:p>
    <w:p>
      <w:pPr>
        <w:pStyle w:val="ListParagraph"/>
        <w:numPr>
          <w:ilvl w:val="0"/>
          <w:numId w:val="1"/>
        </w:numPr>
        <w:spacing w:after="90"/>
      </w:pPr>
      <w:r>
        <w:rPr>
          <w:sz w:val="21"/>
          <w:szCs w:val="21"/>
        </w:rPr>
        <w:t xml:space="preserve">Live camera preview with an on-screen frame guide and automatic capture when the page is steady and in-frame.</w:t>
      </w:r>
    </w:p>
    <w:p>
      <w:pPr>
        <w:pStyle w:val="ListParagraph"/>
        <w:numPr>
          <w:ilvl w:val="0"/>
          <w:numId w:val="1"/>
        </w:numPr>
        <w:spacing w:after="90"/>
      </w:pPr>
      <w:r>
        <w:rPr>
          <w:sz w:val="21"/>
          <w:szCs w:val="21"/>
        </w:rPr>
        <w:t xml:space="preserve">After each capture, a thumbnail strip builds up so the patient can see and remove documents before continuing.</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Primarily touch/camera-driven; audio guidance narrates each step ("Hold the paper flat, then tap the button").</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Auto-capture reduces the need for precise tapping; a manual "tap to capture" fallback is always available for users who prefer control.</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Good scan, blurry/skewed scan (prompts rescan automatically), duplicate scan detected (asks patient to confirm before adding again), skipped entirely.</w:t>
      </w:r>
    </w:p>
    <w:p>
      <w:pPr>
        <w:pStyle w:val="Heading2"/>
        <w:spacing w:after="150" w:before="300"/>
      </w:pPr>
      <w:r>
        <w:rPr>
          <w:b/>
          <w:bCs/>
          <w:color w:val="2F5D62"/>
          <w:sz w:val="26"/>
          <w:szCs w:val="26"/>
        </w:rPr>
        <w:t xml:space="preserve">3.7 Confirm &amp; Finish</w:t>
      </w:r>
    </w:p>
    <w:p>
      <w:pPr>
        <w:spacing w:after="160" w:line="300"/>
      </w:pPr>
      <w:r>
        <w:rPr>
          <w:b w:val="false"/>
          <w:bCs w:val="false"/>
          <w:i w:val="false"/>
          <w:iCs w:val="false"/>
          <w:sz w:val="21"/>
          <w:szCs w:val="21"/>
        </w:rPr>
        <w:t xml:space="preserve">Patient-facing close-out before the summary is routed to the clinician.</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Plain-language, bilingual (patient language + audio) recap: "Here is what we noted — please tell us if anything is wrong."</w:t>
      </w:r>
    </w:p>
    <w:p>
      <w:pPr>
        <w:pStyle w:val="ListParagraph"/>
        <w:numPr>
          <w:ilvl w:val="0"/>
          <w:numId w:val="1"/>
        </w:numPr>
        <w:spacing w:after="90"/>
      </w:pPr>
      <w:r>
        <w:rPr>
          <w:sz w:val="21"/>
          <w:szCs w:val="21"/>
        </w:rPr>
        <w:t xml:space="preserve">Large "That's correct" and "Something's wrong" buttons; the latter routes back into the relevant section rather than starting over.</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Recap is read aloud automatically; patient can ask to hear any section again.</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No technical or clinical terminology in the patient-facing recap — plain descriptions only, with the structured clinical version reserved for the clinician screen.</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Standard completion, patient-flagged correction, session handed to human staff for unresolved issues.</w:t>
      </w:r>
    </w:p>
    <w:p>
      <w:pPr>
        <w:pStyle w:val="Heading1"/>
        <w:spacing w:after="200" w:before="400"/>
      </w:pPr>
      <w:r>
        <w:rPr>
          <w:b/>
          <w:bCs/>
          <w:color w:val="2F5D62"/>
          <w:sz w:val="32"/>
          <w:szCs w:val="32"/>
        </w:rPr>
        <w:t xml:space="preserve">4. Clinician Review Dashboard — Screen-by-Screen Flow</w:t>
      </w:r>
    </w:p>
    <w:p>
      <w:pPr>
        <w:pStyle w:val="Heading2"/>
        <w:spacing w:after="150" w:before="300"/>
      </w:pPr>
      <w:r>
        <w:rPr>
          <w:b/>
          <w:bCs/>
          <w:color w:val="2F5D62"/>
          <w:sz w:val="26"/>
          <w:szCs w:val="26"/>
        </w:rPr>
        <w:t xml:space="preserve">4.1 Queue / Patient List</w:t>
      </w:r>
    </w:p>
    <w:p>
      <w:pPr>
        <w:spacing w:after="160" w:line="300"/>
      </w:pPr>
      <w:r>
        <w:rPr>
          <w:b w:val="false"/>
          <w:bCs w:val="false"/>
          <w:i w:val="false"/>
          <w:iCs w:val="false"/>
          <w:sz w:val="21"/>
          <w:szCs w:val="21"/>
        </w:rPr>
        <w:t xml:space="preserve">Landing screen for the clinician at the start of each consultation.</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Compact list/table: patient name or ID, chief complaint, wait time, and a status chip ("Draft ready", "Needs attention" for contradictions/red flags).</w:t>
      </w:r>
    </w:p>
    <w:p>
      <w:pPr>
        <w:pStyle w:val="ListParagraph"/>
        <w:numPr>
          <w:ilvl w:val="0"/>
          <w:numId w:val="1"/>
        </w:numPr>
        <w:spacing w:after="90"/>
      </w:pPr>
      <w:r>
        <w:rPr>
          <w:sz w:val="21"/>
          <w:szCs w:val="21"/>
        </w:rPr>
        <w:t xml:space="preserve">One-click open into the patient's structured summary.</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N/A — desktop, mouse/keyboard/touch.</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High information density but readable at a glance; status chips use icon + colour + label, never colour alone.</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Empty queue, normal queue, a patient flagged "needs attention" sorted to the top.</w:t>
      </w:r>
    </w:p>
    <w:p>
      <w:pPr>
        <w:pStyle w:val="Heading2"/>
        <w:spacing w:after="150" w:before="300"/>
      </w:pPr>
      <w:r>
        <w:rPr>
          <w:b/>
          <w:bCs/>
          <w:color w:val="2F5D62"/>
          <w:sz w:val="26"/>
          <w:szCs w:val="26"/>
        </w:rPr>
        <w:t xml:space="preserve">4.2 Structured Summary View</w:t>
      </w:r>
    </w:p>
    <w:p>
      <w:pPr>
        <w:spacing w:after="160" w:line="300"/>
      </w:pPr>
      <w:r>
        <w:rPr>
          <w:b w:val="false"/>
          <w:bCs w:val="false"/>
          <w:i w:val="false"/>
          <w:iCs w:val="false"/>
          <w:sz w:val="21"/>
          <w:szCs w:val="21"/>
        </w:rPr>
        <w:t xml:space="preserve">The core clinician screen — a fast, trustworthy read of the whole intake.</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Sections in fixed clinical order: Chief Complaint → HPI → Past Medical/Surgical → Drug &amp; Allergy → Family → Personal → Review of Systems → Prior Investigations → AYUSH profile (if applicable).</w:t>
      </w:r>
    </w:p>
    <w:p>
      <w:pPr>
        <w:pStyle w:val="ListParagraph"/>
        <w:numPr>
          <w:ilvl w:val="0"/>
          <w:numId w:val="1"/>
        </w:numPr>
        <w:spacing w:after="90"/>
      </w:pPr>
      <w:r>
        <w:rPr>
          <w:sz w:val="21"/>
          <w:szCs w:val="21"/>
        </w:rPr>
        <w:t xml:space="preserve">Every AI-derived field carries a persistent "Draft — unverified" tag until accepted.</w:t>
      </w:r>
    </w:p>
    <w:p>
      <w:pPr>
        <w:pStyle w:val="ListParagraph"/>
        <w:numPr>
          <w:ilvl w:val="0"/>
          <w:numId w:val="1"/>
        </w:numPr>
        <w:spacing w:after="90"/>
      </w:pPr>
      <w:r>
        <w:rPr>
          <w:sz w:val="21"/>
          <w:szCs w:val="21"/>
        </w:rPr>
        <w:t xml:space="preserve">Contradictions are rendered as a two-column side-by-side card ("Patient said" vs "Document shows"), never merged into one line.</w:t>
      </w:r>
    </w:p>
    <w:p>
      <w:pPr>
        <w:pStyle w:val="ListParagraph"/>
        <w:numPr>
          <w:ilvl w:val="0"/>
          <w:numId w:val="1"/>
        </w:numPr>
        <w:spacing w:after="90"/>
      </w:pPr>
      <w:r>
        <w:rPr>
          <w:sz w:val="21"/>
          <w:szCs w:val="21"/>
        </w:rPr>
        <w:t xml:space="preserve">Low-confidence extracted fields (from Gemini document extraction) show an amber "Please verify" tag with a thumbnail of the original document crop next to the extracted value.</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N/A — desktop.</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Section-level accept/edit/reject controls reachable by keyboard as well as mouse; drill-down never requires more than one click.</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Fully clean draft, contradiction present, low-confidence field present, red-flag event logged for this session, AYUSH self-report section present.</w:t>
      </w:r>
    </w:p>
    <w:p>
      <w:pPr>
        <w:pStyle w:val="Heading2"/>
        <w:spacing w:after="150" w:before="300"/>
      </w:pPr>
      <w:r>
        <w:rPr>
          <w:b/>
          <w:bCs/>
          <w:color w:val="2F5D62"/>
          <w:sz w:val="26"/>
          <w:szCs w:val="26"/>
        </w:rPr>
        <w:t xml:space="preserve">4.3 Source Drill-Down</w:t>
      </w:r>
    </w:p>
    <w:p>
      <w:pPr>
        <w:spacing w:after="160" w:line="300"/>
      </w:pPr>
      <w:r>
        <w:rPr>
          <w:b w:val="false"/>
          <w:bCs w:val="false"/>
          <w:i w:val="false"/>
          <w:iCs w:val="false"/>
          <w:sz w:val="21"/>
          <w:szCs w:val="21"/>
        </w:rPr>
        <w:t xml:space="preserve">Opens from any field to show exactly where it came from.</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Side panel or modal showing: source type (speech transcript / touch selection / document extraction), exact transcript snippet or document crop, timestamp, and model/version used if AI-derived.</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N/A — desktop.</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Panel is dismissible without losing the clinician's place in the main summary.</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Speech-sourced field, touch-sourced field, document-sourced field, clinician-edited field (shows edit history).</w:t>
      </w:r>
    </w:p>
    <w:p>
      <w:pPr>
        <w:pStyle w:val="Heading2"/>
        <w:spacing w:after="150" w:before="300"/>
      </w:pPr>
      <w:r>
        <w:rPr>
          <w:b/>
          <w:bCs/>
          <w:color w:val="2F5D62"/>
          <w:sz w:val="26"/>
          <w:szCs w:val="26"/>
        </w:rPr>
        <w:t xml:space="preserve">4.4 Attestation</w:t>
      </w:r>
    </w:p>
    <w:p>
      <w:pPr>
        <w:spacing w:after="160" w:line="300"/>
      </w:pPr>
      <w:r>
        <w:rPr>
          <w:b w:val="false"/>
          <w:bCs w:val="false"/>
          <w:i w:val="false"/>
          <w:iCs w:val="false"/>
          <w:sz w:val="21"/>
          <w:szCs w:val="21"/>
        </w:rPr>
        <w:t xml:space="preserve">Converts the draft into the final clinician-attested record.</w:t>
      </w:r>
    </w:p>
    <w:p>
      <w:pPr>
        <w:pStyle w:val="Heading3"/>
        <w:spacing w:after="120" w:before="220"/>
      </w:pPr>
      <w:r>
        <w:rPr>
          <w:b/>
          <w:bCs/>
          <w:color w:val="C15B3A"/>
          <w:sz w:val="22"/>
          <w:szCs w:val="22"/>
        </w:rPr>
        <w:t xml:space="preserve">Layout</w:t>
      </w:r>
    </w:p>
    <w:p>
      <w:pPr>
        <w:pStyle w:val="ListParagraph"/>
        <w:numPr>
          <w:ilvl w:val="0"/>
          <w:numId w:val="1"/>
        </w:numPr>
        <w:spacing w:after="90"/>
      </w:pPr>
      <w:r>
        <w:rPr>
          <w:sz w:val="21"/>
          <w:szCs w:val="21"/>
        </w:rPr>
        <w:t xml:space="preserve">A single, clear "Confirm &amp; Sign" action after all sections are reviewed; disabled until every "needs attention" item has been explicitly acted on (not silently ignorable).</w:t>
      </w:r>
    </w:p>
    <w:p>
      <w:pPr>
        <w:pStyle w:val="ListParagraph"/>
        <w:numPr>
          <w:ilvl w:val="0"/>
          <w:numId w:val="1"/>
        </w:numPr>
        <w:spacing w:after="90"/>
      </w:pPr>
      <w:r>
        <w:rPr>
          <w:sz w:val="21"/>
          <w:szCs w:val="21"/>
        </w:rPr>
        <w:t xml:space="preserve">Confirmation shows a summary of what will be attested and a timestamped signature line.</w:t>
      </w:r>
    </w:p>
    <w:p>
      <w:pPr>
        <w:pStyle w:val="Heading3"/>
        <w:spacing w:after="120" w:before="220"/>
      </w:pPr>
      <w:r>
        <w:rPr>
          <w:b/>
          <w:bCs/>
          <w:color w:val="C15B3A"/>
          <w:sz w:val="22"/>
          <w:szCs w:val="22"/>
        </w:rPr>
        <w:t xml:space="preserve">Voice + Touch behaviour</w:t>
      </w:r>
    </w:p>
    <w:p>
      <w:pPr>
        <w:pStyle w:val="ListParagraph"/>
        <w:numPr>
          <w:ilvl w:val="0"/>
          <w:numId w:val="1"/>
        </w:numPr>
        <w:spacing w:after="90"/>
      </w:pPr>
      <w:r>
        <w:rPr>
          <w:sz w:val="21"/>
          <w:szCs w:val="21"/>
        </w:rPr>
        <w:t xml:space="preserve">N/A — desktop.</w:t>
      </w:r>
    </w:p>
    <w:p>
      <w:pPr>
        <w:pStyle w:val="Heading3"/>
        <w:spacing w:after="120" w:before="220"/>
      </w:pPr>
      <w:r>
        <w:rPr>
          <w:b/>
          <w:bCs/>
          <w:color w:val="C15B3A"/>
          <w:sz w:val="22"/>
          <w:szCs w:val="22"/>
        </w:rPr>
        <w:t xml:space="preserve">Accessibility notes</w:t>
      </w:r>
    </w:p>
    <w:p>
      <w:pPr>
        <w:pStyle w:val="ListParagraph"/>
        <w:numPr>
          <w:ilvl w:val="0"/>
          <w:numId w:val="1"/>
        </w:numPr>
        <w:spacing w:after="90"/>
      </w:pPr>
      <w:r>
        <w:rPr>
          <w:sz w:val="21"/>
          <w:szCs w:val="21"/>
        </w:rPr>
        <w:t xml:space="preserve">Action is unambiguous and cannot be triggered accidentally (requires a confirming click, not a hover or single tap).</w:t>
      </w:r>
    </w:p>
    <w:p>
      <w:pPr>
        <w:pStyle w:val="Heading3"/>
        <w:spacing w:after="120" w:before="220"/>
      </w:pPr>
      <w:r>
        <w:rPr>
          <w:b/>
          <w:bCs/>
          <w:color w:val="C15B3A"/>
          <w:sz w:val="22"/>
          <w:szCs w:val="22"/>
        </w:rPr>
        <w:t xml:space="preserve">States to design for</w:t>
      </w:r>
    </w:p>
    <w:p>
      <w:pPr>
        <w:pStyle w:val="ListParagraph"/>
        <w:numPr>
          <w:ilvl w:val="0"/>
          <w:numId w:val="1"/>
        </w:numPr>
        <w:spacing w:after="90"/>
      </w:pPr>
      <w:r>
        <w:rPr>
          <w:sz w:val="21"/>
          <w:szCs w:val="21"/>
        </w:rPr>
        <w:t xml:space="preserve">Ready to sign, blocked (unresolved items remain), signed (read-only, version history visible).</w:t>
      </w:r>
    </w:p>
    <w:p>
      <w:r>
        <w:br w:type="page"/>
      </w:r>
    </w:p>
    <w:p>
      <w:pPr>
        <w:pStyle w:val="Heading1"/>
        <w:spacing w:after="200" w:before="400"/>
      </w:pPr>
      <w:r>
        <w:rPr>
          <w:b/>
          <w:bCs/>
          <w:color w:val="2F5D62"/>
          <w:sz w:val="32"/>
          <w:szCs w:val="32"/>
        </w:rPr>
        <w:t xml:space="preserve">5. Special-Population Design 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D62" w:val="clear"/>
            <w:tcMar>
              <w:top w:type="dxa" w:w="80"/>
              <w:left w:type="dxa" w:w="100"/>
              <w:bottom w:type="dxa" w:w="80"/>
              <w:right w:type="dxa" w:w="100"/>
            </w:tcMar>
            <w:vAlign w:val="center"/>
          </w:tcPr>
          <w:p>
            <w:r>
              <w:rPr>
                <w:b/>
                <w:bCs/>
                <w:color w:val="FFFFFF"/>
                <w:sz w:val="19"/>
                <w:szCs w:val="19"/>
              </w:rPr>
              <w:t xml:space="preserve">Persona</w:t>
            </w:r>
          </w:p>
        </w:tc>
        <w:tc>
          <w:tcPr>
            <w:tcW w:type="dxa" w:w="6400"/>
            <w:shd w:fill="2F5D62" w:val="clear"/>
            <w:tcMar>
              <w:top w:type="dxa" w:w="80"/>
              <w:left w:type="dxa" w:w="100"/>
              <w:bottom w:type="dxa" w:w="80"/>
              <w:right w:type="dxa" w:w="100"/>
            </w:tcMar>
            <w:vAlign w:val="center"/>
          </w:tcPr>
          <w:p>
            <w:r>
              <w:rPr>
                <w:b/>
                <w:bCs/>
                <w:color w:val="FFFFFF"/>
                <w:sz w:val="19"/>
                <w:szCs w:val="19"/>
              </w:rPr>
              <w:t xml:space="preserve">Variant applied</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First-time elderly, low literacy</w:t>
            </w:r>
          </w:p>
        </w:tc>
        <w:tc>
          <w:tcPr>
            <w:tcW w:type="dxa" w:w="6400"/>
            <w:tcMar>
              <w:top w:type="dxa" w:w="80"/>
              <w:left w:type="dxa" w:w="100"/>
              <w:bottom w:type="dxa" w:w="80"/>
              <w:right w:type="dxa" w:w="100"/>
            </w:tcMar>
            <w:vAlign w:val="center"/>
          </w:tcPr>
          <w:p>
            <w:r>
              <w:rPr>
                <w:b w:val="false"/>
                <w:bCs w:val="false"/>
                <w:color w:val="1A1A1A"/>
                <w:sz w:val="19"/>
                <w:szCs w:val="19"/>
              </w:rPr>
              <w:t xml:space="preserve">Audio-first mode auto-suggested; larger default text size; caregiver-assist option surfaced early</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Rural patient, regional dialect</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Disclosed language-coverage matrix shown at selection; graceful fallback to touch-only, never a silent failure</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Patient in acute distress</w:t>
            </w:r>
          </w:p>
        </w:tc>
        <w:tc>
          <w:tcPr>
            <w:tcW w:type="dxa" w:w="6400"/>
            <w:tcMar>
              <w:top w:type="dxa" w:w="80"/>
              <w:left w:type="dxa" w:w="100"/>
              <w:bottom w:type="dxa" w:w="80"/>
              <w:right w:type="dxa" w:w="100"/>
            </w:tcMar>
            <w:vAlign w:val="center"/>
          </w:tcPr>
          <w:p>
            <w:r>
              <w:rPr>
                <w:b w:val="false"/>
                <w:bCs w:val="false"/>
                <w:color w:val="1A1A1A"/>
                <w:sz w:val="19"/>
                <w:szCs w:val="19"/>
              </w:rPr>
              <w:t xml:space="preserve">Shortened path with fewer optional questions; red-flag interrupt takes priority over completing the interview</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Non-verbal / hearing- or speech-impaired</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Full touch-only pathway with icon-driven navigation available from the very first screen, not as an afterthought</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Paediatric with guardian</w:t>
            </w:r>
          </w:p>
        </w:tc>
        <w:tc>
          <w:tcPr>
            <w:tcW w:type="dxa" w:w="6400"/>
            <w:tcMar>
              <w:top w:type="dxa" w:w="80"/>
              <w:left w:type="dxa" w:w="100"/>
              <w:bottom w:type="dxa" w:w="80"/>
              <w:right w:type="dxa" w:w="100"/>
            </w:tcMar>
            <w:vAlign w:val="center"/>
          </w:tcPr>
          <w:p>
            <w:r>
              <w:rPr>
                <w:b w:val="false"/>
                <w:bCs w:val="false"/>
                <w:color w:val="1A1A1A"/>
                <w:sz w:val="19"/>
                <w:szCs w:val="19"/>
              </w:rPr>
              <w:t xml:space="preserve">Guardian-flow variant on the Identify and Consent screens with explicit proxy identity capture</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Pregnant / female-health</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Context-triggered question branches only when clinically relevant, asked with a private, non-judgemental tone and phrasing</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Returning AYUSH patient</w:t>
            </w:r>
          </w:p>
        </w:tc>
        <w:tc>
          <w:tcPr>
            <w:tcW w:type="dxa" w:w="6400"/>
            <w:tcMar>
              <w:top w:type="dxa" w:w="80"/>
              <w:left w:type="dxa" w:w="100"/>
              <w:bottom w:type="dxa" w:w="80"/>
              <w:right w:type="dxa" w:w="100"/>
            </w:tcMar>
            <w:vAlign w:val="center"/>
          </w:tcPr>
          <w:p>
            <w:r>
              <w:rPr>
                <w:b w:val="false"/>
                <w:bCs w:val="false"/>
                <w:color w:val="1A1A1A"/>
                <w:sz w:val="19"/>
                <w:szCs w:val="19"/>
              </w:rPr>
              <w:t xml:space="preserve">Identify screen offers to fetch prior Prakriti/Vikriti history (where authorised) for continuity, always shown for patient confirmation, never auto-applied silently</w:t>
            </w:r>
          </w:p>
        </w:tc>
      </w:tr>
    </w:tbl>
    <w:p>
      <w:pPr>
        <w:pStyle w:val="Heading1"/>
        <w:spacing w:after="200" w:before="400"/>
      </w:pPr>
      <w:r>
        <w:rPr>
          <w:b/>
          <w:bCs/>
          <w:color w:val="2F5D62"/>
          <w:sz w:val="32"/>
          <w:szCs w:val="32"/>
        </w:rPr>
        <w:t xml:space="preserve">6. Privacy-at-Kiosk Design Notes</w:t>
      </w:r>
    </w:p>
    <w:p>
      <w:pPr>
        <w:pStyle w:val="ListParagraph"/>
        <w:numPr>
          <w:ilvl w:val="0"/>
          <w:numId w:val="1"/>
        </w:numPr>
        <w:spacing w:after="90"/>
      </w:pPr>
      <w:r>
        <w:rPr>
          <w:sz w:val="21"/>
          <w:szCs w:val="21"/>
        </w:rPr>
        <w:t xml:space="preserve">Screen is angled and a physical/visual privacy shield recommended so the queue behind the current patient cannot read on-screen answers.</w:t>
      </w:r>
    </w:p>
    <w:p>
      <w:pPr>
        <w:pStyle w:val="ListParagraph"/>
        <w:numPr>
          <w:ilvl w:val="0"/>
          <w:numId w:val="1"/>
        </w:numPr>
        <w:spacing w:after="90"/>
      </w:pPr>
      <w:r>
        <w:rPr>
          <w:sz w:val="21"/>
          <w:szCs w:val="21"/>
        </w:rPr>
        <w:t xml:space="preserve">Headphone jack/wireless-headphone option for audio so spoken prompts are not overheard; microphone indicator light is always visible when listening.</w:t>
      </w:r>
    </w:p>
    <w:p>
      <w:pPr>
        <w:pStyle w:val="ListParagraph"/>
        <w:numPr>
          <w:ilvl w:val="0"/>
          <w:numId w:val="1"/>
        </w:numPr>
        <w:spacing w:after="90"/>
      </w:pPr>
      <w:r>
        <w:rPr>
          <w:sz w:val="21"/>
          <w:szCs w:val="21"/>
        </w:rPr>
        <w:t xml:space="preserve">Session auto-resets and clears on-screen content the moment a session ends or times out, before the next patient approaches.</w:t>
      </w:r>
    </w:p>
    <w:p>
      <w:pPr>
        <w:pStyle w:val="Heading1"/>
        <w:spacing w:after="200" w:before="400"/>
      </w:pPr>
      <w:r>
        <w:rPr>
          <w:b/>
          <w:bCs/>
          <w:color w:val="2F5D62"/>
          <w:sz w:val="32"/>
          <w:szCs w:val="32"/>
        </w:rPr>
        <w:t xml:space="preserve">7. Handoff Notes for Engineering</w:t>
      </w:r>
    </w:p>
    <w:p>
      <w:pPr>
        <w:spacing w:after="160" w:line="300"/>
      </w:pPr>
      <w:r>
        <w:rPr>
          <w:b w:val="false"/>
          <w:bCs w:val="false"/>
          <w:i w:val="false"/>
          <w:iCs w:val="false"/>
          <w:sz w:val="21"/>
          <w:szCs w:val="21"/>
        </w:rPr>
        <w:t xml:space="preserve">This design specification maps directly onto the screens and states referenced in the companion PRD (Section 5, functional requirements A1–A6, B1–B5, C1–C4, D1–D4) and onto the Next.js route structure defined in the companion Technical Architecture document. Component-level implementation should treat each screen above as one route/page with the listed states as conditional renders, not separate pages, to keep session state continuous.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2026-08-31T09:25:18.891Z</dcterms:created>
  <dcterms:modified xsi:type="dcterms:W3CDTF">2026-08-31T09:25:18.891Z</dcterms:modified>
</cp:coreProperties>
</file>

<file path=docProps/custom.xml><?xml version="1.0" encoding="utf-8"?>
<Properties xmlns="http://schemas.openxmlformats.org/officeDocument/2006/custom-properties" xmlns:vt="http://schemas.openxmlformats.org/officeDocument/2006/docPropsVTypes"/>
</file>