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2F5D62"/>
          <w:sz w:val="64"/>
          <w:szCs w:val="64"/>
        </w:rPr>
        <w:t xml:space="preserve">MediKiosk</w:t>
      </w:r>
    </w:p>
    <w:p>
      <w:pPr>
        <w:spacing w:after="100"/>
        <w:jc w:val="center"/>
      </w:pPr>
      <w:r>
        <w:rPr>
          <w:i/>
          <w:iCs/>
          <w:sz w:val="30"/>
          <w:szCs w:val="30"/>
        </w:rPr>
        <w:t xml:space="preserve">Module PRD Set — Master Index</w:t>
      </w:r>
    </w:p>
    <w:p>
      <w:pPr>
        <w:spacing w:after="500"/>
        <w:jc w:val="center"/>
      </w:pPr>
      <w:r>
        <w:rPr>
          <w:b/>
          <w:bCs/>
          <w:color w:val="2F5D62"/>
          <w:sz w:val="26"/>
          <w:szCs w:val="26"/>
        </w:rPr>
        <w:t xml:space="preserve">How the five module PRDs fit together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2F5D62" w:val="clear"/>
            <w:tcMar>
              <w:top w:type="dxa" w:w="80"/>
              <w:left w:type="dxa" w:w="100"/>
              <w:bottom w:type="dxa" w:w="80"/>
              <w:right w:type="dxa" w:w="100"/>
            </w:tcMar>
            <w:vAlign w:val="center"/>
          </w:tcPr>
          <w:p>
            <w:r>
              <w:rPr>
                <w:b/>
                <w:bCs/>
                <w:color w:val="FFFFFF"/>
                <w:sz w:val="19"/>
                <w:szCs w:val="19"/>
              </w:rPr>
              <w:t xml:space="preserve">Field</w:t>
            </w:r>
          </w:p>
        </w:tc>
        <w:tc>
          <w:tcPr>
            <w:tcW w:type="dxa" w:w="6400"/>
            <w:shd w:fill="2F5D62" w:val="clear"/>
            <w:tcMar>
              <w:top w:type="dxa" w:w="80"/>
              <w:left w:type="dxa" w:w="100"/>
              <w:bottom w:type="dxa" w:w="80"/>
              <w:right w:type="dxa" w:w="100"/>
            </w:tcMar>
            <w:vAlign w:val="center"/>
          </w:tcPr>
          <w:p>
            <w:r>
              <w:rPr>
                <w:b/>
                <w:bCs/>
                <w:color w:val="FFFFFF"/>
                <w:sz w:val="19"/>
                <w:szCs w:val="19"/>
              </w:rPr>
              <w:t xml:space="preserve">Detail</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Document</w:t>
            </w:r>
          </w:p>
        </w:tc>
        <w:tc>
          <w:tcPr>
            <w:tcW w:type="dxa" w:w="6400"/>
            <w:tcMar>
              <w:top w:type="dxa" w:w="80"/>
              <w:left w:type="dxa" w:w="100"/>
              <w:bottom w:type="dxa" w:w="80"/>
              <w:right w:type="dxa" w:w="100"/>
            </w:tcMar>
            <w:vAlign w:val="center"/>
          </w:tcPr>
          <w:p>
            <w:r>
              <w:rPr>
                <w:b w:val="false"/>
                <w:bCs w:val="false"/>
                <w:color w:val="1A1A1A"/>
                <w:sz w:val="19"/>
                <w:szCs w:val="19"/>
              </w:rPr>
              <w:t xml:space="preserve">MediKiosk Phase 2 — Module PRD Master Index</w:t>
            </w:r>
          </w:p>
        </w:tc>
      </w:tr>
      <w:tr>
        <w:tc>
          <w:tcPr>
            <w:tcW w:type="dxa" w:w="2600"/>
            <w:shd w:fill="F5F8F8" w:val="clear"/>
            <w:tcMar>
              <w:top w:type="dxa" w:w="80"/>
              <w:left w:type="dxa" w:w="100"/>
              <w:bottom w:type="dxa" w:w="80"/>
              <w:right w:type="dxa" w:w="100"/>
            </w:tcMar>
            <w:vAlign w:val="center"/>
          </w:tcPr>
          <w:p>
            <w:r>
              <w:rPr>
                <w:b w:val="false"/>
                <w:bCs w:val="false"/>
                <w:color w:val="1A1A1A"/>
                <w:sz w:val="19"/>
                <w:szCs w:val="19"/>
              </w:rPr>
              <w:t xml:space="preserve">Replaces</w:t>
            </w:r>
          </w:p>
        </w:tc>
        <w:tc>
          <w:tcPr>
            <w:tcW w:type="dxa" w:w="6400"/>
            <w:shd w:fill="F5F8F8" w:val="clear"/>
            <w:tcMar>
              <w:top w:type="dxa" w:w="80"/>
              <w:left w:type="dxa" w:w="100"/>
              <w:bottom w:type="dxa" w:w="80"/>
              <w:right w:type="dxa" w:w="100"/>
            </w:tcMar>
            <w:vAlign w:val="center"/>
          </w:tcPr>
          <w:p>
            <w:r>
              <w:rPr>
                <w:b w:val="false"/>
                <w:bCs w:val="false"/>
                <w:color w:val="1A1A1A"/>
                <w:sz w:val="19"/>
                <w:szCs w:val="19"/>
              </w:rPr>
              <w:t xml:space="preserve">The module-boundary sections of MediKiosk_Phase2_PRD.docx, which now becomes the shared engineering baseline referenced by every module PRD</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Why split by module</w:t>
            </w:r>
          </w:p>
        </w:tc>
        <w:tc>
          <w:tcPr>
            <w:tcW w:type="dxa" w:w="6400"/>
            <w:tcMar>
              <w:top w:type="dxa" w:w="80"/>
              <w:left w:type="dxa" w:w="100"/>
              <w:bottom w:type="dxa" w:w="80"/>
              <w:right w:type="dxa" w:w="100"/>
            </w:tcMar>
            <w:vAlign w:val="center"/>
          </w:tcPr>
          <w:p>
            <w:r>
              <w:rPr>
                <w:b w:val="false"/>
                <w:bCs w:val="false"/>
                <w:color w:val="1A1A1A"/>
                <w:sz w:val="19"/>
                <w:szCs w:val="19"/>
              </w:rPr>
              <w:t xml:space="preserve">Each AI/data capability (voice intake, document extraction, summarisation, identity/consent/ABDM, clinician review) is owned, built, and evaluated somewhat independently; a dedicated PRD per module lets each workstream move at its own pace without losing a single point of truth for how they connect</w:t>
            </w:r>
          </w:p>
        </w:tc>
      </w:tr>
      <w:tr>
        <w:tc>
          <w:tcPr>
            <w:tcW w:type="dxa" w:w="2600"/>
            <w:shd w:fill="F5F8F8" w:val="clear"/>
            <w:tcMar>
              <w:top w:type="dxa" w:w="80"/>
              <w:left w:type="dxa" w:w="100"/>
              <w:bottom w:type="dxa" w:w="80"/>
              <w:right w:type="dxa" w:w="100"/>
            </w:tcMar>
            <w:vAlign w:val="center"/>
          </w:tcPr>
          <w:p>
            <w:r>
              <w:rPr>
                <w:b w:val="false"/>
                <w:bCs w:val="false"/>
                <w:color w:val="1A1A1A"/>
                <w:sz w:val="19"/>
                <w:szCs w:val="19"/>
              </w:rPr>
              <w:t xml:space="preserve">Companion documents</w:t>
            </w:r>
          </w:p>
        </w:tc>
        <w:tc>
          <w:tcPr>
            <w:tcW w:type="dxa" w:w="6400"/>
            <w:shd w:fill="F5F8F8" w:val="clear"/>
            <w:tcMar>
              <w:top w:type="dxa" w:w="80"/>
              <w:left w:type="dxa" w:w="100"/>
              <w:bottom w:type="dxa" w:w="80"/>
              <w:right w:type="dxa" w:w="100"/>
            </w:tcMar>
            <w:vAlign w:val="center"/>
          </w:tcPr>
          <w:p>
            <w:r>
              <w:rPr>
                <w:b w:val="false"/>
                <w:bCs w:val="false"/>
                <w:color w:val="1A1A1A"/>
                <w:sz w:val="19"/>
                <w:szCs w:val="19"/>
              </w:rPr>
              <w:t xml:space="preserve">MediKiosk_UIUX_Design.docx, MediKiosk_Technical_Architecture.docx (unchanged — both still apply across all modules)</w:t>
            </w:r>
          </w:p>
        </w:tc>
      </w:tr>
    </w:tbl>
    <w:p>
      <w:r>
        <w:br w:type="page"/>
      </w:r>
    </w:p>
    <w:p>
      <w:pPr>
        <w:pStyle w:val="Heading1"/>
        <w:spacing w:after="200" w:before="400"/>
      </w:pPr>
      <w:r>
        <w:rPr>
          <w:b/>
          <w:bCs/>
          <w:color w:val="2F5D62"/>
          <w:sz w:val="32"/>
          <w:szCs w:val="32"/>
        </w:rPr>
        <w:t xml:space="preserve">1. Purpose of This Index</w:t>
      </w:r>
    </w:p>
    <w:p>
      <w:pPr>
        <w:spacing w:after="160" w:line="300"/>
      </w:pPr>
      <w:r>
        <w:rPr>
          <w:b w:val="false"/>
          <w:bCs w:val="false"/>
          <w:i w:val="false"/>
          <w:iCs w:val="false"/>
          <w:sz w:val="21"/>
          <w:szCs w:val="21"/>
        </w:rPr>
        <w:t xml:space="preserve">MediKiosk's build is now organised as five module-level PRDs instead of one combined document, so that the team building the Voice AI conversational intake, the team building Gemini-based prescription/document extraction, and so on, each have a focused, self-contained specification. This index is the one place that shows how those five modules connect, in what order they're built, which team owns which piece of data, and which standards must stay identical across all five so the modules don't drift apart or contradict each other.</w:t>
      </w:r>
    </w:p>
    <w:p>
      <w:pPr>
        <w:shd w:fill="EAF3F2" w:val="clear"/>
        <w:spacing w:after="200" w:before="100"/>
      </w:pPr>
      <w:r>
        <w:rPr>
          <w:i/>
          <w:iCs/>
          <w:color w:val="5B5B5B"/>
          <w:sz w:val="20"/>
          <w:szCs w:val="20"/>
        </w:rPr>
        <w:t xml:space="preserve">Read this index first, then open only the module PRD(s) relevant to your workstream. Each module PRD repeats the handful of shared rules below so it remains usable stand-alone.</w:t>
      </w:r>
    </w:p>
    <w:p>
      <w:pPr>
        <w:pStyle w:val="Heading1"/>
        <w:spacing w:after="200" w:before="400"/>
      </w:pPr>
      <w:r>
        <w:rPr>
          <w:b/>
          <w:bCs/>
          <w:color w:val="2F5D62"/>
          <w:sz w:val="32"/>
          <w:szCs w:val="32"/>
        </w:rPr>
        <w:t xml:space="preserve">2. The Five Module PRDs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500"/>
        <w:gridCol w:w="1700"/>
      </w:tblGrid>
      <w:tr>
        <w:trPr>
          <w:tblHeader/>
        </w:trPr>
        <w:tc>
          <w:tcPr>
            <w:tcW w:type="dxa" w:w="700"/>
            <w:shd w:fill="2F5D62" w:val="clear"/>
            <w:tcMar>
              <w:top w:type="dxa" w:w="80"/>
              <w:left w:type="dxa" w:w="100"/>
              <w:bottom w:type="dxa" w:w="80"/>
              <w:right w:type="dxa" w:w="100"/>
            </w:tcMar>
            <w:vAlign w:val="center"/>
          </w:tcPr>
          <w:p>
            <w:r>
              <w:rPr>
                <w:b/>
                <w:bCs/>
                <w:color w:val="FFFFFF"/>
                <w:sz w:val="19"/>
                <w:szCs w:val="19"/>
              </w:rPr>
              <w:t xml:space="preserve">#</w:t>
            </w:r>
          </w:p>
        </w:tc>
        <w:tc>
          <w:tcPr>
            <w:tcW w:type="dxa" w:w="3300"/>
            <w:shd w:fill="2F5D62" w:val="clear"/>
            <w:tcMar>
              <w:top w:type="dxa" w:w="80"/>
              <w:left w:type="dxa" w:w="100"/>
              <w:bottom w:type="dxa" w:w="80"/>
              <w:right w:type="dxa" w:w="100"/>
            </w:tcMar>
            <w:vAlign w:val="center"/>
          </w:tcPr>
          <w:p>
            <w:r>
              <w:rPr>
                <w:b/>
                <w:bCs/>
                <w:color w:val="FFFFFF"/>
                <w:sz w:val="19"/>
                <w:szCs w:val="19"/>
              </w:rPr>
              <w:t xml:space="preserve">Document</w:t>
            </w:r>
          </w:p>
        </w:tc>
        <w:tc>
          <w:tcPr>
            <w:tcW w:type="dxa" w:w="3500"/>
            <w:shd w:fill="2F5D62" w:val="clear"/>
            <w:tcMar>
              <w:top w:type="dxa" w:w="80"/>
              <w:left w:type="dxa" w:w="100"/>
              <w:bottom w:type="dxa" w:w="80"/>
              <w:right w:type="dxa" w:w="100"/>
            </w:tcMar>
            <w:vAlign w:val="center"/>
          </w:tcPr>
          <w:p>
            <w:r>
              <w:rPr>
                <w:b/>
                <w:bCs/>
                <w:color w:val="FFFFFF"/>
                <w:sz w:val="19"/>
                <w:szCs w:val="19"/>
              </w:rPr>
              <w:t xml:space="preserve">Covers</w:t>
            </w:r>
          </w:p>
        </w:tc>
        <w:tc>
          <w:tcPr>
            <w:tcW w:type="dxa" w:w="1700"/>
            <w:shd w:fill="2F5D62" w:val="clear"/>
            <w:tcMar>
              <w:top w:type="dxa" w:w="80"/>
              <w:left w:type="dxa" w:w="100"/>
              <w:bottom w:type="dxa" w:w="80"/>
              <w:right w:type="dxa" w:w="100"/>
            </w:tcMar>
            <w:vAlign w:val="center"/>
          </w:tcPr>
          <w:p>
            <w:r>
              <w:rPr>
                <w:b/>
                <w:bCs/>
                <w:color w:val="FFFFFF"/>
                <w:sz w:val="19"/>
                <w:szCs w:val="19"/>
              </w:rPr>
              <w:t xml:space="preserve">Corresponds to Phase-1 KB</w:t>
            </w:r>
          </w:p>
        </w:tc>
      </w:tr>
      <w:tr>
        <w:tc>
          <w:tcPr>
            <w:tcW w:type="dxa" w:w="700"/>
            <w:tcMar>
              <w:top w:type="dxa" w:w="80"/>
              <w:left w:type="dxa" w:w="100"/>
              <w:bottom w:type="dxa" w:w="80"/>
              <w:right w:type="dxa" w:w="100"/>
            </w:tcMar>
            <w:vAlign w:val="center"/>
          </w:tcPr>
          <w:p>
            <w:r>
              <w:rPr>
                <w:b w:val="false"/>
                <w:bCs w:val="false"/>
                <w:color w:val="1A1A1A"/>
                <w:sz w:val="19"/>
                <w:szCs w:val="19"/>
              </w:rPr>
              <w:t xml:space="preserve">M-A</w:t>
            </w:r>
          </w:p>
        </w:tc>
        <w:tc>
          <w:tcPr>
            <w:tcW w:type="dxa" w:w="3300"/>
            <w:tcMar>
              <w:top w:type="dxa" w:w="80"/>
              <w:left w:type="dxa" w:w="100"/>
              <w:bottom w:type="dxa" w:w="80"/>
              <w:right w:type="dxa" w:w="100"/>
            </w:tcMar>
            <w:vAlign w:val="center"/>
          </w:tcPr>
          <w:p>
            <w:r>
              <w:rPr>
                <w:b w:val="false"/>
                <w:bCs w:val="false"/>
                <w:color w:val="1A1A1A"/>
                <w:sz w:val="19"/>
                <w:szCs w:val="19"/>
              </w:rPr>
              <w:t xml:space="preserve">MediKiosk_PRD_ModuleA_VoiceAI_Intake.docx</w:t>
            </w:r>
          </w:p>
        </w:tc>
        <w:tc>
          <w:tcPr>
            <w:tcW w:type="dxa" w:w="3500"/>
            <w:tcMar>
              <w:top w:type="dxa" w:w="80"/>
              <w:left w:type="dxa" w:w="100"/>
              <w:bottom w:type="dxa" w:w="80"/>
              <w:right w:type="dxa" w:w="100"/>
            </w:tcMar>
            <w:vAlign w:val="center"/>
          </w:tcPr>
          <w:p>
            <w:r>
              <w:rPr>
                <w:b w:val="false"/>
                <w:bCs w:val="false"/>
                <w:color w:val="1A1A1A"/>
                <w:sz w:val="19"/>
                <w:szCs w:val="19"/>
              </w:rPr>
              <w:t xml:space="preserve">Conversational history intake — the Voice AI agent that asks questions and writes patient answers (voice + touch) into the system</w:t>
            </w:r>
          </w:p>
        </w:tc>
        <w:tc>
          <w:tcPr>
            <w:tcW w:type="dxa" w:w="1700"/>
            <w:tcMar>
              <w:top w:type="dxa" w:w="80"/>
              <w:left w:type="dxa" w:w="100"/>
              <w:bottom w:type="dxa" w:w="80"/>
              <w:right w:type="dxa" w:w="100"/>
            </w:tcMar>
            <w:vAlign w:val="center"/>
          </w:tcPr>
          <w:p>
            <w:r>
              <w:rPr>
                <w:b w:val="false"/>
                <w:bCs w:val="false"/>
                <w:color w:val="1A1A1A"/>
                <w:sz w:val="19"/>
                <w:szCs w:val="19"/>
              </w:rPr>
              <w:t xml:space="preserve">Module A, Knowledge Base Part III §8–11</w:t>
            </w:r>
          </w:p>
        </w:tc>
      </w:tr>
      <w:tr>
        <w:tc>
          <w:tcPr>
            <w:tcW w:type="dxa" w:w="700"/>
            <w:shd w:fill="F5F8F8" w:val="clear"/>
            <w:tcMar>
              <w:top w:type="dxa" w:w="80"/>
              <w:left w:type="dxa" w:w="100"/>
              <w:bottom w:type="dxa" w:w="80"/>
              <w:right w:type="dxa" w:w="100"/>
            </w:tcMar>
            <w:vAlign w:val="center"/>
          </w:tcPr>
          <w:p>
            <w:r>
              <w:rPr>
                <w:b w:val="false"/>
                <w:bCs w:val="false"/>
                <w:color w:val="1A1A1A"/>
                <w:sz w:val="19"/>
                <w:szCs w:val="19"/>
              </w:rPr>
              <w:t xml:space="preserve">M-B</w:t>
            </w:r>
          </w:p>
        </w:tc>
        <w:tc>
          <w:tcPr>
            <w:tcW w:type="dxa" w:w="3300"/>
            <w:shd w:fill="F5F8F8" w:val="clear"/>
            <w:tcMar>
              <w:top w:type="dxa" w:w="80"/>
              <w:left w:type="dxa" w:w="100"/>
              <w:bottom w:type="dxa" w:w="80"/>
              <w:right w:type="dxa" w:w="100"/>
            </w:tcMar>
            <w:vAlign w:val="center"/>
          </w:tcPr>
          <w:p>
            <w:r>
              <w:rPr>
                <w:b w:val="false"/>
                <w:bCs w:val="false"/>
                <w:color w:val="1A1A1A"/>
                <w:sz w:val="19"/>
                <w:szCs w:val="19"/>
              </w:rPr>
              <w:t xml:space="preserve">MediKiosk_PRD_ModuleB_DocumentExtraction.docx</w:t>
            </w:r>
          </w:p>
        </w:tc>
        <w:tc>
          <w:tcPr>
            <w:tcW w:type="dxa" w:w="3500"/>
            <w:shd w:fill="F5F8F8" w:val="clear"/>
            <w:tcMar>
              <w:top w:type="dxa" w:w="80"/>
              <w:left w:type="dxa" w:w="100"/>
              <w:bottom w:type="dxa" w:w="80"/>
              <w:right w:type="dxa" w:w="100"/>
            </w:tcMar>
            <w:vAlign w:val="center"/>
          </w:tcPr>
          <w:p>
            <w:r>
              <w:rPr>
                <w:b w:val="false"/>
                <w:bCs w:val="false"/>
                <w:color w:val="1A1A1A"/>
                <w:sz w:val="19"/>
                <w:szCs w:val="19"/>
              </w:rPr>
              <w:t xml:space="preserve">Scanning and Gemini-based extraction of prior prescriptions, lab reports, and discharge summaries into structured data</w:t>
            </w:r>
          </w:p>
        </w:tc>
        <w:tc>
          <w:tcPr>
            <w:tcW w:type="dxa" w:w="1700"/>
            <w:shd w:fill="F5F8F8" w:val="clear"/>
            <w:tcMar>
              <w:top w:type="dxa" w:w="80"/>
              <w:left w:type="dxa" w:w="100"/>
              <w:bottom w:type="dxa" w:w="80"/>
              <w:right w:type="dxa" w:w="100"/>
            </w:tcMar>
            <w:vAlign w:val="center"/>
          </w:tcPr>
          <w:p>
            <w:r>
              <w:rPr>
                <w:b w:val="false"/>
                <w:bCs w:val="false"/>
                <w:color w:val="1A1A1A"/>
                <w:sz w:val="19"/>
                <w:szCs w:val="19"/>
              </w:rPr>
              <w:t xml:space="preserve">Module B, Knowledge Base Part VII §21</w:t>
            </w:r>
          </w:p>
        </w:tc>
      </w:tr>
      <w:tr>
        <w:tc>
          <w:tcPr>
            <w:tcW w:type="dxa" w:w="700"/>
            <w:tcMar>
              <w:top w:type="dxa" w:w="80"/>
              <w:left w:type="dxa" w:w="100"/>
              <w:bottom w:type="dxa" w:w="80"/>
              <w:right w:type="dxa" w:w="100"/>
            </w:tcMar>
            <w:vAlign w:val="center"/>
          </w:tcPr>
          <w:p>
            <w:r>
              <w:rPr>
                <w:b w:val="false"/>
                <w:bCs w:val="false"/>
                <w:color w:val="1A1A1A"/>
                <w:sz w:val="19"/>
                <w:szCs w:val="19"/>
              </w:rPr>
              <w:t xml:space="preserve">M-C</w:t>
            </w:r>
          </w:p>
        </w:tc>
        <w:tc>
          <w:tcPr>
            <w:tcW w:type="dxa" w:w="3300"/>
            <w:tcMar>
              <w:top w:type="dxa" w:w="80"/>
              <w:left w:type="dxa" w:w="100"/>
              <w:bottom w:type="dxa" w:w="80"/>
              <w:right w:type="dxa" w:w="100"/>
            </w:tcMar>
            <w:vAlign w:val="center"/>
          </w:tcPr>
          <w:p>
            <w:r>
              <w:rPr>
                <w:b w:val="false"/>
                <w:bCs w:val="false"/>
                <w:color w:val="1A1A1A"/>
                <w:sz w:val="19"/>
                <w:szCs w:val="19"/>
              </w:rPr>
              <w:t xml:space="preserve">MediKiosk_PRD_ModuleC_SummaryReconciliation.docx</w:t>
            </w:r>
          </w:p>
        </w:tc>
        <w:tc>
          <w:tcPr>
            <w:tcW w:type="dxa" w:w="3500"/>
            <w:tcMar>
              <w:top w:type="dxa" w:w="80"/>
              <w:left w:type="dxa" w:w="100"/>
              <w:bottom w:type="dxa" w:w="80"/>
              <w:right w:type="dxa" w:w="100"/>
            </w:tcMar>
            <w:vAlign w:val="center"/>
          </w:tcPr>
          <w:p>
            <w:r>
              <w:rPr>
                <w:b w:val="false"/>
                <w:bCs w:val="false"/>
                <w:color w:val="1A1A1A"/>
                <w:sz w:val="19"/>
                <w:szCs w:val="19"/>
              </w:rPr>
              <w:t xml:space="preserve">Combining Module A + Module B output into one bilingual, physician-ready draft summary, with contradiction detection</w:t>
            </w:r>
          </w:p>
        </w:tc>
        <w:tc>
          <w:tcPr>
            <w:tcW w:type="dxa" w:w="1700"/>
            <w:tcMar>
              <w:top w:type="dxa" w:w="80"/>
              <w:left w:type="dxa" w:w="100"/>
              <w:bottom w:type="dxa" w:w="80"/>
              <w:right w:type="dxa" w:w="100"/>
            </w:tcMar>
            <w:vAlign w:val="center"/>
          </w:tcPr>
          <w:p>
            <w:r>
              <w:rPr>
                <w:b w:val="false"/>
                <w:bCs w:val="false"/>
                <w:color w:val="1A1A1A"/>
                <w:sz w:val="19"/>
                <w:szCs w:val="19"/>
              </w:rPr>
              <w:t xml:space="preserve">Module C, Knowledge Base Part III §14</w:t>
            </w:r>
          </w:p>
        </w:tc>
      </w:tr>
      <w:tr>
        <w:tc>
          <w:tcPr>
            <w:tcW w:type="dxa" w:w="700"/>
            <w:shd w:fill="F5F8F8" w:val="clear"/>
            <w:tcMar>
              <w:top w:type="dxa" w:w="80"/>
              <w:left w:type="dxa" w:w="100"/>
              <w:bottom w:type="dxa" w:w="80"/>
              <w:right w:type="dxa" w:w="100"/>
            </w:tcMar>
            <w:vAlign w:val="center"/>
          </w:tcPr>
          <w:p>
            <w:r>
              <w:rPr>
                <w:b w:val="false"/>
                <w:bCs w:val="false"/>
                <w:color w:val="1A1A1A"/>
                <w:sz w:val="19"/>
                <w:szCs w:val="19"/>
              </w:rPr>
              <w:t xml:space="preserve">M-D</w:t>
            </w:r>
          </w:p>
        </w:tc>
        <w:tc>
          <w:tcPr>
            <w:tcW w:type="dxa" w:w="3300"/>
            <w:shd w:fill="F5F8F8" w:val="clear"/>
            <w:tcMar>
              <w:top w:type="dxa" w:w="80"/>
              <w:left w:type="dxa" w:w="100"/>
              <w:bottom w:type="dxa" w:w="80"/>
              <w:right w:type="dxa" w:w="100"/>
            </w:tcMar>
            <w:vAlign w:val="center"/>
          </w:tcPr>
          <w:p>
            <w:r>
              <w:rPr>
                <w:b w:val="false"/>
                <w:bCs w:val="false"/>
                <w:color w:val="1A1A1A"/>
                <w:sz w:val="19"/>
                <w:szCs w:val="19"/>
              </w:rPr>
              <w:t xml:space="preserve">MediKiosk_PRD_ModuleD_Identity_Consent_ABDM.docx</w:t>
            </w:r>
          </w:p>
        </w:tc>
        <w:tc>
          <w:tcPr>
            <w:tcW w:type="dxa" w:w="3500"/>
            <w:shd w:fill="F5F8F8" w:val="clear"/>
            <w:tcMar>
              <w:top w:type="dxa" w:w="80"/>
              <w:left w:type="dxa" w:w="100"/>
              <w:bottom w:type="dxa" w:w="80"/>
              <w:right w:type="dxa" w:w="100"/>
            </w:tcMar>
            <w:vAlign w:val="center"/>
          </w:tcPr>
          <w:p>
            <w:r>
              <w:rPr>
                <w:b w:val="false"/>
                <w:bCs w:val="false"/>
                <w:color w:val="1A1A1A"/>
                <w:sz w:val="19"/>
                <w:szCs w:val="19"/>
              </w:rPr>
              <w:t xml:space="preserve">Session start, language/identity capture, consent, and — after clinician sign-off — FHIR bundle export toward ABDM</w:t>
            </w:r>
          </w:p>
        </w:tc>
        <w:tc>
          <w:tcPr>
            <w:tcW w:type="dxa" w:w="1700"/>
            <w:shd w:fill="F5F8F8" w:val="clear"/>
            <w:tcMar>
              <w:top w:type="dxa" w:w="80"/>
              <w:left w:type="dxa" w:w="100"/>
              <w:bottom w:type="dxa" w:w="80"/>
              <w:right w:type="dxa" w:w="100"/>
            </w:tcMar>
            <w:vAlign w:val="center"/>
          </w:tcPr>
          <w:p>
            <w:r>
              <w:rPr>
                <w:b w:val="false"/>
                <w:bCs w:val="false"/>
                <w:color w:val="1A1A1A"/>
                <w:sz w:val="19"/>
                <w:szCs w:val="19"/>
              </w:rPr>
              <w:t xml:space="preserve">Module D, Knowledge Base Part V–VI</w:t>
            </w:r>
          </w:p>
        </w:tc>
      </w:tr>
      <w:tr>
        <w:tc>
          <w:tcPr>
            <w:tcW w:type="dxa" w:w="700"/>
            <w:tcMar>
              <w:top w:type="dxa" w:w="80"/>
              <w:left w:type="dxa" w:w="100"/>
              <w:bottom w:type="dxa" w:w="80"/>
              <w:right w:type="dxa" w:w="100"/>
            </w:tcMar>
            <w:vAlign w:val="center"/>
          </w:tcPr>
          <w:p>
            <w:r>
              <w:rPr>
                <w:b w:val="false"/>
                <w:bCs w:val="false"/>
                <w:color w:val="1A1A1A"/>
                <w:sz w:val="19"/>
                <w:szCs w:val="19"/>
              </w:rPr>
              <w:t xml:space="preserve">M-E</w:t>
            </w:r>
          </w:p>
        </w:tc>
        <w:tc>
          <w:tcPr>
            <w:tcW w:type="dxa" w:w="3300"/>
            <w:tcMar>
              <w:top w:type="dxa" w:w="80"/>
              <w:left w:type="dxa" w:w="100"/>
              <w:bottom w:type="dxa" w:w="80"/>
              <w:right w:type="dxa" w:w="100"/>
            </w:tcMar>
            <w:vAlign w:val="center"/>
          </w:tcPr>
          <w:p>
            <w:r>
              <w:rPr>
                <w:b w:val="false"/>
                <w:bCs w:val="false"/>
                <w:color w:val="1A1A1A"/>
                <w:sz w:val="19"/>
                <w:szCs w:val="19"/>
              </w:rPr>
              <w:t xml:space="preserve">MediKiosk_PRD_ModuleE_ClinicianReview.docx</w:t>
            </w:r>
          </w:p>
        </w:tc>
        <w:tc>
          <w:tcPr>
            <w:tcW w:type="dxa" w:w="3500"/>
            <w:tcMar>
              <w:top w:type="dxa" w:w="80"/>
              <w:left w:type="dxa" w:w="100"/>
              <w:bottom w:type="dxa" w:w="80"/>
              <w:right w:type="dxa" w:w="100"/>
            </w:tcMar>
            <w:vAlign w:val="center"/>
          </w:tcPr>
          <w:p>
            <w:r>
              <w:rPr>
                <w:b w:val="false"/>
                <w:bCs w:val="false"/>
                <w:color w:val="1A1A1A"/>
                <w:sz w:val="19"/>
                <w:szCs w:val="19"/>
              </w:rPr>
              <w:t xml:space="preserve">The clinician-facing review and attestation dashboard: accept/edit/reject, source drill-down, sign-off</w:t>
            </w:r>
          </w:p>
        </w:tc>
        <w:tc>
          <w:tcPr>
            <w:tcW w:type="dxa" w:w="1700"/>
            <w:tcMar>
              <w:top w:type="dxa" w:w="80"/>
              <w:left w:type="dxa" w:w="100"/>
              <w:bottom w:type="dxa" w:w="80"/>
              <w:right w:type="dxa" w:w="100"/>
            </w:tcMar>
            <w:vAlign w:val="center"/>
          </w:tcPr>
          <w:p>
            <w:r>
              <w:rPr>
                <w:b w:val="false"/>
                <w:bCs w:val="false"/>
                <w:color w:val="1A1A1A"/>
                <w:sz w:val="19"/>
                <w:szCs w:val="19"/>
              </w:rPr>
              <w:t xml:space="preserve">Knowledge Base Part III §12</w:t>
            </w:r>
          </w:p>
        </w:tc>
      </w:tr>
    </w:tbl>
    <w:p>
      <w:pPr>
        <w:pStyle w:val="Heading1"/>
        <w:spacing w:after="200" w:before="400"/>
      </w:pPr>
      <w:r>
        <w:rPr>
          <w:b/>
          <w:bCs/>
          <w:color w:val="2F5D62"/>
          <w:sz w:val="32"/>
          <w:szCs w:val="32"/>
        </w:rPr>
        <w:t xml:space="preserve">3. Build &amp; Data Sequence Across Modules</w:t>
      </w:r>
    </w:p>
    <w:p>
      <w:pPr>
        <w:spacing w:after="160" w:line="300"/>
      </w:pPr>
      <w:r>
        <w:rPr>
          <w:b w:val="false"/>
          <w:bCs w:val="false"/>
          <w:i w:val="false"/>
          <w:iCs w:val="false"/>
          <w:sz w:val="21"/>
          <w:szCs w:val="21"/>
        </w:rPr>
        <w:t xml:space="preserve">The modules are not independent silos — each one's output is another module's required input. This is the single most important diagram for anyone working on one module in isolation.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2200"/>
        <w:gridCol w:w="2700"/>
      </w:tblGrid>
      <w:tr>
        <w:trPr>
          <w:tblHeader/>
        </w:trPr>
        <w:tc>
          <w:tcPr>
            <w:tcW w:type="dxa" w:w="700"/>
            <w:shd w:fill="2F5D62" w:val="clear"/>
            <w:tcMar>
              <w:top w:type="dxa" w:w="80"/>
              <w:left w:type="dxa" w:w="100"/>
              <w:bottom w:type="dxa" w:w="80"/>
              <w:right w:type="dxa" w:w="100"/>
            </w:tcMar>
            <w:vAlign w:val="center"/>
          </w:tcPr>
          <w:p>
            <w:r>
              <w:rPr>
                <w:b/>
                <w:bCs/>
                <w:color w:val="FFFFFF"/>
                <w:sz w:val="19"/>
                <w:szCs w:val="19"/>
              </w:rPr>
              <w:t xml:space="preserve">Step</w:t>
            </w:r>
          </w:p>
        </w:tc>
        <w:tc>
          <w:tcPr>
            <w:tcW w:type="dxa" w:w="3600"/>
            <w:shd w:fill="2F5D62" w:val="clear"/>
            <w:tcMar>
              <w:top w:type="dxa" w:w="80"/>
              <w:left w:type="dxa" w:w="100"/>
              <w:bottom w:type="dxa" w:w="80"/>
              <w:right w:type="dxa" w:w="100"/>
            </w:tcMar>
            <w:vAlign w:val="center"/>
          </w:tcPr>
          <w:p>
            <w:r>
              <w:rPr>
                <w:b/>
                <w:bCs/>
                <w:color w:val="FFFFFF"/>
                <w:sz w:val="19"/>
                <w:szCs w:val="19"/>
              </w:rPr>
              <w:t xml:space="preserve">What happens</w:t>
            </w:r>
          </w:p>
        </w:tc>
        <w:tc>
          <w:tcPr>
            <w:tcW w:type="dxa" w:w="2200"/>
            <w:shd w:fill="2F5D62" w:val="clear"/>
            <w:tcMar>
              <w:top w:type="dxa" w:w="80"/>
              <w:left w:type="dxa" w:w="100"/>
              <w:bottom w:type="dxa" w:w="80"/>
              <w:right w:type="dxa" w:w="100"/>
            </w:tcMar>
            <w:vAlign w:val="center"/>
          </w:tcPr>
          <w:p>
            <w:r>
              <w:rPr>
                <w:b/>
                <w:bCs/>
                <w:color w:val="FFFFFF"/>
                <w:sz w:val="19"/>
                <w:szCs w:val="19"/>
              </w:rPr>
              <w:t xml:space="preserve">Producing module</w:t>
            </w:r>
          </w:p>
        </w:tc>
        <w:tc>
          <w:tcPr>
            <w:tcW w:type="dxa" w:w="2700"/>
            <w:shd w:fill="2F5D62" w:val="clear"/>
            <w:tcMar>
              <w:top w:type="dxa" w:w="80"/>
              <w:left w:type="dxa" w:w="100"/>
              <w:bottom w:type="dxa" w:w="80"/>
              <w:right w:type="dxa" w:w="100"/>
            </w:tcMar>
            <w:vAlign w:val="center"/>
          </w:tcPr>
          <w:p>
            <w:r>
              <w:rPr>
                <w:b/>
                <w:bCs/>
                <w:color w:val="FFFFFF"/>
                <w:sz w:val="19"/>
                <w:szCs w:val="19"/>
              </w:rPr>
              <w:t xml:space="preserve">Consuming module</w:t>
            </w:r>
          </w:p>
        </w:tc>
      </w:tr>
      <w:tr>
        <w:tc>
          <w:tcPr>
            <w:tcW w:type="dxa" w:w="700"/>
            <w:tcMar>
              <w:top w:type="dxa" w:w="80"/>
              <w:left w:type="dxa" w:w="100"/>
              <w:bottom w:type="dxa" w:w="80"/>
              <w:right w:type="dxa" w:w="100"/>
            </w:tcMar>
            <w:vAlign w:val="center"/>
          </w:tcPr>
          <w:p>
            <w:r>
              <w:rPr>
                <w:b w:val="false"/>
                <w:bCs w:val="false"/>
                <w:color w:val="1A1A1A"/>
                <w:sz w:val="19"/>
                <w:szCs w:val="19"/>
              </w:rPr>
              <w:t xml:space="preserve">1</w:t>
            </w:r>
          </w:p>
        </w:tc>
        <w:tc>
          <w:tcPr>
            <w:tcW w:type="dxa" w:w="3600"/>
            <w:tcMar>
              <w:top w:type="dxa" w:w="80"/>
              <w:left w:type="dxa" w:w="100"/>
              <w:bottom w:type="dxa" w:w="80"/>
              <w:right w:type="dxa" w:w="100"/>
            </w:tcMar>
            <w:vAlign w:val="center"/>
          </w:tcPr>
          <w:p>
            <w:r>
              <w:rPr>
                <w:b w:val="false"/>
                <w:bCs w:val="false"/>
                <w:color w:val="1A1A1A"/>
                <w:sz w:val="19"/>
                <w:szCs w:val="19"/>
              </w:rPr>
              <w:t xml:space="preserve">Patient starts a session, selects language, gives consent, identifies via QR/queue ID</w:t>
            </w:r>
          </w:p>
        </w:tc>
        <w:tc>
          <w:tcPr>
            <w:tcW w:type="dxa" w:w="2200"/>
            <w:tcMar>
              <w:top w:type="dxa" w:w="80"/>
              <w:left w:type="dxa" w:w="100"/>
              <w:bottom w:type="dxa" w:w="80"/>
              <w:right w:type="dxa" w:w="100"/>
            </w:tcMar>
            <w:vAlign w:val="center"/>
          </w:tcPr>
          <w:p>
            <w:r>
              <w:rPr>
                <w:b w:val="false"/>
                <w:bCs w:val="false"/>
                <w:color w:val="1A1A1A"/>
                <w:sz w:val="19"/>
                <w:szCs w:val="19"/>
              </w:rPr>
              <w:t xml:space="preserve">M-D</w:t>
            </w:r>
          </w:p>
        </w:tc>
        <w:tc>
          <w:tcPr>
            <w:tcW w:type="dxa" w:w="2700"/>
            <w:tcMar>
              <w:top w:type="dxa" w:w="80"/>
              <w:left w:type="dxa" w:w="100"/>
              <w:bottom w:type="dxa" w:w="80"/>
              <w:right w:type="dxa" w:w="100"/>
            </w:tcMar>
            <w:vAlign w:val="center"/>
          </w:tcPr>
          <w:p>
            <w:r>
              <w:rPr>
                <w:b w:val="false"/>
                <w:bCs w:val="false"/>
                <w:color w:val="1A1A1A"/>
                <w:sz w:val="19"/>
                <w:szCs w:val="19"/>
              </w:rPr>
              <w:t xml:space="preserve">M-A, M-B (both require an active, consented session before they may write any data)</w:t>
            </w:r>
          </w:p>
        </w:tc>
      </w:tr>
      <w:tr>
        <w:tc>
          <w:tcPr>
            <w:tcW w:type="dxa" w:w="700"/>
            <w:shd w:fill="F5F8F8" w:val="clear"/>
            <w:tcMar>
              <w:top w:type="dxa" w:w="80"/>
              <w:left w:type="dxa" w:w="100"/>
              <w:bottom w:type="dxa" w:w="80"/>
              <w:right w:type="dxa" w:w="100"/>
            </w:tcMar>
            <w:vAlign w:val="center"/>
          </w:tcPr>
          <w:p>
            <w:r>
              <w:rPr>
                <w:b w:val="false"/>
                <w:bCs w:val="false"/>
                <w:color w:val="1A1A1A"/>
                <w:sz w:val="19"/>
                <w:szCs w:val="19"/>
              </w:rPr>
              <w:t xml:space="preserve">2</w:t>
            </w:r>
          </w:p>
        </w:tc>
        <w:tc>
          <w:tcPr>
            <w:tcW w:type="dxa" w:w="3600"/>
            <w:shd w:fill="F5F8F8" w:val="clear"/>
            <w:tcMar>
              <w:top w:type="dxa" w:w="80"/>
              <w:left w:type="dxa" w:w="100"/>
              <w:bottom w:type="dxa" w:w="80"/>
              <w:right w:type="dxa" w:w="100"/>
            </w:tcMar>
            <w:vAlign w:val="center"/>
          </w:tcPr>
          <w:p>
            <w:r>
              <w:rPr>
                <w:b w:val="false"/>
                <w:bCs w:val="false"/>
                <w:color w:val="1A1A1A"/>
                <w:sz w:val="19"/>
                <w:szCs w:val="19"/>
              </w:rPr>
              <w:t xml:space="preserve">Patient is interviewed by voice/touch; structured answers are written</w:t>
            </w:r>
          </w:p>
        </w:tc>
        <w:tc>
          <w:tcPr>
            <w:tcW w:type="dxa" w:w="2200"/>
            <w:shd w:fill="F5F8F8" w:val="clear"/>
            <w:tcMar>
              <w:top w:type="dxa" w:w="80"/>
              <w:left w:type="dxa" w:w="100"/>
              <w:bottom w:type="dxa" w:w="80"/>
              <w:right w:type="dxa" w:w="100"/>
            </w:tcMar>
            <w:vAlign w:val="center"/>
          </w:tcPr>
          <w:p>
            <w:r>
              <w:rPr>
                <w:b w:val="false"/>
                <w:bCs w:val="false"/>
                <w:color w:val="1A1A1A"/>
                <w:sz w:val="19"/>
                <w:szCs w:val="19"/>
              </w:rPr>
              <w:t xml:space="preserve">M-A</w:t>
            </w:r>
          </w:p>
        </w:tc>
        <w:tc>
          <w:tcPr>
            <w:tcW w:type="dxa" w:w="2700"/>
            <w:shd w:fill="F5F8F8" w:val="clear"/>
            <w:tcMar>
              <w:top w:type="dxa" w:w="80"/>
              <w:left w:type="dxa" w:w="100"/>
              <w:bottom w:type="dxa" w:w="80"/>
              <w:right w:type="dxa" w:w="100"/>
            </w:tcMar>
            <w:vAlign w:val="center"/>
          </w:tcPr>
          <w:p>
            <w:r>
              <w:rPr>
                <w:b w:val="false"/>
                <w:bCs w:val="false"/>
                <w:color w:val="1A1A1A"/>
                <w:sz w:val="19"/>
                <w:szCs w:val="19"/>
              </w:rPr>
              <w:t xml:space="preserve">M-C (reads structured_history)</w:t>
            </w:r>
          </w:p>
        </w:tc>
      </w:tr>
      <w:tr>
        <w:tc>
          <w:tcPr>
            <w:tcW w:type="dxa" w:w="700"/>
            <w:tcMar>
              <w:top w:type="dxa" w:w="80"/>
              <w:left w:type="dxa" w:w="100"/>
              <w:bottom w:type="dxa" w:w="80"/>
              <w:right w:type="dxa" w:w="100"/>
            </w:tcMar>
            <w:vAlign w:val="center"/>
          </w:tcPr>
          <w:p>
            <w:r>
              <w:rPr>
                <w:b w:val="false"/>
                <w:bCs w:val="false"/>
                <w:color w:val="1A1A1A"/>
                <w:sz w:val="19"/>
                <w:szCs w:val="19"/>
              </w:rPr>
              <w:t xml:space="preserve">3</w:t>
            </w:r>
          </w:p>
        </w:tc>
        <w:tc>
          <w:tcPr>
            <w:tcW w:type="dxa" w:w="3600"/>
            <w:tcMar>
              <w:top w:type="dxa" w:w="80"/>
              <w:left w:type="dxa" w:w="100"/>
              <w:bottom w:type="dxa" w:w="80"/>
              <w:right w:type="dxa" w:w="100"/>
            </w:tcMar>
            <w:vAlign w:val="center"/>
          </w:tcPr>
          <w:p>
            <w:r>
              <w:rPr>
                <w:b w:val="false"/>
                <w:bCs w:val="false"/>
                <w:color w:val="1A1A1A"/>
                <w:sz w:val="19"/>
                <w:szCs w:val="19"/>
              </w:rPr>
              <w:t xml:space="preserve">Patient scans prior documents; Gemini extracts structured entities</w:t>
            </w:r>
          </w:p>
        </w:tc>
        <w:tc>
          <w:tcPr>
            <w:tcW w:type="dxa" w:w="2200"/>
            <w:tcMar>
              <w:top w:type="dxa" w:w="80"/>
              <w:left w:type="dxa" w:w="100"/>
              <w:bottom w:type="dxa" w:w="80"/>
              <w:right w:type="dxa" w:w="100"/>
            </w:tcMar>
            <w:vAlign w:val="center"/>
          </w:tcPr>
          <w:p>
            <w:r>
              <w:rPr>
                <w:b w:val="false"/>
                <w:bCs w:val="false"/>
                <w:color w:val="1A1A1A"/>
                <w:sz w:val="19"/>
                <w:szCs w:val="19"/>
              </w:rPr>
              <w:t xml:space="preserve">M-B</w:t>
            </w:r>
          </w:p>
        </w:tc>
        <w:tc>
          <w:tcPr>
            <w:tcW w:type="dxa" w:w="2700"/>
            <w:tcMar>
              <w:top w:type="dxa" w:w="80"/>
              <w:left w:type="dxa" w:w="100"/>
              <w:bottom w:type="dxa" w:w="80"/>
              <w:right w:type="dxa" w:w="100"/>
            </w:tcMar>
            <w:vAlign w:val="center"/>
          </w:tcPr>
          <w:p>
            <w:r>
              <w:rPr>
                <w:b w:val="false"/>
                <w:bCs w:val="false"/>
                <w:color w:val="1A1A1A"/>
                <w:sz w:val="19"/>
                <w:szCs w:val="19"/>
              </w:rPr>
              <w:t xml:space="preserve">M-C (reads extracted_entities)</w:t>
            </w:r>
          </w:p>
        </w:tc>
      </w:tr>
      <w:tr>
        <w:tc>
          <w:tcPr>
            <w:tcW w:type="dxa" w:w="700"/>
            <w:shd w:fill="F5F8F8" w:val="clear"/>
            <w:tcMar>
              <w:top w:type="dxa" w:w="80"/>
              <w:left w:type="dxa" w:w="100"/>
              <w:bottom w:type="dxa" w:w="80"/>
              <w:right w:type="dxa" w:w="100"/>
            </w:tcMar>
            <w:vAlign w:val="center"/>
          </w:tcPr>
          <w:p>
            <w:r>
              <w:rPr>
                <w:b w:val="false"/>
                <w:bCs w:val="false"/>
                <w:color w:val="1A1A1A"/>
                <w:sz w:val="19"/>
                <w:szCs w:val="19"/>
              </w:rPr>
              <w:t xml:space="preserve">4</w:t>
            </w:r>
          </w:p>
        </w:tc>
        <w:tc>
          <w:tcPr>
            <w:tcW w:type="dxa" w:w="3600"/>
            <w:shd w:fill="F5F8F8" w:val="clear"/>
            <w:tcMar>
              <w:top w:type="dxa" w:w="80"/>
              <w:left w:type="dxa" w:w="100"/>
              <w:bottom w:type="dxa" w:w="80"/>
              <w:right w:type="dxa" w:w="100"/>
            </w:tcMar>
            <w:vAlign w:val="center"/>
          </w:tcPr>
          <w:p>
            <w:r>
              <w:rPr>
                <w:b w:val="false"/>
                <w:bCs w:val="false"/>
                <w:color w:val="1A1A1A"/>
                <w:sz w:val="19"/>
                <w:szCs w:val="19"/>
              </w:rPr>
              <w:t xml:space="preserve">Draft bilingual summary is generated; contradictions between Step 2 and Step 3 data are flagged, not resolved</w:t>
            </w:r>
          </w:p>
        </w:tc>
        <w:tc>
          <w:tcPr>
            <w:tcW w:type="dxa" w:w="2200"/>
            <w:shd w:fill="F5F8F8" w:val="clear"/>
            <w:tcMar>
              <w:top w:type="dxa" w:w="80"/>
              <w:left w:type="dxa" w:w="100"/>
              <w:bottom w:type="dxa" w:w="80"/>
              <w:right w:type="dxa" w:w="100"/>
            </w:tcMar>
            <w:vAlign w:val="center"/>
          </w:tcPr>
          <w:p>
            <w:r>
              <w:rPr>
                <w:b w:val="false"/>
                <w:bCs w:val="false"/>
                <w:color w:val="1A1A1A"/>
                <w:sz w:val="19"/>
                <w:szCs w:val="19"/>
              </w:rPr>
              <w:t xml:space="preserve">M-C</w:t>
            </w:r>
          </w:p>
        </w:tc>
        <w:tc>
          <w:tcPr>
            <w:tcW w:type="dxa" w:w="2700"/>
            <w:shd w:fill="F5F8F8" w:val="clear"/>
            <w:tcMar>
              <w:top w:type="dxa" w:w="80"/>
              <w:left w:type="dxa" w:w="100"/>
              <w:bottom w:type="dxa" w:w="80"/>
              <w:right w:type="dxa" w:w="100"/>
            </w:tcMar>
            <w:vAlign w:val="center"/>
          </w:tcPr>
          <w:p>
            <w:r>
              <w:rPr>
                <w:b w:val="false"/>
                <w:bCs w:val="false"/>
                <w:color w:val="1A1A1A"/>
                <w:sz w:val="19"/>
                <w:szCs w:val="19"/>
              </w:rPr>
              <w:t xml:space="preserve">M-E (reads draft_summaries + contradictions)</w:t>
            </w:r>
          </w:p>
        </w:tc>
      </w:tr>
      <w:tr>
        <w:tc>
          <w:tcPr>
            <w:tcW w:type="dxa" w:w="700"/>
            <w:tcMar>
              <w:top w:type="dxa" w:w="80"/>
              <w:left w:type="dxa" w:w="100"/>
              <w:bottom w:type="dxa" w:w="80"/>
              <w:right w:type="dxa" w:w="100"/>
            </w:tcMar>
            <w:vAlign w:val="center"/>
          </w:tcPr>
          <w:p>
            <w:r>
              <w:rPr>
                <w:b w:val="false"/>
                <w:bCs w:val="false"/>
                <w:color w:val="1A1A1A"/>
                <w:sz w:val="19"/>
                <w:szCs w:val="19"/>
              </w:rPr>
              <w:t xml:space="preserve">5</w:t>
            </w:r>
          </w:p>
        </w:tc>
        <w:tc>
          <w:tcPr>
            <w:tcW w:type="dxa" w:w="3600"/>
            <w:tcMar>
              <w:top w:type="dxa" w:w="80"/>
              <w:left w:type="dxa" w:w="100"/>
              <w:bottom w:type="dxa" w:w="80"/>
              <w:right w:type="dxa" w:w="100"/>
            </w:tcMar>
            <w:vAlign w:val="center"/>
          </w:tcPr>
          <w:p>
            <w:r>
              <w:rPr>
                <w:b w:val="false"/>
                <w:bCs w:val="false"/>
                <w:color w:val="1A1A1A"/>
                <w:sz w:val="19"/>
                <w:szCs w:val="19"/>
              </w:rPr>
              <w:t xml:space="preserve">Clinician reviews, edits, and attests each section</w:t>
            </w:r>
          </w:p>
        </w:tc>
        <w:tc>
          <w:tcPr>
            <w:tcW w:type="dxa" w:w="2200"/>
            <w:tcMar>
              <w:top w:type="dxa" w:w="80"/>
              <w:left w:type="dxa" w:w="100"/>
              <w:bottom w:type="dxa" w:w="80"/>
              <w:right w:type="dxa" w:w="100"/>
            </w:tcMar>
            <w:vAlign w:val="center"/>
          </w:tcPr>
          <w:p>
            <w:r>
              <w:rPr>
                <w:b w:val="false"/>
                <w:bCs w:val="false"/>
                <w:color w:val="1A1A1A"/>
                <w:sz w:val="19"/>
                <w:szCs w:val="19"/>
              </w:rPr>
              <w:t xml:space="preserve">M-E</w:t>
            </w:r>
          </w:p>
        </w:tc>
        <w:tc>
          <w:tcPr>
            <w:tcW w:type="dxa" w:w="2700"/>
            <w:tcMar>
              <w:top w:type="dxa" w:w="80"/>
              <w:left w:type="dxa" w:w="100"/>
              <w:bottom w:type="dxa" w:w="80"/>
              <w:right w:type="dxa" w:w="100"/>
            </w:tcMar>
            <w:vAlign w:val="center"/>
          </w:tcPr>
          <w:p>
            <w:r>
              <w:rPr>
                <w:b w:val="false"/>
                <w:bCs w:val="false"/>
                <w:color w:val="1A1A1A"/>
                <w:sz w:val="19"/>
                <w:szCs w:val="19"/>
              </w:rPr>
              <w:t xml:space="preserve">M-D (reads attested_records to build the FHIR bundle)</w:t>
            </w:r>
          </w:p>
        </w:tc>
      </w:tr>
      <w:tr>
        <w:tc>
          <w:tcPr>
            <w:tcW w:type="dxa" w:w="700"/>
            <w:shd w:fill="F5F8F8" w:val="clear"/>
            <w:tcMar>
              <w:top w:type="dxa" w:w="80"/>
              <w:left w:type="dxa" w:w="100"/>
              <w:bottom w:type="dxa" w:w="80"/>
              <w:right w:type="dxa" w:w="100"/>
            </w:tcMar>
            <w:vAlign w:val="center"/>
          </w:tcPr>
          <w:p>
            <w:r>
              <w:rPr>
                <w:b w:val="false"/>
                <w:bCs w:val="false"/>
                <w:color w:val="1A1A1A"/>
                <w:sz w:val="19"/>
                <w:szCs w:val="19"/>
              </w:rPr>
              <w:t xml:space="preserve">6</w:t>
            </w:r>
          </w:p>
        </w:tc>
        <w:tc>
          <w:tcPr>
            <w:tcW w:type="dxa" w:w="3600"/>
            <w:shd w:fill="F5F8F8" w:val="clear"/>
            <w:tcMar>
              <w:top w:type="dxa" w:w="80"/>
              <w:left w:type="dxa" w:w="100"/>
              <w:bottom w:type="dxa" w:w="80"/>
              <w:right w:type="dxa" w:w="100"/>
            </w:tcMar>
            <w:vAlign w:val="center"/>
          </w:tcPr>
          <w:p>
            <w:r>
              <w:rPr>
                <w:b w:val="false"/>
                <w:bCs w:val="false"/>
                <w:color w:val="1A1A1A"/>
                <w:sz w:val="19"/>
                <w:szCs w:val="19"/>
              </w:rPr>
              <w:t xml:space="preserve">FHIR bundle is built and validated from the attested record only</w:t>
            </w:r>
          </w:p>
        </w:tc>
        <w:tc>
          <w:tcPr>
            <w:tcW w:type="dxa" w:w="2200"/>
            <w:shd w:fill="F5F8F8" w:val="clear"/>
            <w:tcMar>
              <w:top w:type="dxa" w:w="80"/>
              <w:left w:type="dxa" w:w="100"/>
              <w:bottom w:type="dxa" w:w="80"/>
              <w:right w:type="dxa" w:w="100"/>
            </w:tcMar>
            <w:vAlign w:val="center"/>
          </w:tcPr>
          <w:p>
            <w:r>
              <w:rPr>
                <w:b w:val="false"/>
                <w:bCs w:val="false"/>
                <w:color w:val="1A1A1A"/>
                <w:sz w:val="19"/>
                <w:szCs w:val="19"/>
              </w:rPr>
              <w:t xml:space="preserve">M-D</w:t>
            </w:r>
          </w:p>
        </w:tc>
        <w:tc>
          <w:tcPr>
            <w:tcW w:type="dxa" w:w="2700"/>
            <w:shd w:fill="F5F8F8" w:val="clear"/>
            <w:tcMar>
              <w:top w:type="dxa" w:w="80"/>
              <w:left w:type="dxa" w:w="100"/>
              <w:bottom w:type="dxa" w:w="80"/>
              <w:right w:type="dxa" w:w="100"/>
            </w:tcMar>
            <w:vAlign w:val="center"/>
          </w:tcPr>
          <w:p>
            <w:r>
              <w:rPr>
                <w:b w:val="false"/>
                <w:bCs w:val="false"/>
                <w:color w:val="1A1A1A"/>
                <w:sz w:val="19"/>
                <w:szCs w:val="19"/>
              </w:rPr>
              <w:t xml:space="preserve">External — this is the artifact that would be shared through ABDM</w:t>
            </w:r>
          </w:p>
        </w:tc>
      </w:tr>
    </w:tbl>
    <w:p>
      <w:pPr>
        <w:spacing w:after="160" w:line="300"/>
      </w:pPr>
      <w:r>
        <w:rPr>
          <w:b w:val="false"/>
          <w:bCs w:val="false"/>
          <w:i w:val="false"/>
          <w:iCs w:val="false"/>
          <w:sz w:val="21"/>
          <w:szCs w:val="21"/>
        </w:rPr>
        <w:t xml:space="preserve">Steps 2 and 3 (Modules A and B) can be built and demoed in parallel — neither depends on the other's output, only on Module D having created a consented session. Step 4 (Module C) cannot start until both are complete for a given session. This is the same sequencing already set out in the shared engineering baseline (Section 4 of MediKiosk_Phase2_PRD.docx) — the module split does not change the build order, it only changes how the requirements are packaged.</w:t>
      </w:r>
    </w:p>
    <w:p>
      <w:pPr>
        <w:pStyle w:val="Heading1"/>
        <w:spacing w:after="200" w:before="400"/>
      </w:pPr>
      <w:r>
        <w:rPr>
          <w:b/>
          <w:bCs/>
          <w:color w:val="2F5D62"/>
          <w:sz w:val="32"/>
          <w:szCs w:val="32"/>
        </w:rPr>
        <w:t xml:space="preserve">4. Data Ownership — Which Module Writes What</w:t>
      </w:r>
    </w:p>
    <w:p>
      <w:pPr>
        <w:spacing w:after="160" w:line="300"/>
      </w:pPr>
      <w:r>
        <w:rPr>
          <w:b w:val="false"/>
          <w:bCs w:val="false"/>
          <w:i w:val="false"/>
          <w:iCs w:val="false"/>
          <w:sz w:val="21"/>
          <w:szCs w:val="21"/>
        </w:rPr>
        <w:t xml:space="preserve">To prevent two module teams from both trying to own the same table (a common source of discrepancy when a PRD is split), each Neon Postgres table has exactly one writing owner. Other modules may read a table but must never write to a table they don't 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00"/>
      </w:tblGrid>
      <w:tr>
        <w:trPr>
          <w:tblHeader/>
        </w:trPr>
        <w:tc>
          <w:tcPr>
            <w:tcW w:type="dxa" w:w="2600"/>
            <w:shd w:fill="2F5D62" w:val="clear"/>
            <w:tcMar>
              <w:top w:type="dxa" w:w="80"/>
              <w:left w:type="dxa" w:w="100"/>
              <w:bottom w:type="dxa" w:w="80"/>
              <w:right w:type="dxa" w:w="100"/>
            </w:tcMar>
            <w:vAlign w:val="center"/>
          </w:tcPr>
          <w:p>
            <w:r>
              <w:rPr>
                <w:b/>
                <w:bCs/>
                <w:color w:val="FFFFFF"/>
                <w:sz w:val="19"/>
                <w:szCs w:val="19"/>
              </w:rPr>
              <w:t xml:space="preserve">Table</w:t>
            </w:r>
          </w:p>
        </w:tc>
        <w:tc>
          <w:tcPr>
            <w:tcW w:type="dxa" w:w="3000"/>
            <w:shd w:fill="2F5D62" w:val="clear"/>
            <w:tcMar>
              <w:top w:type="dxa" w:w="80"/>
              <w:left w:type="dxa" w:w="100"/>
              <w:bottom w:type="dxa" w:w="80"/>
              <w:right w:type="dxa" w:w="100"/>
            </w:tcMar>
            <w:vAlign w:val="center"/>
          </w:tcPr>
          <w:p>
            <w:r>
              <w:rPr>
                <w:b/>
                <w:bCs/>
                <w:color w:val="FFFFFF"/>
                <w:sz w:val="19"/>
                <w:szCs w:val="19"/>
              </w:rPr>
              <w:t xml:space="preserve">Owner (write access)</w:t>
            </w:r>
          </w:p>
        </w:tc>
        <w:tc>
          <w:tcPr>
            <w:tcW w:type="dxa" w:w="3400"/>
            <w:shd w:fill="2F5D62" w:val="clear"/>
            <w:tcMar>
              <w:top w:type="dxa" w:w="80"/>
              <w:left w:type="dxa" w:w="100"/>
              <w:bottom w:type="dxa" w:w="80"/>
              <w:right w:type="dxa" w:w="100"/>
            </w:tcMar>
            <w:vAlign w:val="center"/>
          </w:tcPr>
          <w:p>
            <w:r>
              <w:rPr>
                <w:b/>
                <w:bCs/>
                <w:color w:val="FFFFFF"/>
                <w:sz w:val="19"/>
                <w:szCs w:val="19"/>
              </w:rPr>
              <w:t xml:space="preserve">Read access</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sessions, consent_records</w:t>
            </w:r>
          </w:p>
        </w:tc>
        <w:tc>
          <w:tcPr>
            <w:tcW w:type="dxa" w:w="3000"/>
            <w:tcMar>
              <w:top w:type="dxa" w:w="80"/>
              <w:left w:type="dxa" w:w="100"/>
              <w:bottom w:type="dxa" w:w="80"/>
              <w:right w:type="dxa" w:w="100"/>
            </w:tcMar>
            <w:vAlign w:val="center"/>
          </w:tcPr>
          <w:p>
            <w:r>
              <w:rPr>
                <w:b w:val="false"/>
                <w:bCs w:val="false"/>
                <w:color w:val="1A1A1A"/>
                <w:sz w:val="19"/>
                <w:szCs w:val="19"/>
              </w:rPr>
              <w:t xml:space="preserve">M-D</w:t>
            </w:r>
          </w:p>
        </w:tc>
        <w:tc>
          <w:tcPr>
            <w:tcW w:type="dxa" w:w="3400"/>
            <w:tcMar>
              <w:top w:type="dxa" w:w="80"/>
              <w:left w:type="dxa" w:w="100"/>
              <w:bottom w:type="dxa" w:w="80"/>
              <w:right w:type="dxa" w:w="100"/>
            </w:tcMar>
            <w:vAlign w:val="center"/>
          </w:tcPr>
          <w:p>
            <w:r>
              <w:rPr>
                <w:b w:val="false"/>
                <w:bCs w:val="false"/>
                <w:color w:val="1A1A1A"/>
                <w:sz w:val="19"/>
                <w:szCs w:val="19"/>
              </w:rPr>
              <w:t xml:space="preserve">M-A, M-B, M-C, M-E</w:t>
            </w:r>
          </w:p>
        </w:tc>
      </w:tr>
      <w:tr>
        <w:tc>
          <w:tcPr>
            <w:tcW w:type="dxa" w:w="2600"/>
            <w:shd w:fill="F5F8F8" w:val="clear"/>
            <w:tcMar>
              <w:top w:type="dxa" w:w="80"/>
              <w:left w:type="dxa" w:w="100"/>
              <w:bottom w:type="dxa" w:w="80"/>
              <w:right w:type="dxa" w:w="100"/>
            </w:tcMar>
            <w:vAlign w:val="center"/>
          </w:tcPr>
          <w:p>
            <w:r>
              <w:rPr>
                <w:b w:val="false"/>
                <w:bCs w:val="false"/>
                <w:color w:val="1A1A1A"/>
                <w:sz w:val="19"/>
                <w:szCs w:val="19"/>
              </w:rPr>
              <w:t xml:space="preserve">raw_answers, structured_history, red_flag_events</w:t>
            </w:r>
          </w:p>
        </w:tc>
        <w:tc>
          <w:tcPr>
            <w:tcW w:type="dxa" w:w="3000"/>
            <w:shd w:fill="F5F8F8" w:val="clear"/>
            <w:tcMar>
              <w:top w:type="dxa" w:w="80"/>
              <w:left w:type="dxa" w:w="100"/>
              <w:bottom w:type="dxa" w:w="80"/>
              <w:right w:type="dxa" w:w="100"/>
            </w:tcMar>
            <w:vAlign w:val="center"/>
          </w:tcPr>
          <w:p>
            <w:r>
              <w:rPr>
                <w:b w:val="false"/>
                <w:bCs w:val="false"/>
                <w:color w:val="1A1A1A"/>
                <w:sz w:val="19"/>
                <w:szCs w:val="19"/>
              </w:rPr>
              <w:t xml:space="preserve">M-A</w:t>
            </w:r>
          </w:p>
        </w:tc>
        <w:tc>
          <w:tcPr>
            <w:tcW w:type="dxa" w:w="3400"/>
            <w:shd w:fill="F5F8F8" w:val="clear"/>
            <w:tcMar>
              <w:top w:type="dxa" w:w="80"/>
              <w:left w:type="dxa" w:w="100"/>
              <w:bottom w:type="dxa" w:w="80"/>
              <w:right w:type="dxa" w:w="100"/>
            </w:tcMar>
            <w:vAlign w:val="center"/>
          </w:tcPr>
          <w:p>
            <w:r>
              <w:rPr>
                <w:b w:val="false"/>
                <w:bCs w:val="false"/>
                <w:color w:val="1A1A1A"/>
                <w:sz w:val="19"/>
                <w:szCs w:val="19"/>
              </w:rPr>
              <w:t xml:space="preserve">M-C, M-E (read-only)</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document_uploads, extracted_entities</w:t>
            </w:r>
          </w:p>
        </w:tc>
        <w:tc>
          <w:tcPr>
            <w:tcW w:type="dxa" w:w="3000"/>
            <w:tcMar>
              <w:top w:type="dxa" w:w="80"/>
              <w:left w:type="dxa" w:w="100"/>
              <w:bottom w:type="dxa" w:w="80"/>
              <w:right w:type="dxa" w:w="100"/>
            </w:tcMar>
            <w:vAlign w:val="center"/>
          </w:tcPr>
          <w:p>
            <w:r>
              <w:rPr>
                <w:b w:val="false"/>
                <w:bCs w:val="false"/>
                <w:color w:val="1A1A1A"/>
                <w:sz w:val="19"/>
                <w:szCs w:val="19"/>
              </w:rPr>
              <w:t xml:space="preserve">M-B</w:t>
            </w:r>
          </w:p>
        </w:tc>
        <w:tc>
          <w:tcPr>
            <w:tcW w:type="dxa" w:w="3400"/>
            <w:tcMar>
              <w:top w:type="dxa" w:w="80"/>
              <w:left w:type="dxa" w:w="100"/>
              <w:bottom w:type="dxa" w:w="80"/>
              <w:right w:type="dxa" w:w="100"/>
            </w:tcMar>
            <w:vAlign w:val="center"/>
          </w:tcPr>
          <w:p>
            <w:r>
              <w:rPr>
                <w:b w:val="false"/>
                <w:bCs w:val="false"/>
                <w:color w:val="1A1A1A"/>
                <w:sz w:val="19"/>
                <w:szCs w:val="19"/>
              </w:rPr>
              <w:t xml:space="preserve">M-C, M-E (read-only)</w:t>
            </w:r>
          </w:p>
        </w:tc>
      </w:tr>
      <w:tr>
        <w:tc>
          <w:tcPr>
            <w:tcW w:type="dxa" w:w="2600"/>
            <w:shd w:fill="F5F8F8" w:val="clear"/>
            <w:tcMar>
              <w:top w:type="dxa" w:w="80"/>
              <w:left w:type="dxa" w:w="100"/>
              <w:bottom w:type="dxa" w:w="80"/>
              <w:right w:type="dxa" w:w="100"/>
            </w:tcMar>
            <w:vAlign w:val="center"/>
          </w:tcPr>
          <w:p>
            <w:r>
              <w:rPr>
                <w:b w:val="false"/>
                <w:bCs w:val="false"/>
                <w:color w:val="1A1A1A"/>
                <w:sz w:val="19"/>
                <w:szCs w:val="19"/>
              </w:rPr>
              <w:t xml:space="preserve">draft_summaries, contradictions</w:t>
            </w:r>
          </w:p>
        </w:tc>
        <w:tc>
          <w:tcPr>
            <w:tcW w:type="dxa" w:w="3000"/>
            <w:shd w:fill="F5F8F8" w:val="clear"/>
            <w:tcMar>
              <w:top w:type="dxa" w:w="80"/>
              <w:left w:type="dxa" w:w="100"/>
              <w:bottom w:type="dxa" w:w="80"/>
              <w:right w:type="dxa" w:w="100"/>
            </w:tcMar>
            <w:vAlign w:val="center"/>
          </w:tcPr>
          <w:p>
            <w:r>
              <w:rPr>
                <w:b w:val="false"/>
                <w:bCs w:val="false"/>
                <w:color w:val="1A1A1A"/>
                <w:sz w:val="19"/>
                <w:szCs w:val="19"/>
              </w:rPr>
              <w:t xml:space="preserve">M-C</w:t>
            </w:r>
          </w:p>
        </w:tc>
        <w:tc>
          <w:tcPr>
            <w:tcW w:type="dxa" w:w="3400"/>
            <w:shd w:fill="F5F8F8" w:val="clear"/>
            <w:tcMar>
              <w:top w:type="dxa" w:w="80"/>
              <w:left w:type="dxa" w:w="100"/>
              <w:bottom w:type="dxa" w:w="80"/>
              <w:right w:type="dxa" w:w="100"/>
            </w:tcMar>
            <w:vAlign w:val="center"/>
          </w:tcPr>
          <w:p>
            <w:r>
              <w:rPr>
                <w:b w:val="false"/>
                <w:bCs w:val="false"/>
                <w:color w:val="1A1A1A"/>
                <w:sz w:val="19"/>
                <w:szCs w:val="19"/>
              </w:rPr>
              <w:t xml:space="preserve">M-E (read-only)</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review_actions, attested_records</w:t>
            </w:r>
          </w:p>
        </w:tc>
        <w:tc>
          <w:tcPr>
            <w:tcW w:type="dxa" w:w="3000"/>
            <w:tcMar>
              <w:top w:type="dxa" w:w="80"/>
              <w:left w:type="dxa" w:w="100"/>
              <w:bottom w:type="dxa" w:w="80"/>
              <w:right w:type="dxa" w:w="100"/>
            </w:tcMar>
            <w:vAlign w:val="center"/>
          </w:tcPr>
          <w:p>
            <w:r>
              <w:rPr>
                <w:b w:val="false"/>
                <w:bCs w:val="false"/>
                <w:color w:val="1A1A1A"/>
                <w:sz w:val="19"/>
                <w:szCs w:val="19"/>
              </w:rPr>
              <w:t xml:space="preserve">M-E</w:t>
            </w:r>
          </w:p>
        </w:tc>
        <w:tc>
          <w:tcPr>
            <w:tcW w:type="dxa" w:w="3400"/>
            <w:tcMar>
              <w:top w:type="dxa" w:w="80"/>
              <w:left w:type="dxa" w:w="100"/>
              <w:bottom w:type="dxa" w:w="80"/>
              <w:right w:type="dxa" w:w="100"/>
            </w:tcMar>
            <w:vAlign w:val="center"/>
          </w:tcPr>
          <w:p>
            <w:r>
              <w:rPr>
                <w:b w:val="false"/>
                <w:bCs w:val="false"/>
                <w:color w:val="1A1A1A"/>
                <w:sz w:val="19"/>
                <w:szCs w:val="19"/>
              </w:rPr>
              <w:t xml:space="preserve">M-D (read-only, for FHIR export)</w:t>
            </w:r>
          </w:p>
        </w:tc>
      </w:tr>
      <w:tr>
        <w:tc>
          <w:tcPr>
            <w:tcW w:type="dxa" w:w="2600"/>
            <w:shd w:fill="F5F8F8" w:val="clear"/>
            <w:tcMar>
              <w:top w:type="dxa" w:w="80"/>
              <w:left w:type="dxa" w:w="100"/>
              <w:bottom w:type="dxa" w:w="80"/>
              <w:right w:type="dxa" w:w="100"/>
            </w:tcMar>
            <w:vAlign w:val="center"/>
          </w:tcPr>
          <w:p>
            <w:r>
              <w:rPr>
                <w:b w:val="false"/>
                <w:bCs w:val="false"/>
                <w:color w:val="1A1A1A"/>
                <w:sz w:val="19"/>
                <w:szCs w:val="19"/>
              </w:rPr>
              <w:t xml:space="preserve">fhir_bundles</w:t>
            </w:r>
          </w:p>
        </w:tc>
        <w:tc>
          <w:tcPr>
            <w:tcW w:type="dxa" w:w="3000"/>
            <w:shd w:fill="F5F8F8" w:val="clear"/>
            <w:tcMar>
              <w:top w:type="dxa" w:w="80"/>
              <w:left w:type="dxa" w:w="100"/>
              <w:bottom w:type="dxa" w:w="80"/>
              <w:right w:type="dxa" w:w="100"/>
            </w:tcMar>
            <w:vAlign w:val="center"/>
          </w:tcPr>
          <w:p>
            <w:r>
              <w:rPr>
                <w:b w:val="false"/>
                <w:bCs w:val="false"/>
                <w:color w:val="1A1A1A"/>
                <w:sz w:val="19"/>
                <w:szCs w:val="19"/>
              </w:rPr>
              <w:t xml:space="preserve">M-D</w:t>
            </w:r>
          </w:p>
        </w:tc>
        <w:tc>
          <w:tcPr>
            <w:tcW w:type="dxa" w:w="3400"/>
            <w:shd w:fill="F5F8F8" w:val="clear"/>
            <w:tcMar>
              <w:top w:type="dxa" w:w="80"/>
              <w:left w:type="dxa" w:w="100"/>
              <w:bottom w:type="dxa" w:w="80"/>
              <w:right w:type="dxa" w:w="100"/>
            </w:tcMar>
            <w:vAlign w:val="center"/>
          </w:tcPr>
          <w:p>
            <w:r>
              <w:rPr>
                <w:b w:val="false"/>
                <w:bCs w:val="false"/>
                <w:color w:val="1A1A1A"/>
                <w:sz w:val="19"/>
                <w:szCs w:val="19"/>
              </w:rPr>
              <w:t xml:space="preserve">M-E (read-only, for display)</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audit_log</w:t>
            </w:r>
          </w:p>
        </w:tc>
        <w:tc>
          <w:tcPr>
            <w:tcW w:type="dxa" w:w="3000"/>
            <w:tcMar>
              <w:top w:type="dxa" w:w="80"/>
              <w:left w:type="dxa" w:w="100"/>
              <w:bottom w:type="dxa" w:w="80"/>
              <w:right w:type="dxa" w:w="100"/>
            </w:tcMar>
            <w:vAlign w:val="center"/>
          </w:tcPr>
          <w:p>
            <w:r>
              <w:rPr>
                <w:b w:val="false"/>
                <w:bCs w:val="false"/>
                <w:color w:val="1A1A1A"/>
                <w:sz w:val="19"/>
                <w:szCs w:val="19"/>
              </w:rPr>
              <w:t xml:space="preserve">Written by all modules (append-only), owned collectively</w:t>
            </w:r>
          </w:p>
        </w:tc>
        <w:tc>
          <w:tcPr>
            <w:tcW w:type="dxa" w:w="3400"/>
            <w:tcMar>
              <w:top w:type="dxa" w:w="80"/>
              <w:left w:type="dxa" w:w="100"/>
              <w:bottom w:type="dxa" w:w="80"/>
              <w:right w:type="dxa" w:w="100"/>
            </w:tcMar>
            <w:vAlign w:val="center"/>
          </w:tcPr>
          <w:p>
            <w:r>
              <w:rPr>
                <w:b w:val="false"/>
                <w:bCs w:val="false"/>
                <w:color w:val="1A1A1A"/>
                <w:sz w:val="19"/>
                <w:szCs w:val="19"/>
              </w:rPr>
              <w:t xml:space="preserve">All</w:t>
            </w:r>
          </w:p>
        </w:tc>
      </w:tr>
    </w:tbl>
    <w:p>
      <w:pPr>
        <w:pStyle w:val="Heading1"/>
        <w:spacing w:after="200" w:before="400"/>
      </w:pPr>
      <w:r>
        <w:rPr>
          <w:b/>
          <w:bCs/>
          <w:color w:val="2F5D62"/>
          <w:sz w:val="32"/>
          <w:szCs w:val="32"/>
        </w:rPr>
        <w:t xml:space="preserve">5. Standards Shared Across All Five Modules</w:t>
      </w:r>
    </w:p>
    <w:p>
      <w:pPr>
        <w:spacing w:after="160" w:line="300"/>
      </w:pPr>
      <w:r>
        <w:rPr>
          <w:b w:val="false"/>
          <w:bCs w:val="false"/>
          <w:i w:val="false"/>
          <w:iCs w:val="false"/>
          <w:sz w:val="21"/>
          <w:szCs w:val="21"/>
        </w:rPr>
        <w:t xml:space="preserve">These rules are repeated inside each module PRD so no module can drift from them. They must not be redefined or reinterpreted differently by any one module team.</w:t>
      </w:r>
    </w:p>
    <w:p>
      <w:pPr>
        <w:pStyle w:val="ListParagraph"/>
        <w:numPr>
          <w:ilvl w:val="0"/>
          <w:numId w:val="1"/>
        </w:numPr>
        <w:spacing w:after="90"/>
      </w:pPr>
      <w:r>
        <w:rPr>
          <w:sz w:val="21"/>
          <w:szCs w:val="21"/>
        </w:rPr>
        <w:t xml:space="preserve">Three-layer record model: Patient Evidence → Intake Draft → Clinician-Attested. No module may skip a layer or write draft data directly into the attested layer.</w:t>
      </w:r>
    </w:p>
    <w:p>
      <w:pPr>
        <w:pStyle w:val="ListParagraph"/>
        <w:numPr>
          <w:ilvl w:val="0"/>
          <w:numId w:val="1"/>
        </w:numPr>
        <w:spacing w:after="90"/>
      </w:pPr>
      <w:r>
        <w:rPr>
          <w:sz w:val="21"/>
          <w:szCs w:val="21"/>
        </w:rPr>
        <w:t xml:space="preserve">No-diagnosis boundary: no module — including the Voice AI agent and the summariser — may output a diagnosis, medication recommendation, or treatment advice. Every AI-derived field is labelled draft/unverified until Module E attests it.</w:t>
      </w:r>
    </w:p>
    <w:p>
      <w:pPr>
        <w:pStyle w:val="ListParagraph"/>
        <w:numPr>
          <w:ilvl w:val="0"/>
          <w:numId w:val="1"/>
        </w:numPr>
        <w:spacing w:after="90"/>
      </w:pPr>
      <w:r>
        <w:rPr>
          <w:sz w:val="21"/>
          <w:szCs w:val="21"/>
        </w:rPr>
        <w:t xml:space="preserve">Confidence + abstention: every AI-derived field (from M-A or M-B) carries a numeric confidence score; fields below the agreed threshold are marked needs_verification rather than being silently auto-corrected.</w:t>
      </w:r>
    </w:p>
    <w:p>
      <w:pPr>
        <w:pStyle w:val="ListParagraph"/>
        <w:numPr>
          <w:ilvl w:val="0"/>
          <w:numId w:val="1"/>
        </w:numPr>
        <w:spacing w:after="90"/>
      </w:pPr>
      <w:r>
        <w:rPr>
          <w:sz w:val="21"/>
          <w:szCs w:val="21"/>
        </w:rPr>
        <w:t xml:space="preserve">Reproducibility fields: every AI-generated row (transcripts, extractions, summaries) stores model name, model version, and prompt/template version, so any output can be traced and replayed.</w:t>
      </w:r>
    </w:p>
    <w:p>
      <w:pPr>
        <w:pStyle w:val="ListParagraph"/>
        <w:numPr>
          <w:ilvl w:val="0"/>
          <w:numId w:val="1"/>
        </w:numPr>
        <w:spacing w:after="90"/>
      </w:pPr>
      <w:r>
        <w:rPr>
          <w:sz w:val="21"/>
          <w:szCs w:val="21"/>
        </w:rPr>
        <w:t xml:space="preserve">Consent gate: no module may write patient data to any table other than a pending session/consent check until Module D has recorded a valid, active consent for that session.</w:t>
      </w:r>
    </w:p>
    <w:p>
      <w:pPr>
        <w:pStyle w:val="ListParagraph"/>
        <w:numPr>
          <w:ilvl w:val="0"/>
          <w:numId w:val="1"/>
        </w:numPr>
        <w:spacing w:after="90"/>
      </w:pPr>
      <w:r>
        <w:rPr>
          <w:sz w:val="21"/>
          <w:szCs w:val="21"/>
        </w:rPr>
        <w:t xml:space="preserve">Tech stack: React + Next.js (single app, server-side API routes only talk to Neon/Gemini/Voice AI Agent), Neon Serverless PostgreSQL, Google Gemini for all document-intelligence extraction, a Voice AI Agent for all spoken interaction — identical across every module PRD.</w:t>
      </w:r>
    </w:p>
    <w:p>
      <w:pPr>
        <w:pStyle w:val="Heading1"/>
        <w:spacing w:after="200" w:before="400"/>
      </w:pPr>
      <w:r>
        <w:rPr>
          <w:b/>
          <w:bCs/>
          <w:color w:val="2F5D62"/>
          <w:sz w:val="32"/>
          <w:szCs w:val="32"/>
        </w:rPr>
        <w:t xml:space="preserve">6. How to Use This Set</w:t>
      </w:r>
    </w:p>
    <w:p>
      <w:pPr>
        <w:pStyle w:val="ListParagraph"/>
        <w:numPr>
          <w:ilvl w:val="0"/>
          <w:numId w:val="1"/>
        </w:numPr>
        <w:spacing w:after="90"/>
      </w:pPr>
      <w:r>
        <w:rPr>
          <w:sz w:val="21"/>
          <w:szCs w:val="21"/>
        </w:rPr>
        <w:t xml:space="preserve">If you are building the Voice AI conversational intake: read M-A in full; read Sections 3–5 of this index; treat M-B, M-C, M-D, M-E as read-only context.</w:t>
      </w:r>
    </w:p>
    <w:p>
      <w:pPr>
        <w:pStyle w:val="ListParagraph"/>
        <w:numPr>
          <w:ilvl w:val="0"/>
          <w:numId w:val="1"/>
        </w:numPr>
        <w:spacing w:after="90"/>
      </w:pPr>
      <w:r>
        <w:rPr>
          <w:sz w:val="21"/>
          <w:szCs w:val="21"/>
        </w:rPr>
        <w:t xml:space="preserve">If you are building the prescription/document extraction pipeline: read M-B in full; same rule for the others.</w:t>
      </w:r>
    </w:p>
    <w:p>
      <w:pPr>
        <w:pStyle w:val="ListParagraph"/>
        <w:numPr>
          <w:ilvl w:val="0"/>
          <w:numId w:val="1"/>
        </w:numPr>
        <w:spacing w:after="90"/>
      </w:pPr>
      <w:r>
        <w:rPr>
          <w:sz w:val="21"/>
          <w:szCs w:val="21"/>
        </w:rPr>
        <w:t xml:space="preserve">If a change in one module PRD would affect a shared table, a shared standard (Section 5), or the sequencing (Section 3), update this index in the same change — the index, not any single module PRD, is the source of truth for cross-module agreements.</w:t>
      </w:r>
    </w:p>
    <w:p>
      <w:pPr>
        <w:pStyle w:val="ListParagraph"/>
        <w:numPr>
          <w:ilvl w:val="0"/>
          <w:numId w:val="1"/>
        </w:numPr>
        <w:spacing w:after="90"/>
      </w:pPr>
      <w:r>
        <w:rPr>
          <w:sz w:val="21"/>
          <w:szCs w:val="21"/>
        </w:rPr>
        <w:t xml:space="preserve">MediKiosk_UIUX_Design.docx and MediKiosk_Technical_Architecture.docx still apply across all five modules unchanged and are referenced, not duplicated, inside each module PRD.</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2026-08-31T09:36:42.905Z</dcterms:created>
  <dcterms:modified xsi:type="dcterms:W3CDTF">2026-08-31T09:36:42.919Z</dcterms:modified>
</cp:coreProperties>
</file>

<file path=docProps/custom.xml><?xml version="1.0" encoding="utf-8"?>
<Properties xmlns="http://schemas.openxmlformats.org/officeDocument/2006/custom-properties" xmlns:vt="http://schemas.openxmlformats.org/officeDocument/2006/docPropsVTypes"/>
</file>