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2F5D62"/>
          <w:sz w:val="60"/>
          <w:szCs w:val="60"/>
        </w:rPr>
        <w:t xml:space="preserve">MediKiosk</w:t>
      </w:r>
    </w:p>
    <w:p>
      <w:pPr>
        <w:spacing w:after="100"/>
        <w:jc w:val="center"/>
      </w:pPr>
      <w:r>
        <w:rPr>
          <w:i/>
          <w:iCs/>
          <w:sz w:val="28"/>
          <w:szCs w:val="28"/>
        </w:rPr>
        <w:t xml:space="preserve">Module A — Voice AI Conversational Intake (Data Injection)</w:t>
      </w:r>
    </w:p>
    <w:p>
      <w:pPr>
        <w:spacing w:after="500"/>
        <w:jc w:val="center"/>
      </w:pPr>
      <w:r>
        <w:rPr>
          <w:b/>
          <w:bCs/>
          <w:color w:val="2F5D62"/>
          <w:sz w:val="24"/>
          <w:szCs w:val="24"/>
        </w:rPr>
        <w:t xml:space="preserve">Module Product Requirements Document —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D62" w:val="clear"/>
            <w:tcMar>
              <w:top w:type="dxa" w:w="80"/>
              <w:left w:type="dxa" w:w="100"/>
              <w:bottom w:type="dxa" w:w="80"/>
              <w:right w:type="dxa" w:w="100"/>
            </w:tcMar>
            <w:vAlign w:val="center"/>
          </w:tcPr>
          <w:p>
            <w:r>
              <w:rPr>
                <w:b/>
                <w:bCs/>
                <w:color w:val="FFFFFF"/>
                <w:sz w:val="19"/>
                <w:szCs w:val="19"/>
              </w:rPr>
              <w:t xml:space="preserve">Field</w:t>
            </w:r>
          </w:p>
        </w:tc>
        <w:tc>
          <w:tcPr>
            <w:tcW w:type="dxa" w:w="6400"/>
            <w:shd w:fill="2F5D62" w:val="clear"/>
            <w:tcMar>
              <w:top w:type="dxa" w:w="80"/>
              <w:left w:type="dxa" w:w="100"/>
              <w:bottom w:type="dxa" w:w="80"/>
              <w:right w:type="dxa" w:w="100"/>
            </w:tcMar>
            <w:vAlign w:val="center"/>
          </w:tcPr>
          <w:p>
            <w:r>
              <w:rPr>
                <w:b/>
                <w:bCs/>
                <w:color w:val="FFFFFF"/>
                <w:sz w:val="19"/>
                <w:szCs w:val="19"/>
              </w:rPr>
              <w:t xml:space="preserve">Detail</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Module</w:t>
            </w:r>
          </w:p>
        </w:tc>
        <w:tc>
          <w:tcPr>
            <w:tcW w:type="dxa" w:w="6400"/>
            <w:tcMar>
              <w:top w:type="dxa" w:w="80"/>
              <w:left w:type="dxa" w:w="100"/>
              <w:bottom w:type="dxa" w:w="80"/>
              <w:right w:type="dxa" w:w="100"/>
            </w:tcMar>
            <w:vAlign w:val="center"/>
          </w:tcPr>
          <w:p>
            <w:r>
              <w:rPr>
                <w:b w:val="false"/>
                <w:bCs w:val="false"/>
                <w:color w:val="1A1A1A"/>
                <w:sz w:val="19"/>
                <w:szCs w:val="19"/>
              </w:rPr>
              <w:t xml:space="preserve">A — Voice AI Conversational Intake (Data Injection)</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Part of</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MediKiosk Phase 2 Module PRD Set — see MediKiosk_PRD_Master_Index.docx for sequencing and shared standards</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Owns (writes)</w:t>
            </w:r>
          </w:p>
        </w:tc>
        <w:tc>
          <w:tcPr>
            <w:tcW w:type="dxa" w:w="6400"/>
            <w:tcMar>
              <w:top w:type="dxa" w:w="80"/>
              <w:left w:type="dxa" w:w="100"/>
              <w:bottom w:type="dxa" w:w="80"/>
              <w:right w:type="dxa" w:w="100"/>
            </w:tcMar>
            <w:vAlign w:val="center"/>
          </w:tcPr>
          <w:p>
            <w:r>
              <w:rPr>
                <w:b w:val="false"/>
                <w:bCs w:val="false"/>
                <w:color w:val="1A1A1A"/>
                <w:sz w:val="19"/>
                <w:szCs w:val="19"/>
              </w:rPr>
              <w:t xml:space="preserve">raw_answers, structured_history, red_flag_events, audio_segments</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Reads from</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sessions, consent_records (from Module D — a session must be active and consented before this module may write anything)</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Consumed by</w:t>
            </w:r>
          </w:p>
        </w:tc>
        <w:tc>
          <w:tcPr>
            <w:tcW w:type="dxa" w:w="6400"/>
            <w:tcMar>
              <w:top w:type="dxa" w:w="80"/>
              <w:left w:type="dxa" w:w="100"/>
              <w:bottom w:type="dxa" w:w="80"/>
              <w:right w:type="dxa" w:w="100"/>
            </w:tcMar>
            <w:vAlign w:val="center"/>
          </w:tcPr>
          <w:p>
            <w:r>
              <w:rPr>
                <w:b w:val="false"/>
                <w:bCs w:val="false"/>
                <w:color w:val="1A1A1A"/>
                <w:sz w:val="19"/>
                <w:szCs w:val="19"/>
              </w:rPr>
              <w:t xml:space="preserve">Module C (reads structured_history to generate the draft summary), Module E (reads structured_history + raw_answers for clinician review and source drill-down)</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Primary Phase-1 KB reference</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Knowledge Base Part III, Sections 8–11 (clinical data schema, dialogue spec, AYUSH governance, red-flag workflow)</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Tech stack</w:t>
            </w:r>
          </w:p>
        </w:tc>
        <w:tc>
          <w:tcPr>
            <w:tcW w:type="dxa" w:w="6400"/>
            <w:tcMar>
              <w:top w:type="dxa" w:w="80"/>
              <w:left w:type="dxa" w:w="100"/>
              <w:bottom w:type="dxa" w:w="80"/>
              <w:right w:type="dxa" w:w="100"/>
            </w:tcMar>
            <w:vAlign w:val="center"/>
          </w:tcPr>
          <w:p>
            <w:r>
              <w:rPr>
                <w:b w:val="false"/>
                <w:bCs w:val="false"/>
                <w:color w:val="1A1A1A"/>
                <w:sz w:val="19"/>
                <w:szCs w:val="19"/>
              </w:rPr>
              <w:t xml:space="preserve">React + Next.js (server-side API routes) · Neon Serverless PostgreSQL · Voice AI Agent (ASR + LLM dialogue manager + TTS), called server-side only</w:t>
            </w:r>
          </w:p>
        </w:tc>
      </w:tr>
    </w:tbl>
    <w:p>
      <w:r>
        <w:br w:type="page"/>
      </w:r>
    </w:p>
    <w:p>
      <w:pPr>
        <w:pStyle w:val="Heading1"/>
        <w:spacing w:after="200" w:before="400"/>
      </w:pPr>
      <w:r>
        <w:rPr>
          <w:b/>
          <w:bCs/>
          <w:color w:val="2F5D62"/>
          <w:sz w:val="32"/>
          <w:szCs w:val="32"/>
        </w:rPr>
        <w:t xml:space="preserve">1. Module Purpose &amp; Boundary</w:t>
      </w:r>
    </w:p>
    <w:p>
      <w:pPr>
        <w:spacing w:after="160" w:line="300"/>
      </w:pPr>
      <w:r>
        <w:rPr>
          <w:b w:val="false"/>
          <w:bCs w:val="false"/>
          <w:i w:val="false"/>
          <w:iCs w:val="false"/>
          <w:sz w:val="21"/>
          <w:szCs w:val="21"/>
        </w:rPr>
        <w:t xml:space="preserve">This module is the conversational engine that interviews the patient by voice and touch and injects their answers into the system as structured clinical data. It replaces the human step of a nurse or doctor asking history-taking questions: the Voice AI Agent asks the questions, listens (or accepts a tap), and writes each answer into the Intake Draft Layer as a discrete, labelled field — never as an unstructured blob of text.</w:t>
      </w:r>
    </w:p>
    <w:p>
      <w:pPr>
        <w:shd w:fill="EAF3F2" w:val="clear"/>
        <w:spacing w:after="200" w:before="100"/>
      </w:pPr>
      <w:r>
        <w:rPr>
          <w:i/>
          <w:iCs/>
          <w:color w:val="5B5B5B"/>
          <w:sz w:val="20"/>
          <w:szCs w:val="20"/>
        </w:rPr>
        <w:t xml:space="preserve">This module only writes data — it never reads or displays scanned-document data (that's Module B), never produces the combined summary (Module C), and never makes a diagnosis or clinical judgement of any kind. Its only clinical judgement-like behaviour is the deterministic red-flag rule engine, which is a fixed rule set, not an LLM decision.</w:t>
      </w:r>
    </w:p>
    <w:p>
      <w:pPr>
        <w:pStyle w:val="Heading1"/>
        <w:spacing w:after="200" w:before="400"/>
      </w:pPr>
      <w:r>
        <w:rPr>
          <w:b/>
          <w:bCs/>
          <w:color w:val="2F5D62"/>
          <w:sz w:val="32"/>
          <w:szCs w:val="32"/>
        </w:rPr>
        <w:t xml:space="preserve">2. In Scope / Out of Scope for This Module</w:t>
      </w:r>
    </w:p>
    <w:p>
      <w:pPr>
        <w:pStyle w:val="Heading3"/>
        <w:spacing w:after="120" w:before="220"/>
      </w:pPr>
      <w:r>
        <w:rPr>
          <w:b/>
          <w:bCs/>
          <w:color w:val="C15B3A"/>
          <w:sz w:val="22"/>
          <w:szCs w:val="22"/>
        </w:rPr>
        <w:t xml:space="preserve">In scope</w:t>
      </w:r>
    </w:p>
    <w:p>
      <w:pPr>
        <w:pStyle w:val="ListParagraph"/>
        <w:numPr>
          <w:ilvl w:val="0"/>
          <w:numId w:val="1"/>
        </w:numPr>
        <w:spacing w:after="90"/>
      </w:pPr>
      <w:r>
        <w:rPr>
          <w:sz w:val="21"/>
          <w:szCs w:val="21"/>
        </w:rPr>
        <w:t xml:space="preserve">Language-aware adaptive interview covering Chief Complaint, HPI (SOCRATES), Past Medical/Surgical History, Drug &amp; Allergy History, Family History, Personal/Social History, and Review of Systems.</w:t>
      </w:r>
    </w:p>
    <w:p>
      <w:pPr>
        <w:pStyle w:val="ListParagraph"/>
        <w:numPr>
          <w:ilvl w:val="0"/>
          <w:numId w:val="1"/>
        </w:numPr>
        <w:spacing w:after="90"/>
      </w:pPr>
      <w:r>
        <w:rPr>
          <w:sz w:val="21"/>
          <w:szCs w:val="21"/>
        </w:rPr>
        <w:t xml:space="preserve">Dual-mode input: every question answerable by speaking or tapping, with seamless switching.</w:t>
      </w:r>
    </w:p>
    <w:p>
      <w:pPr>
        <w:pStyle w:val="ListParagraph"/>
        <w:numPr>
          <w:ilvl w:val="0"/>
          <w:numId w:val="1"/>
        </w:numPr>
        <w:spacing w:after="90"/>
      </w:pPr>
      <w:r>
        <w:rPr>
          <w:sz w:val="21"/>
          <w:szCs w:val="21"/>
        </w:rPr>
        <w:t xml:space="preserve">AYUSH self-report mode: Dashavidha/Agni/Ahara-Vihara questionnaire, restricted to the self-reportable parameters defined in the Knowledge Base (Part III §10).</w:t>
      </w:r>
    </w:p>
    <w:p>
      <w:pPr>
        <w:pStyle w:val="ListParagraph"/>
        <w:numPr>
          <w:ilvl w:val="0"/>
          <w:numId w:val="1"/>
        </w:numPr>
        <w:spacing w:after="90"/>
      </w:pPr>
      <w:r>
        <w:rPr>
          <w:sz w:val="21"/>
          <w:szCs w:val="21"/>
        </w:rPr>
        <w:t xml:space="preserve">Explicit 'unknown' / 'prefer not to say' handling on every field, visibly flagged rather than silently skipped.</w:t>
      </w:r>
    </w:p>
    <w:p>
      <w:pPr>
        <w:pStyle w:val="ListParagraph"/>
        <w:numPr>
          <w:ilvl w:val="0"/>
          <w:numId w:val="1"/>
        </w:numPr>
        <w:spacing w:after="90"/>
      </w:pPr>
      <w:r>
        <w:rPr>
          <w:sz w:val="21"/>
          <w:szCs w:val="21"/>
        </w:rPr>
        <w:t xml:space="preserve">Patient-correction flow: the patient can revise an earlier answer before session completion without losing later answers.</w:t>
      </w:r>
    </w:p>
    <w:p>
      <w:pPr>
        <w:pStyle w:val="ListParagraph"/>
        <w:numPr>
          <w:ilvl w:val="0"/>
          <w:numId w:val="1"/>
        </w:numPr>
        <w:spacing w:after="90"/>
      </w:pPr>
      <w:r>
        <w:rPr>
          <w:sz w:val="21"/>
          <w:szCs w:val="21"/>
        </w:rPr>
        <w:t xml:space="preserve">Deterministic red-flag rule engine: a small, clinically approved symptom-pattern rule set (not the LLM) that raises a priority alert.</w:t>
      </w:r>
    </w:p>
    <w:p>
      <w:pPr>
        <w:pStyle w:val="Heading3"/>
        <w:spacing w:after="120" w:before="220"/>
      </w:pPr>
      <w:r>
        <w:rPr>
          <w:b/>
          <w:bCs/>
          <w:color w:val="C15B3A"/>
          <w:sz w:val="22"/>
          <w:szCs w:val="22"/>
        </w:rPr>
        <w:t xml:space="preserve">Out of scope (owned by another module or a later phase)</w:t>
      </w:r>
    </w:p>
    <w:p>
      <w:pPr>
        <w:pStyle w:val="ListParagraph"/>
        <w:numPr>
          <w:ilvl w:val="0"/>
          <w:numId w:val="1"/>
        </w:numPr>
        <w:spacing w:after="90"/>
      </w:pPr>
      <w:r>
        <w:rPr>
          <w:sz w:val="21"/>
          <w:szCs w:val="21"/>
        </w:rPr>
        <w:t xml:space="preserve">Reading or interpreting scanned documents — owned entirely by Module B.</w:t>
      </w:r>
    </w:p>
    <w:p>
      <w:pPr>
        <w:pStyle w:val="ListParagraph"/>
        <w:numPr>
          <w:ilvl w:val="0"/>
          <w:numId w:val="1"/>
        </w:numPr>
        <w:spacing w:after="90"/>
      </w:pPr>
      <w:r>
        <w:rPr>
          <w:sz w:val="21"/>
          <w:szCs w:val="21"/>
        </w:rPr>
        <w:t xml:space="preserve">Generating the combined draft summary or detecting contradictions with document data — owned by Module C.</w:t>
      </w:r>
    </w:p>
    <w:p>
      <w:pPr>
        <w:pStyle w:val="ListParagraph"/>
        <w:numPr>
          <w:ilvl w:val="0"/>
          <w:numId w:val="1"/>
        </w:numPr>
        <w:spacing w:after="90"/>
      </w:pPr>
      <w:r>
        <w:rPr>
          <w:sz w:val="21"/>
          <w:szCs w:val="21"/>
        </w:rPr>
        <w:t xml:space="preserve">Consent capture and session/identity creation — owned by Module D; this module assumes a valid, consented session already exists.</w:t>
      </w:r>
    </w:p>
    <w:p>
      <w:pPr>
        <w:pStyle w:val="ListParagraph"/>
        <w:numPr>
          <w:ilvl w:val="0"/>
          <w:numId w:val="1"/>
        </w:numPr>
        <w:spacing w:after="90"/>
      </w:pPr>
      <w:r>
        <w:rPr>
          <w:sz w:val="21"/>
          <w:szCs w:val="21"/>
        </w:rPr>
        <w:t xml:space="preserve">Clinician review, editing, or attestation of the answers this module captures — owned by Module E.</w:t>
      </w:r>
    </w:p>
    <w:p>
      <w:pPr>
        <w:pStyle w:val="ListParagraph"/>
        <w:numPr>
          <w:ilvl w:val="0"/>
          <w:numId w:val="1"/>
        </w:numPr>
        <w:spacing w:after="90"/>
      </w:pPr>
      <w:r>
        <w:rPr>
          <w:sz w:val="21"/>
          <w:szCs w:val="21"/>
        </w:rPr>
        <w:t xml:space="preserve">Any diagnosis, differential, or treatment suggestion — permanently out of scope for this module.</w:t>
      </w:r>
    </w:p>
    <w:p>
      <w:pPr>
        <w:pStyle w:val="Heading1"/>
        <w:spacing w:after="200" w:before="400"/>
      </w:pPr>
      <w:r>
        <w:rPr>
          <w:b/>
          <w:bCs/>
          <w:color w:val="2F5D62"/>
          <w:sz w:val="32"/>
          <w:szCs w:val="32"/>
        </w:rPr>
        <w:t xml:space="preserve">3. User Stories &amp;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00"/>
      </w:tblGrid>
      <w:tr>
        <w:trPr>
          <w:tblHeader/>
        </w:trPr>
        <w:tc>
          <w:tcPr>
            <w:tcW w:type="dxa" w:w="700"/>
            <w:shd w:fill="2F5D62" w:val="clear"/>
            <w:tcMar>
              <w:top w:type="dxa" w:w="80"/>
              <w:left w:type="dxa" w:w="100"/>
              <w:bottom w:type="dxa" w:w="80"/>
              <w:right w:type="dxa" w:w="100"/>
            </w:tcMar>
            <w:vAlign w:val="center"/>
          </w:tcPr>
          <w:p>
            <w:r>
              <w:rPr>
                <w:b/>
                <w:bCs/>
                <w:color w:val="FFFFFF"/>
                <w:sz w:val="19"/>
                <w:szCs w:val="19"/>
              </w:rPr>
              <w:t xml:space="preserve">ID</w:t>
            </w:r>
          </w:p>
        </w:tc>
        <w:tc>
          <w:tcPr>
            <w:tcW w:type="dxa" w:w="3800"/>
            <w:shd w:fill="2F5D62" w:val="clear"/>
            <w:tcMar>
              <w:top w:type="dxa" w:w="80"/>
              <w:left w:type="dxa" w:w="100"/>
              <w:bottom w:type="dxa" w:w="80"/>
              <w:right w:type="dxa" w:w="100"/>
            </w:tcMar>
            <w:vAlign w:val="center"/>
          </w:tcPr>
          <w:p>
            <w:r>
              <w:rPr>
                <w:b/>
                <w:bCs/>
                <w:color w:val="FFFFFF"/>
                <w:sz w:val="19"/>
                <w:szCs w:val="19"/>
              </w:rPr>
              <w:t xml:space="preserve">User story</w:t>
            </w:r>
          </w:p>
        </w:tc>
        <w:tc>
          <w:tcPr>
            <w:tcW w:type="dxa" w:w="4500"/>
            <w:shd w:fill="2F5D62"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700"/>
            <w:tcMar>
              <w:top w:type="dxa" w:w="80"/>
              <w:left w:type="dxa" w:w="100"/>
              <w:bottom w:type="dxa" w:w="80"/>
              <w:right w:type="dxa" w:w="100"/>
            </w:tcMar>
            <w:vAlign w:val="center"/>
          </w:tcPr>
          <w:p>
            <w:r>
              <w:rPr>
                <w:b w:val="false"/>
                <w:bCs w:val="false"/>
                <w:color w:val="1A1A1A"/>
                <w:sz w:val="19"/>
                <w:szCs w:val="19"/>
              </w:rPr>
              <w:t xml:space="preserve">A1</w:t>
            </w:r>
          </w:p>
        </w:tc>
        <w:tc>
          <w:tcPr>
            <w:tcW w:type="dxa" w:w="3800"/>
            <w:tcMar>
              <w:top w:type="dxa" w:w="80"/>
              <w:left w:type="dxa" w:w="100"/>
              <w:bottom w:type="dxa" w:w="80"/>
              <w:right w:type="dxa" w:w="100"/>
            </w:tcMar>
            <w:vAlign w:val="center"/>
          </w:tcPr>
          <w:p>
            <w:r>
              <w:rPr>
                <w:b w:val="false"/>
                <w:bCs w:val="false"/>
                <w:color w:val="1A1A1A"/>
                <w:sz w:val="19"/>
                <w:szCs w:val="19"/>
              </w:rPr>
              <w:t xml:space="preserve">As a patient, I can select my spoken language before the interview begins.</w:t>
            </w:r>
          </w:p>
        </w:tc>
        <w:tc>
          <w:tcPr>
            <w:tcW w:type="dxa" w:w="4500"/>
            <w:tcMar>
              <w:top w:type="dxa" w:w="80"/>
              <w:left w:type="dxa" w:w="100"/>
              <w:bottom w:type="dxa" w:w="80"/>
              <w:right w:type="dxa" w:w="100"/>
            </w:tcMar>
            <w:vAlign w:val="center"/>
          </w:tcPr>
          <w:p>
            <w:r>
              <w:rPr>
                <w:b w:val="false"/>
                <w:bCs w:val="false"/>
                <w:color w:val="1A1A1A"/>
                <w:sz w:val="19"/>
                <w:szCs w:val="19"/>
              </w:rPr>
              <w:t xml:space="preserve">Language selector shows only languages the Voice AI Agent has verified ASR/TTS coverage for; unsupported languages show a disclosed fallback to touch-only.</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A2</w:t>
            </w:r>
          </w:p>
        </w:tc>
        <w:tc>
          <w:tcPr>
            <w:tcW w:type="dxa" w:w="3800"/>
            <w:shd w:fill="F5F8F8" w:val="clear"/>
            <w:tcMar>
              <w:top w:type="dxa" w:w="80"/>
              <w:left w:type="dxa" w:w="100"/>
              <w:bottom w:type="dxa" w:w="80"/>
              <w:right w:type="dxa" w:w="100"/>
            </w:tcMar>
            <w:vAlign w:val="center"/>
          </w:tcPr>
          <w:p>
            <w:r>
              <w:rPr>
                <w:b w:val="false"/>
                <w:bCs w:val="false"/>
                <w:color w:val="1A1A1A"/>
                <w:sz w:val="19"/>
                <w:szCs w:val="19"/>
              </w:rPr>
              <w:t xml:space="preserve">As a patient, I can describe my complaint by speaking or by tapping options, interchangeably.</w:t>
            </w:r>
          </w:p>
        </w:tc>
        <w:tc>
          <w:tcPr>
            <w:tcW w:type="dxa" w:w="4500"/>
            <w:shd w:fill="F5F8F8" w:val="clear"/>
            <w:tcMar>
              <w:top w:type="dxa" w:w="80"/>
              <w:left w:type="dxa" w:w="100"/>
              <w:bottom w:type="dxa" w:w="80"/>
              <w:right w:type="dxa" w:w="100"/>
            </w:tcMar>
            <w:vAlign w:val="center"/>
          </w:tcPr>
          <w:p>
            <w:r>
              <w:rPr>
                <w:b w:val="false"/>
                <w:bCs w:val="false"/>
                <w:color w:val="1A1A1A"/>
                <w:sz w:val="19"/>
                <w:szCs w:val="19"/>
              </w:rPr>
              <w:t xml:space="preserve">Every question has both a microphone affordance and an equivalent tappable option set; switching modes mid-question does not lose prior answers.</w:t>
            </w:r>
          </w:p>
        </w:tc>
      </w:tr>
      <w:tr>
        <w:tc>
          <w:tcPr>
            <w:tcW w:type="dxa" w:w="700"/>
            <w:tcMar>
              <w:top w:type="dxa" w:w="80"/>
              <w:left w:type="dxa" w:w="100"/>
              <w:bottom w:type="dxa" w:w="80"/>
              <w:right w:type="dxa" w:w="100"/>
            </w:tcMar>
            <w:vAlign w:val="center"/>
          </w:tcPr>
          <w:p>
            <w:r>
              <w:rPr>
                <w:b w:val="false"/>
                <w:bCs w:val="false"/>
                <w:color w:val="1A1A1A"/>
                <w:sz w:val="19"/>
                <w:szCs w:val="19"/>
              </w:rPr>
              <w:t xml:space="preserve">A3</w:t>
            </w:r>
          </w:p>
        </w:tc>
        <w:tc>
          <w:tcPr>
            <w:tcW w:type="dxa" w:w="3800"/>
            <w:tcMar>
              <w:top w:type="dxa" w:w="80"/>
              <w:left w:type="dxa" w:w="100"/>
              <w:bottom w:type="dxa" w:w="80"/>
              <w:right w:type="dxa" w:w="100"/>
            </w:tcMar>
            <w:vAlign w:val="center"/>
          </w:tcPr>
          <w:p>
            <w:r>
              <w:rPr>
                <w:b w:val="false"/>
                <w:bCs w:val="false"/>
                <w:color w:val="1A1A1A"/>
                <w:sz w:val="19"/>
                <w:szCs w:val="19"/>
              </w:rPr>
              <w:t xml:space="preserve">As a patient stating a symptom, the agent asks structured SOCRATES follow-ups.</w:t>
            </w:r>
          </w:p>
        </w:tc>
        <w:tc>
          <w:tcPr>
            <w:tcW w:type="dxa" w:w="4500"/>
            <w:tcMar>
              <w:top w:type="dxa" w:w="80"/>
              <w:left w:type="dxa" w:w="100"/>
              <w:bottom w:type="dxa" w:w="80"/>
              <w:right w:type="dxa" w:w="100"/>
            </w:tcMar>
            <w:vAlign w:val="center"/>
          </w:tcPr>
          <w:p>
            <w:r>
              <w:rPr>
                <w:b w:val="false"/>
                <w:bCs w:val="false"/>
                <w:color w:val="1A1A1A"/>
                <w:sz w:val="19"/>
                <w:szCs w:val="19"/>
              </w:rPr>
              <w:t xml:space="preserve">For any recognised chief-complaint category, the agent asks Site, Onset, Character, Radiation, Associated symptoms, Time course, Exacerbating/relieving factors, Severity — each written as a discrete structured_history field, not free text.</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A4</w:t>
            </w:r>
          </w:p>
        </w:tc>
        <w:tc>
          <w:tcPr>
            <w:tcW w:type="dxa" w:w="3800"/>
            <w:shd w:fill="F5F8F8" w:val="clear"/>
            <w:tcMar>
              <w:top w:type="dxa" w:w="80"/>
              <w:left w:type="dxa" w:w="100"/>
              <w:bottom w:type="dxa" w:w="80"/>
              <w:right w:type="dxa" w:w="100"/>
            </w:tcMar>
            <w:vAlign w:val="center"/>
          </w:tcPr>
          <w:p>
            <w:r>
              <w:rPr>
                <w:b w:val="false"/>
                <w:bCs w:val="false"/>
                <w:color w:val="1A1A1A"/>
                <w:sz w:val="19"/>
                <w:szCs w:val="19"/>
              </w:rPr>
              <w:t xml:space="preserve">As a patient, I can answer 'unknown' or 'prefer not to say' without being blocked.</w:t>
            </w:r>
          </w:p>
        </w:tc>
        <w:tc>
          <w:tcPr>
            <w:tcW w:type="dxa" w:w="4500"/>
            <w:shd w:fill="F5F8F8" w:val="clear"/>
            <w:tcMar>
              <w:top w:type="dxa" w:w="80"/>
              <w:left w:type="dxa" w:w="100"/>
              <w:bottom w:type="dxa" w:w="80"/>
              <w:right w:type="dxa" w:w="100"/>
            </w:tcMar>
            <w:vAlign w:val="center"/>
          </w:tcPr>
          <w:p>
            <w:r>
              <w:rPr>
                <w:b w:val="false"/>
                <w:bCs w:val="false"/>
                <w:color w:val="1A1A1A"/>
                <w:sz w:val="19"/>
                <w:szCs w:val="19"/>
              </w:rPr>
              <w:t xml:space="preserve">Both states are selectable on every optional/required field; both are visibly flagged (not hidden) for the clinician.</w:t>
            </w:r>
          </w:p>
        </w:tc>
      </w:tr>
      <w:tr>
        <w:tc>
          <w:tcPr>
            <w:tcW w:type="dxa" w:w="700"/>
            <w:tcMar>
              <w:top w:type="dxa" w:w="80"/>
              <w:left w:type="dxa" w:w="100"/>
              <w:bottom w:type="dxa" w:w="80"/>
              <w:right w:type="dxa" w:w="100"/>
            </w:tcMar>
            <w:vAlign w:val="center"/>
          </w:tcPr>
          <w:p>
            <w:r>
              <w:rPr>
                <w:b w:val="false"/>
                <w:bCs w:val="false"/>
                <w:color w:val="1A1A1A"/>
                <w:sz w:val="19"/>
                <w:szCs w:val="19"/>
              </w:rPr>
              <w:t xml:space="preserve">A5</w:t>
            </w:r>
          </w:p>
        </w:tc>
        <w:tc>
          <w:tcPr>
            <w:tcW w:type="dxa" w:w="3800"/>
            <w:tcMar>
              <w:top w:type="dxa" w:w="80"/>
              <w:left w:type="dxa" w:w="100"/>
              <w:bottom w:type="dxa" w:w="80"/>
              <w:right w:type="dxa" w:w="100"/>
            </w:tcMar>
            <w:vAlign w:val="center"/>
          </w:tcPr>
          <w:p>
            <w:r>
              <w:rPr>
                <w:b w:val="false"/>
                <w:bCs w:val="false"/>
                <w:color w:val="1A1A1A"/>
                <w:sz w:val="19"/>
                <w:szCs w:val="19"/>
              </w:rPr>
              <w:t xml:space="preserve">As an AYUSH patient, I complete a self-reported Dashavidha/Agni/Ahara-Vihara questionnaire.</w:t>
            </w:r>
          </w:p>
        </w:tc>
        <w:tc>
          <w:tcPr>
            <w:tcW w:type="dxa" w:w="4500"/>
            <w:tcMar>
              <w:top w:type="dxa" w:w="80"/>
              <w:left w:type="dxa" w:w="100"/>
              <w:bottom w:type="dxa" w:w="80"/>
              <w:right w:type="dxa" w:w="100"/>
            </w:tcMar>
            <w:vAlign w:val="center"/>
          </w:tcPr>
          <w:p>
            <w:r>
              <w:rPr>
                <w:b w:val="false"/>
                <w:bCs w:val="false"/>
                <w:color w:val="1A1A1A"/>
                <w:sz w:val="19"/>
                <w:szCs w:val="19"/>
              </w:rPr>
              <w:t xml:space="preserve">Only the self-reportable parameters listed in the Knowledge Base are asked; every output is labelled 'patient-reported / provisional — for clinician review'.</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A6</w:t>
            </w:r>
          </w:p>
        </w:tc>
        <w:tc>
          <w:tcPr>
            <w:tcW w:type="dxa" w:w="3800"/>
            <w:shd w:fill="F5F8F8" w:val="clear"/>
            <w:tcMar>
              <w:top w:type="dxa" w:w="80"/>
              <w:left w:type="dxa" w:w="100"/>
              <w:bottom w:type="dxa" w:w="80"/>
              <w:right w:type="dxa" w:w="100"/>
            </w:tcMar>
            <w:vAlign w:val="center"/>
          </w:tcPr>
          <w:p>
            <w:r>
              <w:rPr>
                <w:b w:val="false"/>
                <w:bCs w:val="false"/>
                <w:color w:val="1A1A1A"/>
                <w:sz w:val="19"/>
                <w:szCs w:val="19"/>
              </w:rPr>
              <w:t xml:space="preserve">As a patient in distress, an emergency symptom pattern triggers an immediate alert.</w:t>
            </w:r>
          </w:p>
        </w:tc>
        <w:tc>
          <w:tcPr>
            <w:tcW w:type="dxa" w:w="4500"/>
            <w:shd w:fill="F5F8F8" w:val="clear"/>
            <w:tcMar>
              <w:top w:type="dxa" w:w="80"/>
              <w:left w:type="dxa" w:w="100"/>
              <w:bottom w:type="dxa" w:w="80"/>
              <w:right w:type="dxa" w:w="100"/>
            </w:tcMar>
            <w:vAlign w:val="center"/>
          </w:tcPr>
          <w:p>
            <w:r>
              <w:rPr>
                <w:b w:val="false"/>
                <w:bCs w:val="false"/>
                <w:color w:val="1A1A1A"/>
                <w:sz w:val="19"/>
                <w:szCs w:val="19"/>
              </w:rPr>
              <w:t xml:space="preserve">A matching deterministic red-flag rule raises a priority alert to the triage dashboard within the latency budget (Section 6); the patient sees a plain-language instruction to proceed to the emergency desk.</w:t>
            </w:r>
          </w:p>
        </w:tc>
      </w:tr>
      <w:tr>
        <w:tc>
          <w:tcPr>
            <w:tcW w:type="dxa" w:w="700"/>
            <w:tcMar>
              <w:top w:type="dxa" w:w="80"/>
              <w:left w:type="dxa" w:w="100"/>
              <w:bottom w:type="dxa" w:w="80"/>
              <w:right w:type="dxa" w:w="100"/>
            </w:tcMar>
            <w:vAlign w:val="center"/>
          </w:tcPr>
          <w:p>
            <w:r>
              <w:rPr>
                <w:b w:val="false"/>
                <w:bCs w:val="false"/>
                <w:color w:val="1A1A1A"/>
                <w:sz w:val="19"/>
                <w:szCs w:val="19"/>
              </w:rPr>
              <w:t xml:space="preserve">A7</w:t>
            </w:r>
          </w:p>
        </w:tc>
        <w:tc>
          <w:tcPr>
            <w:tcW w:type="dxa" w:w="3800"/>
            <w:tcMar>
              <w:top w:type="dxa" w:w="80"/>
              <w:left w:type="dxa" w:w="100"/>
              <w:bottom w:type="dxa" w:w="80"/>
              <w:right w:type="dxa" w:w="100"/>
            </w:tcMar>
            <w:vAlign w:val="center"/>
          </w:tcPr>
          <w:p>
            <w:r>
              <w:rPr>
                <w:b w:val="false"/>
                <w:bCs w:val="false"/>
                <w:color w:val="1A1A1A"/>
                <w:sz w:val="19"/>
                <w:szCs w:val="19"/>
              </w:rPr>
              <w:t xml:space="preserve">As a patient, I can correct an earlier answer before the interview ends.</w:t>
            </w:r>
          </w:p>
        </w:tc>
        <w:tc>
          <w:tcPr>
            <w:tcW w:type="dxa" w:w="4500"/>
            <w:tcMar>
              <w:top w:type="dxa" w:w="80"/>
              <w:left w:type="dxa" w:w="100"/>
              <w:bottom w:type="dxa" w:w="80"/>
              <w:right w:type="dxa" w:w="100"/>
            </w:tcMar>
            <w:vAlign w:val="center"/>
          </w:tcPr>
          <w:p>
            <w:r>
              <w:rPr>
                <w:b w:val="false"/>
                <w:bCs w:val="false"/>
                <w:color w:val="1A1A1A"/>
                <w:sz w:val="19"/>
                <w:szCs w:val="19"/>
              </w:rPr>
              <w:t xml:space="preserve">A visible 'go back' control lets the patient revise a prior field; the correction is written as a new raw_answers row referencing the original, not an overwrite, preserving history.</w:t>
            </w:r>
          </w:p>
        </w:tc>
      </w:tr>
    </w:tbl>
    <w:p>
      <w:pPr>
        <w:pStyle w:val="Heading1"/>
        <w:spacing w:after="200" w:before="400"/>
      </w:pPr>
      <w:r>
        <w:rPr>
          <w:b/>
          <w:bCs/>
          <w:color w:val="2F5D62"/>
          <w:sz w:val="32"/>
          <w:szCs w:val="32"/>
        </w:rPr>
        <w:t xml:space="preserve">4. Dialogue &amp; Red-Flag Specification</w:t>
      </w:r>
    </w:p>
    <w:p>
      <w:pPr>
        <w:pStyle w:val="Heading3"/>
        <w:spacing w:after="120" w:before="220"/>
      </w:pPr>
      <w:r>
        <w:rPr>
          <w:b/>
          <w:bCs/>
          <w:color w:val="C15B3A"/>
          <w:sz w:val="22"/>
          <w:szCs w:val="22"/>
        </w:rPr>
        <w:t xml:space="preserve">4.1 Dialogue logic</w:t>
      </w:r>
    </w:p>
    <w:p>
      <w:pPr>
        <w:pStyle w:val="ListParagraph"/>
        <w:numPr>
          <w:ilvl w:val="0"/>
          <w:numId w:val="1"/>
        </w:numPr>
        <w:spacing w:after="90"/>
      </w:pPr>
      <w:r>
        <w:rPr>
          <w:sz w:val="21"/>
          <w:szCs w:val="21"/>
        </w:rPr>
        <w:t xml:space="preserve">Question banks are organised per chief-complaint category, each mapped to the SOCRATES sub-fields and the relevant Review-of-Systems branch.</w:t>
      </w:r>
    </w:p>
    <w:p>
      <w:pPr>
        <w:pStyle w:val="ListParagraph"/>
        <w:numPr>
          <w:ilvl w:val="0"/>
          <w:numId w:val="1"/>
        </w:numPr>
        <w:spacing w:after="90"/>
      </w:pPr>
      <w:r>
        <w:rPr>
          <w:sz w:val="21"/>
          <w:szCs w:val="21"/>
        </w:rPr>
        <w:t xml:space="preserve">Branch conditions define which answer triggers which follow-up (e.g., 'chest pain' + 'radiates to left arm' + 'breathlessness' → red-flag branch).</w:t>
      </w:r>
    </w:p>
    <w:p>
      <w:pPr>
        <w:pStyle w:val="ListParagraph"/>
        <w:numPr>
          <w:ilvl w:val="0"/>
          <w:numId w:val="1"/>
        </w:numPr>
        <w:spacing w:after="90"/>
      </w:pPr>
      <w:r>
        <w:rPr>
          <w:sz w:val="21"/>
          <w:szCs w:val="21"/>
        </w:rPr>
        <w:t xml:space="preserve">Mandatory-field and skip logic define which fields cannot be skipped and which are conditionally hidden based on age, sex, or chief complaint.</w:t>
      </w:r>
    </w:p>
    <w:p>
      <w:pPr>
        <w:pStyle w:val="ListParagraph"/>
        <w:numPr>
          <w:ilvl w:val="0"/>
          <w:numId w:val="1"/>
        </w:numPr>
        <w:spacing w:after="90"/>
      </w:pPr>
      <w:r>
        <w:rPr>
          <w:sz w:val="21"/>
          <w:szCs w:val="21"/>
        </w:rPr>
        <w:t xml:space="preserve">Low-confidence answers trigger a short, non-repetitive re-ask rather than a silent guess or an infinite loop.</w:t>
      </w:r>
    </w:p>
    <w:p>
      <w:pPr>
        <w:pStyle w:val="Heading3"/>
        <w:spacing w:after="120" w:before="220"/>
      </w:pPr>
      <w:r>
        <w:rPr>
          <w:b/>
          <w:bCs/>
          <w:color w:val="C15B3A"/>
          <w:sz w:val="22"/>
          <w:szCs w:val="22"/>
        </w:rPr>
        <w:t xml:space="preserve">4.2 Red-flag rule engine</w:t>
      </w:r>
    </w:p>
    <w:p>
      <w:pPr>
        <w:pStyle w:val="ListParagraph"/>
        <w:numPr>
          <w:ilvl w:val="0"/>
          <w:numId w:val="1"/>
        </w:numPr>
        <w:spacing w:after="90"/>
      </w:pPr>
      <w:r>
        <w:rPr>
          <w:sz w:val="21"/>
          <w:szCs w:val="21"/>
        </w:rPr>
        <w:t xml:space="preserve">Trigger set: a small, clinically approved, deterministic list (e.g., acute crushing chest pain + dyspnoea; sudden-onset facial droop/slurred speech; severe dyspnoea at rest; signs of anaphylaxis) — never an open-ended LLM judgement call.</w:t>
      </w:r>
    </w:p>
    <w:p>
      <w:pPr>
        <w:pStyle w:val="ListParagraph"/>
        <w:numPr>
          <w:ilvl w:val="0"/>
          <w:numId w:val="1"/>
        </w:numPr>
        <w:spacing w:after="90"/>
      </w:pPr>
      <w:r>
        <w:rPr>
          <w:sz w:val="21"/>
          <w:szCs w:val="21"/>
        </w:rPr>
        <w:t xml:space="preserve">On trigger: simultaneous visible + audible alert to the triage station, with a 2-minute (draft target) acknowledgement window before automatic escalation to a secondary recipient.</w:t>
      </w:r>
    </w:p>
    <w:p>
      <w:pPr>
        <w:pStyle w:val="ListParagraph"/>
        <w:numPr>
          <w:ilvl w:val="0"/>
          <w:numId w:val="1"/>
        </w:numPr>
        <w:spacing w:after="90"/>
      </w:pPr>
      <w:r>
        <w:rPr>
          <w:sz w:val="21"/>
          <w:szCs w:val="21"/>
        </w:rPr>
        <w:t xml:space="preserve">Duplicate triggers from the same session are coalesced into one active alert; session abandonment before staff response is logged and surfaced, never silently dropped.</w:t>
      </w:r>
    </w:p>
    <w:p>
      <w:pPr>
        <w:pStyle w:val="Heading1"/>
        <w:spacing w:after="200" w:before="400"/>
      </w:pPr>
      <w:r>
        <w:rPr>
          <w:b/>
          <w:bCs/>
          <w:color w:val="2F5D62"/>
          <w:sz w:val="32"/>
          <w:szCs w:val="32"/>
        </w:rPr>
        <w:t xml:space="preserve">5. Data Owned by This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00"/>
      </w:tblGrid>
      <w:tr>
        <w:trPr>
          <w:tblHeader/>
        </w:trPr>
        <w:tc>
          <w:tcPr>
            <w:tcW w:type="dxa" w:w="1800"/>
            <w:shd w:fill="2F5D62" w:val="clear"/>
            <w:tcMar>
              <w:top w:type="dxa" w:w="80"/>
              <w:left w:type="dxa" w:w="100"/>
              <w:bottom w:type="dxa" w:w="80"/>
              <w:right w:type="dxa" w:w="100"/>
            </w:tcMar>
            <w:vAlign w:val="center"/>
          </w:tcPr>
          <w:p>
            <w:r>
              <w:rPr>
                <w:b/>
                <w:bCs/>
                <w:color w:val="FFFFFF"/>
                <w:sz w:val="19"/>
                <w:szCs w:val="19"/>
              </w:rPr>
              <w:t xml:space="preserve">Table</w:t>
            </w:r>
          </w:p>
        </w:tc>
        <w:tc>
          <w:tcPr>
            <w:tcW w:type="dxa" w:w="4600"/>
            <w:shd w:fill="2F5D62" w:val="clear"/>
            <w:tcMar>
              <w:top w:type="dxa" w:w="80"/>
              <w:left w:type="dxa" w:w="100"/>
              <w:bottom w:type="dxa" w:w="80"/>
              <w:right w:type="dxa" w:w="100"/>
            </w:tcMar>
            <w:vAlign w:val="center"/>
          </w:tcPr>
          <w:p>
            <w:r>
              <w:rPr>
                <w:b/>
                <w:bCs/>
                <w:color w:val="FFFFFF"/>
                <w:sz w:val="19"/>
                <w:szCs w:val="19"/>
              </w:rPr>
              <w:t xml:space="preserve">Key columns</w:t>
            </w:r>
          </w:p>
        </w:tc>
        <w:tc>
          <w:tcPr>
            <w:tcW w:type="dxa" w:w="2600"/>
            <w:shd w:fill="2F5D62" w:val="clear"/>
            <w:tcMar>
              <w:top w:type="dxa" w:w="80"/>
              <w:left w:type="dxa" w:w="100"/>
              <w:bottom w:type="dxa" w:w="80"/>
              <w:right w:type="dxa" w:w="100"/>
            </w:tcMar>
            <w:vAlign w:val="center"/>
          </w:tcPr>
          <w:p>
            <w:r>
              <w:rPr>
                <w:b/>
                <w:bCs/>
                <w:color w:val="FFFFFF"/>
                <w:sz w:val="19"/>
                <w:szCs w:val="19"/>
              </w:rPr>
              <w:t xml:space="preserve">Notes</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raw_answers</w:t>
            </w:r>
          </w:p>
        </w:tc>
        <w:tc>
          <w:tcPr>
            <w:tcW w:type="dxa" w:w="4600"/>
            <w:tcMar>
              <w:top w:type="dxa" w:w="80"/>
              <w:left w:type="dxa" w:w="100"/>
              <w:bottom w:type="dxa" w:w="80"/>
              <w:right w:type="dxa" w:w="100"/>
            </w:tcMar>
            <w:vAlign w:val="center"/>
          </w:tcPr>
          <w:p>
            <w:r>
              <w:rPr>
                <w:b w:val="false"/>
                <w:bCs w:val="false"/>
                <w:color w:val="1A1A1A"/>
                <w:sz w:val="19"/>
                <w:szCs w:val="19"/>
              </w:rPr>
              <w:t xml:space="preserve">id, session_id (fk → Module D), question_id, source_mode (voice/touch), transcript_text, audio_ref, confidence, created_at</w:t>
            </w:r>
          </w:p>
        </w:tc>
        <w:tc>
          <w:tcPr>
            <w:tcW w:type="dxa" w:w="2600"/>
            <w:tcMar>
              <w:top w:type="dxa" w:w="80"/>
              <w:left w:type="dxa" w:w="100"/>
              <w:bottom w:type="dxa" w:w="80"/>
              <w:right w:type="dxa" w:w="100"/>
            </w:tcMar>
            <w:vAlign w:val="center"/>
          </w:tcPr>
          <w:p>
            <w:r>
              <w:rPr>
                <w:b w:val="false"/>
                <w:bCs w:val="false"/>
                <w:color w:val="1A1A1A"/>
                <w:sz w:val="19"/>
                <w:szCs w:val="19"/>
              </w:rPr>
              <w:t xml:space="preserve">Immutable log of exactly what the patient said or tapped; corrections are new rows, not overwrites</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structured_history</w:t>
            </w:r>
          </w:p>
        </w:tc>
        <w:tc>
          <w:tcPr>
            <w:tcW w:type="dxa" w:w="4600"/>
            <w:shd w:fill="F5F8F8" w:val="clear"/>
            <w:tcMar>
              <w:top w:type="dxa" w:w="80"/>
              <w:left w:type="dxa" w:w="100"/>
              <w:bottom w:type="dxa" w:w="80"/>
              <w:right w:type="dxa" w:w="100"/>
            </w:tcMar>
            <w:vAlign w:val="center"/>
          </w:tcPr>
          <w:p>
            <w:r>
              <w:rPr>
                <w:b w:val="false"/>
                <w:bCs w:val="false"/>
                <w:color w:val="1A1A1A"/>
                <w:sz w:val="19"/>
                <w:szCs w:val="19"/>
              </w:rPr>
              <w:t xml:space="preserve">id, session_id, section, field_name, value, source_raw_answer_id, confidence, flag (unknown/prefer_not_to_say/null)</w:t>
            </w:r>
          </w:p>
        </w:tc>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One row per structured clinical field — this is the primary output Module C and Module E consume</w:t>
            </w:r>
          </w:p>
        </w:tc>
      </w:tr>
      <w:tr>
        <w:tc>
          <w:tcPr>
            <w:tcW w:type="dxa" w:w="1800"/>
            <w:tcMar>
              <w:top w:type="dxa" w:w="80"/>
              <w:left w:type="dxa" w:w="100"/>
              <w:bottom w:type="dxa" w:w="80"/>
              <w:right w:type="dxa" w:w="100"/>
            </w:tcMar>
            <w:vAlign w:val="center"/>
          </w:tcPr>
          <w:p>
            <w:r>
              <w:rPr>
                <w:b w:val="false"/>
                <w:bCs w:val="false"/>
                <w:color w:val="1A1A1A"/>
                <w:sz w:val="19"/>
                <w:szCs w:val="19"/>
              </w:rPr>
              <w:t xml:space="preserve">red_flag_events</w:t>
            </w:r>
          </w:p>
        </w:tc>
        <w:tc>
          <w:tcPr>
            <w:tcW w:type="dxa" w:w="4600"/>
            <w:tcMar>
              <w:top w:type="dxa" w:w="80"/>
              <w:left w:type="dxa" w:w="100"/>
              <w:bottom w:type="dxa" w:w="80"/>
              <w:right w:type="dxa" w:w="100"/>
            </w:tcMar>
            <w:vAlign w:val="center"/>
          </w:tcPr>
          <w:p>
            <w:r>
              <w:rPr>
                <w:b w:val="false"/>
                <w:bCs w:val="false"/>
                <w:color w:val="1A1A1A"/>
                <w:sz w:val="19"/>
                <w:szCs w:val="19"/>
              </w:rPr>
              <w:t xml:space="preserve">id, session_id, rule_id, triggered_at, acknowledged_by, acknowledged_at, escalated_at, session_state_at_trigger</w:t>
            </w:r>
          </w:p>
        </w:tc>
        <w:tc>
          <w:tcPr>
            <w:tcW w:type="dxa" w:w="2600"/>
            <w:tcMar>
              <w:top w:type="dxa" w:w="80"/>
              <w:left w:type="dxa" w:w="100"/>
              <w:bottom w:type="dxa" w:w="80"/>
              <w:right w:type="dxa" w:w="100"/>
            </w:tcMar>
            <w:vAlign w:val="center"/>
          </w:tcPr>
          <w:p>
            <w:r>
              <w:rPr>
                <w:b w:val="false"/>
                <w:bCs w:val="false"/>
                <w:color w:val="1A1A1A"/>
                <w:sz w:val="19"/>
                <w:szCs w:val="19"/>
              </w:rPr>
              <w:t xml:space="preserve">Deterministic rule engine output only — never LLM-generated</w:t>
            </w:r>
          </w:p>
        </w:tc>
      </w:tr>
      <w:tr>
        <w:tc>
          <w:tcPr>
            <w:tcW w:type="dxa" w:w="1800"/>
            <w:shd w:fill="F5F8F8" w:val="clear"/>
            <w:tcMar>
              <w:top w:type="dxa" w:w="80"/>
              <w:left w:type="dxa" w:w="100"/>
              <w:bottom w:type="dxa" w:w="80"/>
              <w:right w:type="dxa" w:w="100"/>
            </w:tcMar>
            <w:vAlign w:val="center"/>
          </w:tcPr>
          <w:p>
            <w:r>
              <w:rPr>
                <w:b w:val="false"/>
                <w:bCs w:val="false"/>
                <w:color w:val="1A1A1A"/>
                <w:sz w:val="19"/>
                <w:szCs w:val="19"/>
              </w:rPr>
              <w:t xml:space="preserve">audio_segments</w:t>
            </w:r>
          </w:p>
        </w:tc>
        <w:tc>
          <w:tcPr>
            <w:tcW w:type="dxa" w:w="4600"/>
            <w:shd w:fill="F5F8F8" w:val="clear"/>
            <w:tcMar>
              <w:top w:type="dxa" w:w="80"/>
              <w:left w:type="dxa" w:w="100"/>
              <w:bottom w:type="dxa" w:w="80"/>
              <w:right w:type="dxa" w:w="100"/>
            </w:tcMar>
            <w:vAlign w:val="center"/>
          </w:tcPr>
          <w:p>
            <w:r>
              <w:rPr>
                <w:b w:val="false"/>
                <w:bCs w:val="false"/>
                <w:color w:val="1A1A1A"/>
                <w:sz w:val="19"/>
                <w:szCs w:val="19"/>
              </w:rPr>
              <w:t xml:space="preserve">id, session_id, raw_answer_id, audio_ref, duration_ms, created_at</w:t>
            </w:r>
          </w:p>
        </w:tc>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Raw audio references for playback/audit where retention policy permits</w:t>
            </w:r>
          </w:p>
        </w:tc>
      </w:tr>
    </w:tbl>
    <w:p>
      <w:pPr>
        <w:pStyle w:val="Heading1"/>
        <w:spacing w:after="200" w:before="400"/>
      </w:pPr>
      <w:r>
        <w:rPr>
          <w:b/>
          <w:bCs/>
          <w:color w:val="2F5D62"/>
          <w:sz w:val="32"/>
          <w:szCs w:val="32"/>
        </w:rPr>
        <w:t xml:space="preserve">5. API Contract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00"/>
      </w:tblGrid>
      <w:tr>
        <w:trPr>
          <w:tblHeader/>
        </w:trPr>
        <w:tc>
          <w:tcPr>
            <w:tcW w:type="dxa" w:w="3400"/>
            <w:shd w:fill="2F5D62" w:val="clear"/>
            <w:tcMar>
              <w:top w:type="dxa" w:w="80"/>
              <w:left w:type="dxa" w:w="100"/>
              <w:bottom w:type="dxa" w:w="80"/>
              <w:right w:type="dxa" w:w="100"/>
            </w:tcMar>
            <w:vAlign w:val="center"/>
          </w:tcPr>
          <w:p>
            <w:r>
              <w:rPr>
                <w:b/>
                <w:bCs/>
                <w:color w:val="FFFFFF"/>
                <w:sz w:val="19"/>
                <w:szCs w:val="19"/>
              </w:rPr>
              <w:t xml:space="preserve">Route</w:t>
            </w:r>
          </w:p>
        </w:tc>
        <w:tc>
          <w:tcPr>
            <w:tcW w:type="dxa" w:w="1400"/>
            <w:shd w:fill="2F5D62" w:val="clear"/>
            <w:tcMar>
              <w:top w:type="dxa" w:w="80"/>
              <w:left w:type="dxa" w:w="100"/>
              <w:bottom w:type="dxa" w:w="80"/>
              <w:right w:type="dxa" w:w="100"/>
            </w:tcMar>
            <w:vAlign w:val="center"/>
          </w:tcPr>
          <w:p>
            <w:r>
              <w:rPr>
                <w:b/>
                <w:bCs/>
                <w:color w:val="FFFFFF"/>
                <w:sz w:val="19"/>
                <w:szCs w:val="19"/>
              </w:rPr>
              <w:t xml:space="preserve">Method</w:t>
            </w:r>
          </w:p>
        </w:tc>
        <w:tc>
          <w:tcPr>
            <w:tcW w:type="dxa" w:w="4200"/>
            <w:shd w:fill="2F5D62" w:val="clear"/>
            <w:tcMar>
              <w:top w:type="dxa" w:w="80"/>
              <w:left w:type="dxa" w:w="100"/>
              <w:bottom w:type="dxa" w:w="80"/>
              <w:right w:type="dxa" w:w="100"/>
            </w:tcMar>
            <w:vAlign w:val="center"/>
          </w:tcPr>
          <w:p>
            <w:r>
              <w:rPr>
                <w:b/>
                <w:bCs/>
                <w:color w:val="FFFFFF"/>
                <w:sz w:val="19"/>
                <w:szCs w:val="19"/>
              </w:rPr>
              <w:t xml:space="preserve">Purpose</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/api/session/:id/converse</w:t>
            </w:r>
          </w:p>
        </w:tc>
        <w:tc>
          <w:tcPr>
            <w:tcW w:type="dxa" w:w="1400"/>
            <w:tcMar>
              <w:top w:type="dxa" w:w="80"/>
              <w:left w:type="dxa" w:w="100"/>
              <w:bottom w:type="dxa" w:w="80"/>
              <w:right w:type="dxa" w:w="100"/>
            </w:tcMar>
            <w:vAlign w:val="center"/>
          </w:tcPr>
          <w:p>
            <w:r>
              <w:rPr>
                <w:b w:val="false"/>
                <w:bCs w:val="false"/>
                <w:color w:val="1A1A1A"/>
                <w:sz w:val="19"/>
                <w:szCs w:val="19"/>
              </w:rPr>
              <w:t xml:space="preserve">POST</w:t>
            </w:r>
          </w:p>
        </w:tc>
        <w:tc>
          <w:tcPr>
            <w:tcW w:type="dxa" w:w="4200"/>
            <w:tcMar>
              <w:top w:type="dxa" w:w="80"/>
              <w:left w:type="dxa" w:w="100"/>
              <w:bottom w:type="dxa" w:w="80"/>
              <w:right w:type="dxa" w:w="100"/>
            </w:tcMar>
            <w:vAlign w:val="center"/>
          </w:tcPr>
          <w:p>
            <w:r>
              <w:rPr>
                <w:b w:val="false"/>
                <w:bCs w:val="false"/>
                <w:color w:val="1A1A1A"/>
                <w:sz w:val="19"/>
                <w:szCs w:val="19"/>
              </w:rPr>
              <w:t xml:space="preserve">Send one patient turn (audio or touch payload) to the Voice AI Agent; returns the next prompt or a red-flag signal</w:t>
            </w:r>
          </w:p>
        </w:tc>
      </w:tr>
      <w:tr>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/api/session/:id/converse/correct</w:t>
            </w:r>
          </w:p>
        </w:tc>
        <w:tc>
          <w:tcPr>
            <w:tcW w:type="dxa" w:w="1400"/>
            <w:shd w:fill="F5F8F8" w:val="clear"/>
            <w:tcMar>
              <w:top w:type="dxa" w:w="80"/>
              <w:left w:type="dxa" w:w="100"/>
              <w:bottom w:type="dxa" w:w="80"/>
              <w:right w:type="dxa" w:w="100"/>
            </w:tcMar>
            <w:vAlign w:val="center"/>
          </w:tcPr>
          <w:p>
            <w:r>
              <w:rPr>
                <w:b w:val="false"/>
                <w:bCs w:val="false"/>
                <w:color w:val="1A1A1A"/>
                <w:sz w:val="19"/>
                <w:szCs w:val="19"/>
              </w:rPr>
              <w:t xml:space="preserve">PATCH</w:t>
            </w:r>
          </w:p>
        </w:tc>
        <w:tc>
          <w:tcPr>
            <w:tcW w:type="dxa" w:w="4200"/>
            <w:shd w:fill="F5F8F8" w:val="clear"/>
            <w:tcMar>
              <w:top w:type="dxa" w:w="80"/>
              <w:left w:type="dxa" w:w="100"/>
              <w:bottom w:type="dxa" w:w="80"/>
              <w:right w:type="dxa" w:w="100"/>
            </w:tcMar>
            <w:vAlign w:val="center"/>
          </w:tcPr>
          <w:p>
            <w:r>
              <w:rPr>
                <w:b w:val="false"/>
                <w:bCs w:val="false"/>
                <w:color w:val="1A1A1A"/>
                <w:sz w:val="19"/>
                <w:szCs w:val="19"/>
              </w:rPr>
              <w:t xml:space="preserve">Record a patient correction to a previously answered field</w:t>
            </w:r>
          </w:p>
        </w:tc>
      </w:tr>
      <w:tr>
        <w:tc>
          <w:tcPr>
            <w:tcW w:type="dxa" w:w="3400"/>
            <w:tcMar>
              <w:top w:type="dxa" w:w="80"/>
              <w:left w:type="dxa" w:w="100"/>
              <w:bottom w:type="dxa" w:w="80"/>
              <w:right w:type="dxa" w:w="100"/>
            </w:tcMar>
            <w:vAlign w:val="center"/>
          </w:tcPr>
          <w:p>
            <w:r>
              <w:rPr>
                <w:b w:val="false"/>
                <w:bCs w:val="false"/>
                <w:color w:val="1A1A1A"/>
                <w:sz w:val="19"/>
                <w:szCs w:val="19"/>
              </w:rPr>
              <w:t xml:space="preserve">/api/session/:id/red-flag</w:t>
            </w:r>
          </w:p>
        </w:tc>
        <w:tc>
          <w:tcPr>
            <w:tcW w:type="dxa" w:w="1400"/>
            <w:tcMar>
              <w:top w:type="dxa" w:w="80"/>
              <w:left w:type="dxa" w:w="100"/>
              <w:bottom w:type="dxa" w:w="80"/>
              <w:right w:type="dxa" w:w="100"/>
            </w:tcMar>
            <w:vAlign w:val="center"/>
          </w:tcPr>
          <w:p>
            <w:r>
              <w:rPr>
                <w:b w:val="false"/>
                <w:bCs w:val="false"/>
                <w:color w:val="1A1A1A"/>
                <w:sz w:val="19"/>
                <w:szCs w:val="19"/>
              </w:rPr>
              <w:t xml:space="preserve">GET / WS</w:t>
            </w:r>
          </w:p>
        </w:tc>
        <w:tc>
          <w:tcPr>
            <w:tcW w:type="dxa" w:w="4200"/>
            <w:tcMar>
              <w:top w:type="dxa" w:w="80"/>
              <w:left w:type="dxa" w:w="100"/>
              <w:bottom w:type="dxa" w:w="80"/>
              <w:right w:type="dxa" w:w="100"/>
            </w:tcMar>
            <w:vAlign w:val="center"/>
          </w:tcPr>
          <w:p>
            <w:r>
              <w:rPr>
                <w:b w:val="false"/>
                <w:bCs w:val="false"/>
                <w:color w:val="1A1A1A"/>
                <w:sz w:val="19"/>
                <w:szCs w:val="19"/>
              </w:rPr>
              <w:t xml:space="preserve">Real-time feed for the triage dashboard to receive and acknowledge alerts</w:t>
            </w:r>
          </w:p>
        </w:tc>
      </w:tr>
    </w:tbl>
    <w:p>
      <w:pPr>
        <w:pStyle w:val="Heading1"/>
        <w:spacing w:after="200" w:before="400"/>
      </w:pPr>
      <w:r>
        <w:rPr>
          <w:b/>
          <w:bCs/>
          <w:color w:val="2F5D62"/>
          <w:sz w:val="32"/>
          <w:szCs w:val="32"/>
        </w:rPr>
        <w:t xml:space="preserve">6. Non-Functional Requirements Specific to This Module</w:t>
      </w:r>
    </w:p>
    <w:p>
      <w:pPr>
        <w:pStyle w:val="ListParagraph"/>
        <w:numPr>
          <w:ilvl w:val="0"/>
          <w:numId w:val="1"/>
        </w:numPr>
        <w:spacing w:after="90"/>
      </w:pPr>
      <w:r>
        <w:rPr>
          <w:sz w:val="21"/>
          <w:szCs w:val="21"/>
        </w:rPr>
        <w:t xml:space="preserve">Interview question round-trip (patient speaks → agent responds) target under 3 seconds.</w:t>
      </w:r>
    </w:p>
    <w:p>
      <w:pPr>
        <w:pStyle w:val="ListParagraph"/>
        <w:numPr>
          <w:ilvl w:val="0"/>
          <w:numId w:val="1"/>
        </w:numPr>
        <w:spacing w:after="90"/>
      </w:pPr>
      <w:r>
        <w:rPr>
          <w:sz w:val="21"/>
          <w:szCs w:val="21"/>
        </w:rPr>
        <w:t xml:space="preserve">Confidence calibration for the ASR/dialogue output must be validated against actual transcription error rates before any abstention threshold is fixed.</w:t>
      </w:r>
    </w:p>
    <w:p>
      <w:pPr>
        <w:pStyle w:val="ListParagraph"/>
        <w:numPr>
          <w:ilvl w:val="0"/>
          <w:numId w:val="1"/>
        </w:numPr>
        <w:spacing w:after="90"/>
      </w:pPr>
      <w:r>
        <w:rPr>
          <w:sz w:val="21"/>
          <w:szCs w:val="21"/>
        </w:rPr>
        <w:t xml:space="preserve">Red-flag sensitivity target: 100% on the defined deterministic test-case set — this metric is measured independently of general conversational accuracy.</w:t>
      </w:r>
    </w:p>
    <w:p>
      <w:pPr>
        <w:pStyle w:val="ListParagraph"/>
        <w:numPr>
          <w:ilvl w:val="0"/>
          <w:numId w:val="1"/>
        </w:numPr>
        <w:spacing w:after="90"/>
      </w:pPr>
      <w:r>
        <w:rPr>
          <w:sz w:val="21"/>
          <w:szCs w:val="21"/>
        </w:rPr>
        <w:t xml:space="preserve">Barge-in (patient can start speaking before the prompt finishes) must be supported; speed/volume controls must always be reachable mid-question.</w:t>
      </w:r>
    </w:p>
    <w:p>
      <w:pPr>
        <w:pStyle w:val="Heading1"/>
        <w:spacing w:after="200" w:before="400"/>
      </w:pPr>
      <w:r>
        <w:rPr>
          <w:b/>
          <w:bCs/>
          <w:color w:val="2F5D62"/>
          <w:sz w:val="32"/>
          <w:szCs w:val="32"/>
        </w:rPr>
        <w:t xml:space="preserve">7. Evaluation &amp; Safety Checks</w:t>
      </w:r>
    </w:p>
    <w:p>
      <w:pPr>
        <w:pStyle w:val="ListParagraph"/>
        <w:numPr>
          <w:ilvl w:val="0"/>
          <w:numId w:val="1"/>
        </w:numPr>
        <w:spacing w:after="90"/>
      </w:pPr>
      <w:r>
        <w:rPr>
          <w:sz w:val="21"/>
          <w:szCs w:val="21"/>
        </w:rPr>
        <w:t xml:space="preserve">Word-error rate and clinical-concept error rate measured per supported language against a held-out labelled speech test set.</w:t>
      </w:r>
    </w:p>
    <w:p>
      <w:pPr>
        <w:pStyle w:val="ListParagraph"/>
        <w:numPr>
          <w:ilvl w:val="0"/>
          <w:numId w:val="1"/>
        </w:numPr>
        <w:spacing w:after="90"/>
      </w:pPr>
      <w:r>
        <w:rPr>
          <w:sz w:val="21"/>
          <w:szCs w:val="21"/>
        </w:rPr>
        <w:t xml:space="preserve">Fairness/subgroup evaluation broken down by language, accent, gender, age, and code-switching condition, with a mitigation plan for materially unequal performance.</w:t>
      </w:r>
    </w:p>
    <w:p>
      <w:pPr>
        <w:pStyle w:val="ListParagraph"/>
        <w:numPr>
          <w:ilvl w:val="0"/>
          <w:numId w:val="1"/>
        </w:numPr>
        <w:spacing w:after="90"/>
      </w:pPr>
      <w:r>
        <w:rPr>
          <w:sz w:val="21"/>
          <w:szCs w:val="21"/>
        </w:rPr>
        <w:t xml:space="preserve">A documented adversarial test suite confirms the dialogue manager never emits a diagnosis, medication recommendation, or treatment advice under any prompt, including attempts to lead it there.</w:t>
      </w:r>
    </w:p>
    <w:p>
      <w:pPr>
        <w:pStyle w:val="ListParagraph"/>
        <w:numPr>
          <w:ilvl w:val="0"/>
          <w:numId w:val="1"/>
        </w:numPr>
        <w:spacing w:after="90"/>
      </w:pPr>
      <w:r>
        <w:rPr>
          <w:sz w:val="21"/>
          <w:szCs w:val="21"/>
        </w:rPr>
        <w:t xml:space="preserve">Red-flag rule set is version-controlled and independently clinician-reviewed before every change goes live.</w:t>
      </w:r>
    </w:p>
    <w:p>
      <w:pPr>
        <w:pStyle w:val="Heading1"/>
        <w:spacing w:after="200" w:before="400"/>
      </w:pPr>
      <w:r>
        <w:rPr>
          <w:b/>
          <w:bCs/>
          <w:color w:val="2F5D62"/>
          <w:sz w:val="32"/>
          <w:szCs w:val="32"/>
        </w:rPr>
        <w:t xml:space="preserve">8. Definition of Done</w:t>
      </w:r>
    </w:p>
    <w:p>
      <w:pPr>
        <w:pStyle w:val="ListParagraph"/>
        <w:numPr>
          <w:ilvl w:val="0"/>
          <w:numId w:val="1"/>
        </w:numPr>
        <w:spacing w:after="90"/>
      </w:pPr>
      <w:r>
        <w:rPr>
          <w:sz w:val="21"/>
          <w:szCs w:val="21"/>
        </w:rPr>
        <w:t xml:space="preserve">A full SOCRATES interview for at least one chief-complaint category runs correctly by voice and by touch and populates structured_history.</w:t>
      </w:r>
    </w:p>
    <w:p>
      <w:pPr>
        <w:pStyle w:val="ListParagraph"/>
        <w:numPr>
          <w:ilvl w:val="0"/>
          <w:numId w:val="1"/>
        </w:numPr>
        <w:spacing w:after="90"/>
      </w:pPr>
      <w:r>
        <w:rPr>
          <w:sz w:val="21"/>
          <w:szCs w:val="21"/>
        </w:rPr>
        <w:t xml:space="preserve">A seeded red-flag test case triggers a triage alert within the latency budget and demonstrates the acknowledgement/escalation timer.</w:t>
      </w:r>
    </w:p>
    <w:p>
      <w:pPr>
        <w:pStyle w:val="ListParagraph"/>
        <w:numPr>
          <w:ilvl w:val="0"/>
          <w:numId w:val="1"/>
        </w:numPr>
        <w:spacing w:after="90"/>
      </w:pPr>
      <w:r>
        <w:rPr>
          <w:sz w:val="21"/>
          <w:szCs w:val="21"/>
        </w:rPr>
        <w:t xml:space="preserve">The unknown / prefer-not-to-say path and the patient-correction path are both demonstrated without data loss.</w:t>
      </w:r>
    </w:p>
    <w:p>
      <w:pPr>
        <w:pStyle w:val="ListParagraph"/>
        <w:numPr>
          <w:ilvl w:val="0"/>
          <w:numId w:val="1"/>
        </w:numPr>
        <w:spacing w:after="90"/>
      </w:pPr>
      <w:r>
        <w:rPr>
          <w:sz w:val="21"/>
          <w:szCs w:val="21"/>
        </w:rPr>
        <w:t xml:space="preserve">The AYUSH self-report flow runs end to end with the correct 'patient-reported / provisional' labelling on every output.</w:t>
      </w:r>
    </w:p>
    <w:p>
      <w:pPr>
        <w:pStyle w:val="Heading1"/>
        <w:spacing w:after="200" w:before="400"/>
      </w:pPr>
      <w:r>
        <w:rPr>
          <w:b/>
          <w:bCs/>
          <w:color w:val="2F5D62"/>
          <w:sz w:val="32"/>
          <w:szCs w:val="32"/>
        </w:rPr>
        <w:t xml:space="preserve">9. Dependencies &amp; Handoff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000"/>
        <w:gridCol w:w="2100"/>
      </w:tblGrid>
      <w:tr>
        <w:trPr>
          <w:tblHeader/>
        </w:trPr>
        <w:tc>
          <w:tcPr>
            <w:tcW w:type="dxa" w:w="2000"/>
            <w:shd w:fill="2F5D62" w:val="clear"/>
            <w:tcMar>
              <w:top w:type="dxa" w:w="80"/>
              <w:left w:type="dxa" w:w="100"/>
              <w:bottom w:type="dxa" w:w="80"/>
              <w:right w:type="dxa" w:w="100"/>
            </w:tcMar>
            <w:vAlign w:val="center"/>
          </w:tcPr>
          <w:p>
            <w:r>
              <w:rPr>
                <w:b/>
                <w:bCs/>
                <w:color w:val="FFFFFF"/>
                <w:sz w:val="19"/>
                <w:szCs w:val="19"/>
              </w:rPr>
              <w:t xml:space="preserve">Depends on</w:t>
            </w:r>
          </w:p>
        </w:tc>
        <w:tc>
          <w:tcPr>
            <w:tcW w:type="dxa" w:w="2900"/>
            <w:shd w:fill="2F5D62" w:val="clear"/>
            <w:tcMar>
              <w:top w:type="dxa" w:w="80"/>
              <w:left w:type="dxa" w:w="100"/>
              <w:bottom w:type="dxa" w:w="80"/>
              <w:right w:type="dxa" w:w="100"/>
            </w:tcMar>
            <w:vAlign w:val="center"/>
          </w:tcPr>
          <w:p>
            <w:r>
              <w:rPr>
                <w:b/>
                <w:bCs/>
                <w:color w:val="FFFFFF"/>
                <w:sz w:val="19"/>
                <w:szCs w:val="19"/>
              </w:rPr>
              <w:t xml:space="preserve">What it needs</w:t>
            </w:r>
          </w:p>
        </w:tc>
        <w:tc>
          <w:tcPr>
            <w:tcW w:type="dxa" w:w="2000"/>
            <w:shd w:fill="2F5D62" w:val="clear"/>
            <w:tcMar>
              <w:top w:type="dxa" w:w="80"/>
              <w:left w:type="dxa" w:w="100"/>
              <w:bottom w:type="dxa" w:w="80"/>
              <w:right w:type="dxa" w:w="100"/>
            </w:tcMar>
            <w:vAlign w:val="center"/>
          </w:tcPr>
          <w:p>
            <w:r>
              <w:rPr>
                <w:b/>
                <w:bCs/>
                <w:color w:val="FFFFFF"/>
                <w:sz w:val="19"/>
                <w:szCs w:val="19"/>
              </w:rPr>
              <w:t xml:space="preserve">Hands off to</w:t>
            </w:r>
          </w:p>
        </w:tc>
        <w:tc>
          <w:tcPr>
            <w:tcW w:type="dxa" w:w="2100"/>
            <w:shd w:fill="2F5D62" w:val="clear"/>
            <w:tcMar>
              <w:top w:type="dxa" w:w="80"/>
              <w:left w:type="dxa" w:w="100"/>
              <w:bottom w:type="dxa" w:w="80"/>
              <w:right w:type="dxa" w:w="100"/>
            </w:tcMar>
            <w:vAlign w:val="center"/>
          </w:tcPr>
          <w:p>
            <w:r>
              <w:rPr>
                <w:b/>
                <w:bCs/>
                <w:color w:val="FFFFFF"/>
                <w:sz w:val="19"/>
                <w:szCs w:val="19"/>
              </w:rPr>
              <w:t xml:space="preserve">What it delivers</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Module D</w:t>
            </w:r>
          </w:p>
        </w:tc>
        <w:tc>
          <w:tcPr>
            <w:tcW w:type="dxa" w:w="2900"/>
            <w:tcMar>
              <w:top w:type="dxa" w:w="80"/>
              <w:left w:type="dxa" w:w="100"/>
              <w:bottom w:type="dxa" w:w="80"/>
              <w:right w:type="dxa" w:w="100"/>
            </w:tcMar>
            <w:vAlign w:val="center"/>
          </w:tcPr>
          <w:p>
            <w:r>
              <w:rPr>
                <w:b w:val="false"/>
                <w:bCs w:val="false"/>
                <w:color w:val="1A1A1A"/>
                <w:sz w:val="19"/>
                <w:szCs w:val="19"/>
              </w:rPr>
              <w:t xml:space="preserve">An active session with recorded, valid consent before any question is asked</w:t>
            </w:r>
          </w:p>
        </w:tc>
        <w:tc>
          <w:tcPr>
            <w:tcW w:type="dxa" w:w="2000"/>
            <w:tcMar>
              <w:top w:type="dxa" w:w="80"/>
              <w:left w:type="dxa" w:w="100"/>
              <w:bottom w:type="dxa" w:w="80"/>
              <w:right w:type="dxa" w:w="100"/>
            </w:tcMar>
            <w:vAlign w:val="center"/>
          </w:tcPr>
          <w:p>
            <w:r>
              <w:rPr>
                <w:b w:val="false"/>
                <w:bCs w:val="false"/>
                <w:color w:val="1A1A1A"/>
                <w:sz w:val="19"/>
                <w:szCs w:val="19"/>
              </w:rPr>
              <w:t xml:space="preserve">Module C, Module E</w:t>
            </w:r>
          </w:p>
        </w:tc>
        <w:tc>
          <w:tcPr>
            <w:tcW w:type="dxa" w:w="2100"/>
            <w:tcMar>
              <w:top w:type="dxa" w:w="80"/>
              <w:left w:type="dxa" w:w="100"/>
              <w:bottom w:type="dxa" w:w="80"/>
              <w:right w:type="dxa" w:w="100"/>
            </w:tcMar>
            <w:vAlign w:val="center"/>
          </w:tcPr>
          <w:p>
            <w:r>
              <w:rPr>
                <w:b w:val="false"/>
                <w:bCs w:val="false"/>
                <w:color w:val="1A1A1A"/>
                <w:sz w:val="19"/>
                <w:szCs w:val="19"/>
              </w:rPr>
              <w:t xml:space="preserve">Structured, source-attributed answers in structured_history, plus any red-flag events raised during the interview</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2026-08-31T09:36:43.195Z</dcterms:created>
  <dcterms:modified xsi:type="dcterms:W3CDTF">2026-08-31T09:36:43.195Z</dcterms:modified>
</cp:coreProperties>
</file>

<file path=docProps/custom.xml><?xml version="1.0" encoding="utf-8"?>
<Properties xmlns="http://schemas.openxmlformats.org/officeDocument/2006/custom-properties" xmlns:vt="http://schemas.openxmlformats.org/officeDocument/2006/docPropsVTypes"/>
</file>