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400"/>
        <w:jc w:val="center"/>
      </w:pPr>
      <w:r>
        <w:rPr>
          <w:b/>
          <w:bCs/>
          <w:color w:val="2F5D62"/>
          <w:sz w:val="60"/>
          <w:szCs w:val="60"/>
        </w:rPr>
        <w:t xml:space="preserve">MediKiosk</w:t>
      </w:r>
    </w:p>
    <w:p>
      <w:pPr>
        <w:spacing w:after="100"/>
        <w:jc w:val="center"/>
      </w:pPr>
      <w:r>
        <w:rPr>
          <w:i/>
          <w:iCs/>
          <w:sz w:val="28"/>
          <w:szCs w:val="28"/>
        </w:rPr>
        <w:t xml:space="preserve">Module B — Prescription &amp; Medical Document Data Extraction</w:t>
      </w:r>
    </w:p>
    <w:p>
      <w:pPr>
        <w:spacing w:after="500"/>
        <w:jc w:val="center"/>
      </w:pPr>
      <w:r>
        <w:rPr>
          <w:b/>
          <w:bCs/>
          <w:color w:val="2F5D62"/>
          <w:sz w:val="24"/>
          <w:szCs w:val="24"/>
        </w:rPr>
        <w:t xml:space="preserve">Module Product Requirements Document — Phase 2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2F5D6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400"/>
            <w:shd w:fill="2F5D6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Module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 — Prescription &amp; Medical Document Data Extraction</w:t>
            </w:r>
          </w:p>
        </w:tc>
      </w:tr>
      <w:tr>
        <w:tc>
          <w:tcPr>
            <w:tcW w:type="dxa" w:w="26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Part of</w:t>
            </w:r>
          </w:p>
        </w:tc>
        <w:tc>
          <w:tcPr>
            <w:tcW w:type="dxa" w:w="64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MediKiosk Phase 2 Module PRD Set — see MediKiosk_PRD_Master_Index.docx for sequencing and shared standards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Owns (writes)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document_uploads, extracted_entities</w:t>
            </w:r>
          </w:p>
        </w:tc>
      </w:tr>
      <w:tr>
        <w:tc>
          <w:tcPr>
            <w:tcW w:type="dxa" w:w="26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Reads from</w:t>
            </w:r>
          </w:p>
        </w:tc>
        <w:tc>
          <w:tcPr>
            <w:tcW w:type="dxa" w:w="64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sessions, consent_records (from Module D — a session must be active and consented before any document may be uploaded)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Consumed by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Module C (reads extracted_entities to generate the draft summary and detect contradictions against Module A's data), Module E (reads extracted_entities + original document crops for clinician review and source drill-down)</w:t>
            </w:r>
          </w:p>
        </w:tc>
      </w:tr>
      <w:tr>
        <w:tc>
          <w:tcPr>
            <w:tcW w:type="dxa" w:w="26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Primary Phase-1 KB reference</w:t>
            </w:r>
          </w:p>
        </w:tc>
        <w:tc>
          <w:tcPr>
            <w:tcW w:type="dxa" w:w="64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Knowledge Base Part VII, Section 21 (document intelligence specification, G1–G10)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Tech stack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React + Next.js (server-side API routes) · Neon Serverless PostgreSQL · Google Gemini (multimodal model, structured JSON-Schema output), called server-side only — replaces a classical OCR + NER pipeline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2F5D62"/>
          <w:sz w:val="32"/>
          <w:szCs w:val="32"/>
        </w:rPr>
        <w:t xml:space="preserve">1. Module Purpose &amp; Boundary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module lets the patient scan or upload prior prescriptions, lab reports, and discharge summaries, and turns them into structured, verifiable clinical data using Google Gemini's multimodal extraction rather than a traditional OCR-plus-entity-recognition pipeline. Gemini reads the document image directly and returns diagnoses, medications, lab values, and dates in one structured call, each with a confidence score and a pointer back to the exact region of the original image it came from.</w:t>
      </w:r>
    </w:p>
    <w:p>
      <w:pPr>
        <w:shd w:fill="EAF3F2" w:val="clear"/>
        <w:spacing w:after="200" w:before="100"/>
      </w:pPr>
      <w:r>
        <w:rPr>
          <w:i/>
          <w:iCs/>
          <w:color w:val="5B5B5B"/>
          <w:sz w:val="20"/>
          <w:szCs w:val="20"/>
        </w:rPr>
        <w:t xml:space="preserve">This module never combines its output with the spoken interview, never resolves a conflict with what the patient said (that belongs to Module C), and never auto-corrects a low-confidence extraction — it always abstains and asks for human verification instead. It also never interprets a lab value clinically (e.g., it flags 'out of range' against the source lab's own reference interval, but does not say what that means for the patient).</w:t>
      </w:r>
    </w:p>
    <w:p>
      <w:pPr>
        <w:pStyle w:val="Heading1"/>
        <w:spacing w:after="200" w:before="400"/>
      </w:pPr>
      <w:r>
        <w:rPr>
          <w:b/>
          <w:bCs/>
          <w:color w:val="2F5D62"/>
          <w:sz w:val="32"/>
          <w:szCs w:val="32"/>
        </w:rPr>
        <w:t xml:space="preserve">2. In Scope / Out of Scope for This Module</w:t>
      </w:r>
    </w:p>
    <w:p>
      <w:pPr>
        <w:pStyle w:val="Heading3"/>
        <w:spacing w:after="120" w:before="220"/>
      </w:pPr>
      <w:r>
        <w:rPr>
          <w:b/>
          <w:bCs/>
          <w:color w:val="C15B3A"/>
          <w:sz w:val="22"/>
          <w:szCs w:val="22"/>
        </w:rPr>
        <w:t xml:space="preserve">In scope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Upload/capture of three document types for the MVP: one printed lab report, one printed prescription, one handwritten prescription (used specifically to demonstrate abstention, not production-grade handwriting accuracy).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Pre-extraction document-quality checks (blur, skew, glare, crop) that trigger an automatic rescan prompt before any Gemini call is made.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Gemini-based structured extraction: diagnoses, medications (name, dose, route, frequency), lab values (with units and the source lab's reference range), procedure/surgery history, and document date.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Per-field confidence scoring and mandatory abstention (needs_verification) for any field below the agreed threshold — never silent auto-standardisation.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Chronological organisation of multiple documents into a timeline, with duplicate-scan detection and merging.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Provenance capture: every extracted field stores the exact document/page/region it was read from.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File-type validation and malware/size screening before any file is persisted or sent to Gemini.</w:t>
      </w:r>
    </w:p>
    <w:p>
      <w:pPr>
        <w:pStyle w:val="Heading3"/>
        <w:spacing w:after="120" w:before="220"/>
      </w:pPr>
      <w:r>
        <w:rPr>
          <w:b/>
          <w:bCs/>
          <w:color w:val="C15B3A"/>
          <w:sz w:val="22"/>
          <w:szCs w:val="22"/>
        </w:rPr>
        <w:t xml:space="preserve">Out of scope (owned by another module or a later phase)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Combining document data with the spoken interview or resolving contradictions between them — owned by Module C.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Clinical interpretation of any extracted value (diagnosis, treatment significance) — permanently out of scope.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Clinician review, correction, or acceptance of extracted fields — owned by Module E (this module only produces the draft data and its provenance).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Imaging films (X-ray/scan images) — explicitly out of scope for the MVP; only text-based reports are captured (per Knowledge Base G8).</w:t>
      </w:r>
    </w:p>
    <w:p>
      <w:pPr>
        <w:pStyle w:val="Heading1"/>
        <w:spacing w:after="200" w:before="400"/>
      </w:pPr>
      <w:r>
        <w:rPr>
          <w:b/>
          <w:bCs/>
          <w:color w:val="2F5D62"/>
          <w:sz w:val="32"/>
          <w:szCs w:val="32"/>
        </w:rPr>
        <w:t xml:space="preserve">3. User Stories &amp; Acceptance Criteria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4500"/>
      </w:tblGrid>
      <w:tr>
        <w:trPr>
          <w:tblHeader/>
        </w:trPr>
        <w:tc>
          <w:tcPr>
            <w:tcW w:type="dxa" w:w="700"/>
            <w:shd w:fill="2F5D6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800"/>
            <w:shd w:fill="2F5D6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User story</w:t>
            </w:r>
          </w:p>
        </w:tc>
        <w:tc>
          <w:tcPr>
            <w:tcW w:type="dxa" w:w="4500"/>
            <w:shd w:fill="2F5D6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B1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As a patient, I can upload or scan a prior prescription, lab report, or discharge summary.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Accepts image/PDF within defined size and MIME-type limits; malware/type validation runs before any AI call or persistence.</w:t>
            </w:r>
          </w:p>
        </w:tc>
      </w:tr>
      <w:tr>
        <w:tc>
          <w:tcPr>
            <w:tcW w:type="dxa" w:w="7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B2</w:t>
            </w:r>
          </w:p>
        </w:tc>
        <w:tc>
          <w:tcPr>
            <w:tcW w:type="dxa" w:w="38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As the system, I extract diagnoses, medicines with dose/route/frequency, and lab values with reference ranges using Gemini.</w:t>
            </w:r>
          </w:p>
        </w:tc>
        <w:tc>
          <w:tcPr>
            <w:tcW w:type="dxa" w:w="45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Gemini is called with a fixed JSON-Schema response format; every extracted field carries a confidence score and a source image-crop reference.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B3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As the system, I detect low-quality scans and prompt a rescan before extraction.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Blur/skew/glare/crop heuristics run before any Gemini call; documents failing the threshold trigger a rescan prompt instead of a low-confidence extraction attempt.</w:t>
            </w:r>
          </w:p>
        </w:tc>
      </w:tr>
      <w:tr>
        <w:tc>
          <w:tcPr>
            <w:tcW w:type="dxa" w:w="7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B4</w:t>
            </w:r>
          </w:p>
        </w:tc>
        <w:tc>
          <w:tcPr>
            <w:tcW w:type="dxa" w:w="38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As the system, I never silently auto-correct an ambiguous medicine name, dose, route, or frequency.</w:t>
            </w:r>
          </w:p>
        </w:tc>
        <w:tc>
          <w:tcPr>
            <w:tcW w:type="dxa" w:w="45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Any field below the confidence threshold is marked needs_verification and shown, at review time, side-by-side with the original crop — never silently normalised.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B5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As the system, I organise multiple documents into a chronological timeline and merge duplicate scans.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Documents are ordered by extracted/verified date; a content-hash plus fuzzy-match check prevents the same report appearing twice in the timeline.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2F5D62"/>
          <w:sz w:val="32"/>
          <w:szCs w:val="32"/>
        </w:rPr>
        <w:t xml:space="preserve">4. Gemini Extraction Contract</w:t>
      </w:r>
    </w:p>
    <w:p>
      <w:pPr>
        <w:pStyle w:val="Heading3"/>
        <w:spacing w:after="120" w:before="220"/>
      </w:pPr>
      <w:r>
        <w:rPr>
          <w:b/>
          <w:bCs/>
          <w:color w:val="C15B3A"/>
          <w:sz w:val="22"/>
          <w:szCs w:val="22"/>
        </w:rPr>
        <w:t xml:space="preserve">4.1 Structured-output request (illustrative)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Input: the document image or PDF page, plus a fixed JSON Schema describing the required output shape: document_type, diagnoses[], medications[]{name, dose, route, frequency, confidence}, lab_values[]{name, value, unit, reference_range, confidence}, document_date, page_region_refs.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Output: JSON strictly matching that schema — no free-form prose — so it can be validated and written directly to Postgres without an additional NLP parsing step.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Every numeric/text field in the response must include its own confidence score; the extraction pipeline rejects any response that omits a required confidence field rather than defaulting it.</w:t>
      </w:r>
    </w:p>
    <w:p>
      <w:pPr>
        <w:pStyle w:val="Heading3"/>
        <w:spacing w:after="120" w:before="220"/>
      </w:pPr>
      <w:r>
        <w:rPr>
          <w:b/>
          <w:bCs/>
          <w:color w:val="C15B3A"/>
          <w:sz w:val="22"/>
          <w:szCs w:val="22"/>
        </w:rPr>
        <w:t xml:space="preserve">4.2 Quality gate before extraction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Blur, skew, glare, occlusion, crop, and resolution thresholds are checked before the file is sent to Gemini; failing documents return a rescan prompt to the patient kiosk instead of consuming an extraction call.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A visual verification step is mandatory for any handwritten-document medication/dosage extraction: the original crop and the extracted value are always shown together at clinician review, never the extracted value alone.</w:t>
      </w:r>
    </w:p>
    <w:p>
      <w:pPr>
        <w:pStyle w:val="Heading1"/>
        <w:spacing w:after="200" w:before="400"/>
      </w:pPr>
      <w:r>
        <w:rPr>
          <w:b/>
          <w:bCs/>
          <w:color w:val="2F5D62"/>
          <w:sz w:val="32"/>
          <w:szCs w:val="32"/>
        </w:rPr>
        <w:t xml:space="preserve">5. Data Owned by This Module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600"/>
        <w:gridCol w:w="2600"/>
      </w:tblGrid>
      <w:tr>
        <w:trPr>
          <w:tblHeader/>
        </w:trPr>
        <w:tc>
          <w:tcPr>
            <w:tcW w:type="dxa" w:w="1800"/>
            <w:shd w:fill="2F5D6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600"/>
            <w:shd w:fill="2F5D6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columns</w:t>
            </w:r>
          </w:p>
        </w:tc>
        <w:tc>
          <w:tcPr>
            <w:tcW w:type="dxa" w:w="2600"/>
            <w:shd w:fill="2F5D6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document_uploads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id, session_id (fk → Module D), file_ref, mime_type, quality_check_result, uploaded_at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Original scanned files; retention governed by the DPDP schedule owned in the privacy framework</w:t>
            </w:r>
          </w:p>
        </w:tc>
      </w:tr>
      <w:tr>
        <w:tc>
          <w:tcPr>
            <w:tcW w:type="dxa" w:w="18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extracted_entities</w:t>
            </w:r>
          </w:p>
        </w:tc>
        <w:tc>
          <w:tcPr>
            <w:tcW w:type="dxa" w:w="46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id, session_id, document_upload_id, entity_type (medication/lab_value/diagnosis/date), fields (jsonb), confidence, needs_verification, source_crop_ref</w:t>
            </w:r>
          </w:p>
        </w:tc>
        <w:tc>
          <w:tcPr>
            <w:tcW w:type="dxa" w:w="26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One row per extracted item; jsonb keeps entity-specific fields flexible across document types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2F5D62"/>
          <w:sz w:val="32"/>
          <w:szCs w:val="32"/>
        </w:rPr>
        <w:t xml:space="preserve">5. API Contract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200"/>
      </w:tblGrid>
      <w:tr>
        <w:trPr>
          <w:tblHeader/>
        </w:trPr>
        <w:tc>
          <w:tcPr>
            <w:tcW w:type="dxa" w:w="3400"/>
            <w:shd w:fill="2F5D6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1400"/>
            <w:shd w:fill="2F5D6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4200"/>
            <w:shd w:fill="2F5D6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/api/session/:id/scan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Upload a document; runs the quality gate and, if it passes, the Gemini extraction call</w:t>
            </w:r>
          </w:p>
        </w:tc>
      </w:tr>
      <w:tr>
        <w:tc>
          <w:tcPr>
            <w:tcW w:type="dxa" w:w="34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/api/session/:id/scan/:docId/rescan</w:t>
            </w:r>
          </w:p>
        </w:tc>
        <w:tc>
          <w:tcPr>
            <w:tcW w:type="dxa" w:w="14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42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Replace a document that failed the quality gate or was flagged as a duplicate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2F5D62"/>
          <w:sz w:val="32"/>
          <w:szCs w:val="32"/>
        </w:rPr>
        <w:t xml:space="preserve">6. Non-Functional Requirements Specific to This Module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Gemini extraction target under 8 seconds per page, including the pre-call quality gate.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No raw document image or extraction request ever reaches the browser bundle with the Gemini API key attached — the call is server-side only.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File-type validation and antivirus scanning complete before a file is persisted or forwarded to Gemini.</w:t>
      </w:r>
    </w:p>
    <w:p>
      <w:pPr>
        <w:pStyle w:val="Heading1"/>
        <w:spacing w:after="200" w:before="400"/>
      </w:pPr>
      <w:r>
        <w:rPr>
          <w:b/>
          <w:bCs/>
          <w:color w:val="2F5D62"/>
          <w:sz w:val="32"/>
          <w:szCs w:val="32"/>
        </w:rPr>
        <w:t xml:space="preserve">7. Evaluation &amp; Safety Checks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Because Gemini performs reading and structuring in one call, evaluation happens at the extracted-field level (medication name, dose, route, frequency, lab value, date) against a labelled ground-truth set — not at raw OCR character level.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Medication-field accuracy is reported together with the abstention rate, so a high accuracy figure cannot hide a high silent-error rate.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Handwritten and printed samples are evaluated separately; the MVP explicitly uses one handwritten sample to demonstrate abstention behaviour rather than to claim production-grade handwriting accuracy.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A prompt-injection test suite confirms that text embedded in a scanned document (deliberately malicious or nonsensical instructions) can never alter the extraction pipeline's behaviour or downstream system instructions.</w:t>
      </w:r>
    </w:p>
    <w:p>
      <w:pPr>
        <w:pStyle w:val="Heading1"/>
        <w:spacing w:after="200" w:before="400"/>
      </w:pPr>
      <w:r>
        <w:rPr>
          <w:b/>
          <w:bCs/>
          <w:color w:val="2F5D62"/>
          <w:sz w:val="32"/>
          <w:szCs w:val="32"/>
        </w:rPr>
        <w:t xml:space="preserve">8. Definition of Done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One printed prescription, one printed lab report, and one deliberately ambiguous handwritten sample are all processed end to end, with confidence scores and abstention visible in the output.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A blurry/skewed test scan triggers the rescan prompt rather than a low-confidence extraction.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A duplicate scan of the same report is detected and merged rather than duplicated in the timeline.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Every extracted field in a test run has a working source-crop reference that can be displayed for clinician verification.</w:t>
      </w:r>
    </w:p>
    <w:p>
      <w:pPr>
        <w:pStyle w:val="Heading1"/>
        <w:spacing w:after="200" w:before="400"/>
      </w:pPr>
      <w:r>
        <w:rPr>
          <w:b/>
          <w:bCs/>
          <w:color w:val="2F5D62"/>
          <w:sz w:val="32"/>
          <w:szCs w:val="32"/>
        </w:rPr>
        <w:t xml:space="preserve">9. Dependencies &amp; Handoff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00"/>
        <w:gridCol w:w="2000"/>
        <w:gridCol w:w="2100"/>
      </w:tblGrid>
      <w:tr>
        <w:trPr>
          <w:tblHeader/>
        </w:trPr>
        <w:tc>
          <w:tcPr>
            <w:tcW w:type="dxa" w:w="2000"/>
            <w:shd w:fill="2F5D6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  <w:tc>
          <w:tcPr>
            <w:tcW w:type="dxa" w:w="2900"/>
            <w:shd w:fill="2F5D6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needs</w:t>
            </w:r>
          </w:p>
        </w:tc>
        <w:tc>
          <w:tcPr>
            <w:tcW w:type="dxa" w:w="2000"/>
            <w:shd w:fill="2F5D6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Hands off to</w:t>
            </w:r>
          </w:p>
        </w:tc>
        <w:tc>
          <w:tcPr>
            <w:tcW w:type="dxa" w:w="2100"/>
            <w:shd w:fill="2F5D6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delivers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Module D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An active session with recorded, valid consent before any document may be uploaded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Module C, Module E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Structured, confidence-scored, source-attributed extracted entities in extracted_entities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2026-08-31T09:36:43.388Z</dcterms:created>
  <dcterms:modified xsi:type="dcterms:W3CDTF">2026-08-31T09:36:43.388Z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