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2F5D62"/>
          <w:sz w:val="60"/>
          <w:szCs w:val="60"/>
        </w:rPr>
        <w:t xml:space="preserve">MediKiosk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Module D — Identity, Consent, Privacy &amp; ABDM/FHIR Integration</w:t>
      </w:r>
    </w:p>
    <w:p>
      <w:pPr>
        <w:spacing w:after="500"/>
        <w:jc w:val="center"/>
      </w:pPr>
      <w:r>
        <w:rPr>
          <w:b/>
          <w:bCs/>
          <w:color w:val="2F5D62"/>
          <w:sz w:val="24"/>
          <w:szCs w:val="24"/>
        </w:rPr>
        <w:t xml:space="preserve">Module Product Requirements Document — Phase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 — Identity, Consent, Privacy &amp; ABDM/FHIR Integration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Part of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MediKiosk Phase 2 Module PRD Set — see MediKiosk_PRD_Master_Index.docx for sequencing and shared standards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Owns (writes)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sessions, consent_records, fhir_bundles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Reads from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attested_records (from Module E, read-only, for FHIR export only)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Modules A, B, C, E all depend on this module to create and validate the session before they may do anything; an external (mocked) ABDM gateway is the ultimate consumer of fhir_bundles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Phase-1 KB reference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Knowledge Base Part V (ABDM/FHIR integration) and Part VI (privacy, consent, security)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+ Next.js (server-side API routes) · Neon Serverless PostgreSQL · No AI model of its own — this module is the identity, consent, and interoperability backbone the other four modules sit on top of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1. Module Purpose &amp; Boundary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module is the first and last thing that happens in every patient visit: it starts the session (language, identity, consent) before any other module may write data, and — after the clinician has attested the final record in Module E — it builds and validates the FHIR bundle that would be shared through ABDM. It is also the home of the platform's privacy and DPDP-compliance controls, since consent and identity are inseparable from those obligations.</w:t>
      </w:r>
    </w:p>
    <w:p>
      <w:pPr>
        <w:shd w:fill="EAF3F2" w:val="clear"/>
        <w:spacing w:after="200" w:before="100"/>
      </w:pPr>
      <w:r>
        <w:rPr>
          <w:i/>
          <w:iCs/>
          <w:color w:val="5B5B5B"/>
          <w:sz w:val="20"/>
          <w:szCs w:val="20"/>
        </w:rPr>
        <w:t xml:space="preserve">This module never asks a clinical question and never interprets clinical content — its job is entirely about who the patient is, what they've agreed to, and how the final, clinician-approved record is packaged for exchange. It only ever reads the Clinician-Attested Layer, never the Patient Evidence or Intake Draft layers, when building the FHIR bundle — this is the enforcement point for the three-layer architecture's central rule.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2. In Scope / Out of Scope for This Module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Language selection and session creation at the start of every visit.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Audio-guided, DPDP-aligned consent capture: exact notice text, consent record with version/language/timestamp/affirmative action, and a revocation path.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Identity capture via mock ABHA QR or local queue ID, with an optional, clearly-secondary Aadhaar-based pathway.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Guardian/caregiver consent and proxy-identity flow for paediatric or assisted patients.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Emergency-consent exception: the minimal information basis for raising a red-flag alert before full consent is complete, with its own audit trail.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Building and validating the synthetic FHIR R4 bundle (Patient, Encounter, Composition, Condition, Observation, AllergyIntolerance, MedicationStatement, FamilyMemberHistory, DocumentReference, DiagnosticReport, QuestionnaireResponse, Provenance) from the attested record only.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Retention and deletion scheduling for every data class this module and the others produce.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Out of scope (owned by another module or a later phase)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Any clinical question, document scan, or summary generation — owned by Modules A, B, and C respectively.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clinician review/attestation action itself — owned by Module E; this module only consumes its output.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Live production ABDM gateway integration and full ABHA record retrieval — simulated/mocked for the current phase, per the Knowledge Base MVP boundary.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3. User Stories &amp;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00"/>
      </w:tblGrid>
      <w:tr>
        <w:trPr>
          <w:tblHeader/>
        </w:trPr>
        <w:tc>
          <w:tcPr>
            <w:tcW w:type="dxa" w:w="7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5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patient, I give informed, revocable consent before any data capture begins.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Consent screen shows the exact notice text (data collected, purpose, retention, rights, contact); the consent record stores version, language, timestamp, and affirmative action; revocation creates a new record rather than deleting the old one.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D2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patient, I can identify myself via a mock ABHA QR or a local queue ID.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Both pathways create a valid session; any Aadhaar-based lookup is clearly optional and never the default.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the system, only the clinician-attested record is packaged for ABDM exchange.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Patient Evidence Layer and Intake Draft Layer never leave the hospital-side database; only the attested bundle is exported.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D4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the system, I produce a FHIR R4 bundle that passes validation.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bundle includes the full resource graph defined in the Knowledge Base and passes the chosen validator, with the result logged in fhir_bundles.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guardian, I can complete consent and identity on behalf of a paediatric patient.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distinct guardian-flow variant captures proxy identity and authority alongside the patient's own (where available), with the same audit trail as standard consent.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4. Consent, Identity &amp; FHIR Export Specification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4.1 Consent and notice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Notice content covers: data collected, purpose, sharing, retention, rights, complaint path, contact details, and language options — audio alone is not treated as sufficient without a comprehension check during usability testing.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Consent evidence stores: notice version, language, timestamp, affirmative action, identity binding, and proxy/caregiver authorisation where applicable; withdrawal is logged with its effect on already-captured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emergency-consent exception defines the minimal information that may be used to raise a red-flag alert (Module A) before full consent completes, with its own audit log entry distinct from standard consent.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4.2 Identity assurance levels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ABHA QR, ABHA address, Aadhaar OTP, and local queue ID are treated as different assurance levels, not interchangeable options; Aadhaar-based identity is presented as an optional, authorised pathway with a clear fallback, never the default flow.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Record-linking safeguards include demographic matching, duplicate-ABHA handling, wrong-patient prevention, name transliteration handling, and a manual clinician override.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4.3 FHIR export sequencing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FHIR export step only runs after Module E has written an attested_records row for the session — never against draft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bundle is validated against the current FHIR package/version in use, and both the bundle JSON and the validation result are stored, including failed validation attempts, for audit.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In this phase, the ABDM gateway itself is mocked; the export module is written against the same interface shape a live gateway would expose so the mock can later be swapped for a real endpoint as a configuration change.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Data Owned by This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sessions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patient_ref, language, queue_id, abha_mock_id, status, started_at, ended_at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row per kiosk visit; all other modules require a valid, active session to write anything</w:t>
            </w:r>
          </w:p>
        </w:tc>
      </w:tr>
      <w:tr>
        <w:tc>
          <w:tcPr>
            <w:tcW w:type="dxa" w:w="1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consent_records</w:t>
            </w:r>
          </w:p>
        </w:tc>
        <w:tc>
          <w:tcPr>
            <w:tcW w:type="dxa" w:w="4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session_id, notice_version, language, consented_at, method (audio/touch), revoked_at</w:t>
            </w:r>
          </w:p>
        </w:tc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Append-only; revocation is a new row, never a delete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fhir_bundles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attested_record_id (fk → Module E), bundle_json, validator_name, validator_version, validation_result, generated_at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row per export attempt, including failed validations, for audit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API Contract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rPr>
          <w:tblHeader/>
        </w:trPr>
        <w:tc>
          <w:tcPr>
            <w:tcW w:type="dxa" w:w="3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 a new kiosk session (language, queue/ABHA identity)</w:t>
            </w:r>
          </w:p>
        </w:tc>
      </w:tr>
      <w:tr>
        <w:tc>
          <w:tcPr>
            <w:tcW w:type="dxa" w:w="3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/api/session/:id/consent</w:t>
            </w:r>
          </w:p>
        </w:tc>
        <w:tc>
          <w:tcPr>
            <w:tcW w:type="dxa" w:w="1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Record consent, including guardian/caregiver variants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/api/session/:id/consent/revoke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Record a consent withdrawal</w:t>
            </w:r>
          </w:p>
        </w:tc>
      </w:tr>
      <w:tr>
        <w:tc>
          <w:tcPr>
            <w:tcW w:type="dxa" w:w="3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/api/clinician/session/:id/fhir</w:t>
            </w:r>
          </w:p>
        </w:tc>
        <w:tc>
          <w:tcPr>
            <w:tcW w:type="dxa" w:w="1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Build and validate the FHIR bundle from the session's attested record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6. Non-Functional Requirements Specific to This Module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No patient data may be written by any other module until this module has recorded a valid, active consent for the session.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Consent and identity data are handled under the same DPDP-aligned retention and access rules as clinical data, with roles (fiduciary/processor) explicitly mapped.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FHIR bundle generation and validation must complete and be logged even when validation fails, so failures are auditable rather than silent.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7. Evaluation &amp; Safety Checks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short, task-based comprehension test (not an assumption) validates that the audio consent notice is actually understood by representative low-literacy and elderly users.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100% of generated demo FHIR bundles are checked against the current validator, with the pass/fail result reported, not just asserted.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threat-model review (shoulder surfing, QR interception, replay attacks, session hijacking) is completed against the identity and consent flows before any pilot use.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8. Definition of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test session can be created end-to-end from language selection through consent capture, producing a consent_records row and a sessions row.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Both the mock-ABHA-QR and local-queue-ID identity pathways successfully create a valid session.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guardian-flow consent test case captures proxy identity correctly.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synthetic FHIR bundle is generated from a completed attested record and passes the chosen validator, with the result stored in fhir_bundles.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9. Dependencies &amp; Handoff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100"/>
      </w:tblGrid>
      <w:tr>
        <w:trPr>
          <w:tblHeader/>
        </w:trPr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9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needs</w:t>
            </w:r>
          </w:p>
        </w:tc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Hands off to</w:t>
            </w:r>
          </w:p>
        </w:tc>
        <w:tc>
          <w:tcPr>
            <w:tcW w:type="dxa" w:w="21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 — this module runs first for every session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A, Module B, Module C, Module E (session gate); external ABDM gateway (mocked)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valid, consented session at the start of the visit, and a validated FHIR bundle at the end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2026-08-31T09:36:43.744Z</dcterms:created>
  <dcterms:modified xsi:type="dcterms:W3CDTF">2026-08-31T09:36:43.744Z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