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pStyle w:val="Heading1"/>
      </w:pPr>
      <w:r>
        <w:t xml:space="preserve">Frappe ERP / HRMS / CRM — Reverse-Engineering &amp; Product Blueprint</w:t>
      </w:r>
    </w:p>
    <w:p>
      <w:r>
        <w:t xml:space="preserve">Oct 17, 2026 · @Deepak</w:t>
      </w:r>
    </w:p>
    <w:p>
      <w:pPr>
        <w:pStyle w:val="Heading2"/>
      </w:pPr>
      <w:r>
        <w:t xml:space="preserve">Summary and verdict</w:t>
      </w:r>
    </w:p>
    <w:p>
      <w:r>
        <w:t xml:space="preserve">The three apps are public code on a shared metadata engine, so you can study them freely. Do not copy them into a closed commercial SaaS: the licences and trademark rules forbid it.</w:t>
      </w:r>
    </w:p>
    <w:p>
      <w:r>
        <w:t xml:space="preserve">Measured from the current </w:t>
      </w:r>
      <w:r>
        <w:rPr>
          <w:rFonts w:ascii="Courier New" w:hAnsi="Courier New"/>
        </w:rPr>
        <w:t xml:space="preserve">develop</w:t>
      </w:r>
      <w:r>
        <w:t xml:space="preserve"> branches (cloned 17 Oct 2026):</w:t>
      </w:r>
    </w:p>
    <w:p>
      <w:pPr>
        <w:pStyle w:val="ListParagraph"/>
        <w:numPr>
          <w:ilvl w:val="0"/>
          <w:numId w:val="1"/>
        </w:numPr>
      </w:pPr>
      <w:r>
        <w:rPr>
          <w:b/>
        </w:rPr>
        <w:t xml:space="preserve">~750 DocTypes across the three apps</w:t>
      </w:r>
      <w:r>
        <w:t xml:space="preserve">: ERPNext 534, HRMS 158, CRM 53, with about 13,500 fields between them. The framework adds 307 more.</w:t>
      </w:r>
    </w:p>
    <w:p>
      <w:pPr>
        <w:pStyle w:val="ListParagraph"/>
        <w:numPr>
          <w:ilvl w:val="0"/>
          <w:numId w:val="1"/>
        </w:numPr>
      </w:pPr>
      <w:r>
        <w:rPr>
          <w:b/>
        </w:rPr>
        <w:t xml:space="preserve">One engine produces almost everything.</w:t>
      </w:r>
      <w:r>
        <w:t xml:space="preserve"> A DocType (JSON metadata) generates the table, form, list view, REST API, permissions and print format. That is the real asset to learn from.</w:t>
      </w:r>
    </w:p>
    <w:p>
      <w:pPr>
        <w:pStyle w:val="ListParagraph"/>
        <w:numPr>
          <w:ilvl w:val="0"/>
          <w:numId w:val="1"/>
        </w:numPr>
      </w:pPr>
      <w:r>
        <w:rPr>
          <w:b/>
        </w:rPr>
        <w:t xml:space="preserve">The apps are coupled.</w:t>
      </w:r>
      <w:r>
        <w:t xml:space="preserve"> HRMS declares ERPNext as a required app, and CRM declares the WhatsApp app. HRMS also posts payroll and claims into ERPNext's ledgers.</w:t>
      </w:r>
    </w:p>
    <w:p>
      <w:pPr>
        <w:pStyle w:val="ListParagraph"/>
        <w:numPr>
          <w:ilvl w:val="0"/>
          <w:numId w:val="1"/>
        </w:numPr>
      </w:pPr>
      <w:r>
        <w:rPr>
          <w:b/>
        </w:rPr>
        <w:t xml:space="preserve">Licences differ.</w:t>
      </w:r>
      <w:r>
        <w:t xml:space="preserve"> Framework is MIT, ERPNext and HRMS are GPL-3.0, CRM is AGPL-3.0. Product names such as ERPNext and Frappe HR are trademarks.</w:t>
      </w:r>
    </w:p>
    <w:p>
      <w:r>
        <w:rPr>
          <w:b/>
        </w:rPr>
        <w:t xml:space="preserve">Recommendation:</w:t>
      </w:r>
      <w:r>
        <w:t xml:space="preserve"> build your own product with its own code and its own name. Use Frappe's public documentation and observable behaviour as the functional spec, with spec writers separated from implementers. Start with a narrow slice, CRM plus order-to-cash plus core HR, on a Python and Postgres modular monolith. Section 6 compares the alternatives; sections 7 and 8 give the architecture and roadmap.</w:t>
      </w:r>
    </w:p>
    <w:p>
      <w:r>
        <w:t xml:space="preserve">This is engineering analysis, not legal advice. Have a lawyer review the clean-room process and the licence position before you ship.</w:t>
      </w:r>
    </w:p>
    <w:p>
      <w:pPr>
        <w:pStyle w:val="Heading2"/>
      </w:pPr>
      <w:r>
        <w:t xml:space="preserve">Licensing and trademark</w:t>
      </w:r>
    </w:p>
    <w:p>
      <w:r>
        <w:t xml:space="preserve">The licence you must follow depends on which code you reuse. Copying ERPNext, HRMS or CRM code into a proprietary product is the one path that is closed.</w:t>
      </w:r>
    </w:p>
    <w:tbl>
      <w:tblPr>
        <w:tblW w:w="0" w:type="auto"/>
        <w:tblLook w:val="04A0" w:firstRow="1" w:lastRow="0" w:firstColumn="1" w:lastColumn="0" w:noHBand="0" w:noVBand="1"/>
      </w:tblPr>
      <w:tblGrid>
        <w:gridCol w:w="3120"/>
        <w:gridCol w:w="3120"/>
        <w:gridCol w:w="3120"/>
      </w:tblGrid>
      <w:tr>
        <w:trPr>
          <w:tblHeader/>
        </w:trPr>
        <w:tc>
          <w:tcPr>
            <w:tcW w:w="3120" w:type="dxa"/>
          </w:tcPr>
          <w:p>
            <w:r>
              <w:t xml:space="preserve">Component</w:t>
            </w:r>
          </w:p>
        </w:tc>
        <w:tc>
          <w:tcPr>
            <w:tcW w:w="3120" w:type="dxa"/>
          </w:tcPr>
          <w:p>
            <w:r>
              <w:t xml:space="preserve">Licence</w:t>
            </w:r>
          </w:p>
        </w:tc>
        <w:tc>
          <w:tcPr>
            <w:tcW w:w="3120" w:type="dxa"/>
          </w:tcPr>
          <w:p>
            <w:r>
              <w:t xml:space="preserve">What it means for a commercial SaaS</w:t>
            </w:r>
          </w:p>
        </w:tc>
      </w:tr>
      <w:tr>
        <w:tc>
          <w:tcPr>
            <w:tcW w:w="3120" w:type="dxa"/>
          </w:tcPr>
          <w:p>
            <w:hyperlink r:id="rId1" w:history="1">
              <w:r>
                <w:t xml:space="preserve">Frappe Framework</w:t>
              </w:r>
            </w:hyperlink>
          </w:p>
        </w:tc>
        <w:tc>
          <w:tcPr>
            <w:tcW w:w="3120" w:type="dxa"/>
          </w:tcPr>
          <w:p>
            <w:r>
              <w:t xml:space="preserve">MIT</w:t>
            </w:r>
          </w:p>
        </w:tc>
        <w:tc>
          <w:tcPr>
            <w:tcW w:w="3120" w:type="dxa"/>
          </w:tcPr>
          <w:p>
            <w:r>
              <w:t xml:space="preserve">Permissive. You may build proprietary apps on it, keeping the copyright notice.</w:t>
            </w:r>
          </w:p>
        </w:tc>
      </w:tr>
      <w:tr>
        <w:tc>
          <w:tcPr>
            <w:tcW w:w="3120" w:type="dxa"/>
          </w:tcPr>
          <w:p>
            <w:hyperlink r:id="rId2" w:history="1">
              <w:r>
                <w:t xml:space="preserve">ERPNext</w:t>
              </w:r>
            </w:hyperlink>
          </w:p>
        </w:tc>
        <w:tc>
          <w:tcPr>
            <w:tcW w:w="3120" w:type="dxa"/>
          </w:tcPr>
          <w:p>
            <w:r>
              <w:t xml:space="preserve">GPL-3.0</w:t>
            </w:r>
          </w:p>
        </w:tc>
        <w:tc>
          <w:tcPr>
            <w:tcW w:w="3120" w:type="dxa"/>
          </w:tcPr>
          <w:p>
            <w:r>
              <w:t xml:space="preserve">Copyleft. Distributing a derivative requires releasing its source under GPL-3.0. GPL-3.0 has no network clause, so hosting alone is a lawyer question.</w:t>
            </w:r>
          </w:p>
        </w:tc>
      </w:tr>
      <w:tr>
        <w:tc>
          <w:tcPr>
            <w:tcW w:w="3120" w:type="dxa"/>
          </w:tcPr>
          <w:p>
            <w:hyperlink r:id="rId3" w:history="1">
              <w:r>
                <w:t xml:space="preserve">Frappe HR (hrms)</w:t>
              </w:r>
            </w:hyperlink>
          </w:p>
        </w:tc>
        <w:tc>
          <w:tcPr>
            <w:tcW w:w="3120" w:type="dxa"/>
          </w:tcPr>
          <w:p>
            <w:r>
              <w:t xml:space="preserve">GPL-3.0</w:t>
            </w:r>
          </w:p>
        </w:tc>
        <w:tc>
          <w:tcPr>
            <w:tcW w:w="3120" w:type="dxa"/>
          </w:tcPr>
          <w:p>
            <w:r>
              <w:t xml:space="preserve">Same as ERPNext. It also requires ERPNext, so the two travel together.</w:t>
            </w:r>
          </w:p>
        </w:tc>
      </w:tr>
      <w:tr>
        <w:tc>
          <w:tcPr>
            <w:tcW w:w="3120" w:type="dxa"/>
          </w:tcPr>
          <w:p>
            <w:hyperlink r:id="rId4" w:history="1">
              <w:r>
                <w:t xml:space="preserve">Frappe CRM</w:t>
              </w:r>
            </w:hyperlink>
          </w:p>
        </w:tc>
        <w:tc>
          <w:tcPr>
            <w:tcW w:w="3120" w:type="dxa"/>
          </w:tcPr>
          <w:p>
            <w:r>
              <w:t xml:space="preserve">AGPL-3.0</w:t>
            </w:r>
          </w:p>
        </w:tc>
        <w:tc>
          <w:tcPr>
            <w:tcW w:w="3120" w:type="dxa"/>
          </w:tcPr>
          <w:p>
            <w:r>
              <w:t xml:space="preserve">Strongest copyleft. Offering a modified version over a network obliges you to give those users the source.</w:t>
            </w:r>
          </w:p>
        </w:tc>
      </w:tr>
    </w:tbl>
    <w:p>
      <w:r>
        <w:t xml:space="preserve">I read each licence header from the cloned repositories. The reading of GPL versus AGPL for hosted use is my summary of the licence texts, not a legal opinion.</w:t>
      </w:r>
    </w:p>
    <w:p>
      <w:r>
        <w:rPr>
          <w:b/>
        </w:rPr>
        <w:t xml:space="preserve">Trademarks are separate from the licences.</w:t>
      </w:r>
      <w:r>
        <w:t xml:space="preserve"> Frappe's </w:t>
      </w:r>
      <w:hyperlink r:id="rId5" w:history="1">
        <w:r>
          <w:t xml:space="preserve">policy</w:t>
        </w:r>
      </w:hyperlink>
      <w:r>
        <w:t xml:space="preserve"> lists Frappe, ERPNext, Frappe HR, Frappe CRM, Frappe Cloud and others as trademarks. It bars using them in a company, product or service name, and bars registering domains that contain them. It allows descriptive uses such as "Compatible with ERPNext" or "Integration with Frappe HR".</w:t>
      </w:r>
    </w:p>
    <w:p>
      <w:r>
        <w:rPr>
          <w:b/>
        </w:rPr>
        <w:t xml:space="preserve">What is generally safe:</w:t>
      </w:r>
    </w:p>
    <w:p>
      <w:pPr>
        <w:pStyle w:val="ListParagraph"/>
        <w:numPr>
          <w:ilvl w:val="0"/>
          <w:numId w:val="2"/>
        </w:numPr>
      </w:pPr>
      <w:r>
        <w:t xml:space="preserve">Learn the data model, workflows and UX from the public docs and running demos.</w:t>
      </w:r>
    </w:p>
    <w:p>
      <w:pPr>
        <w:pStyle w:val="ListParagraph"/>
        <w:numPr>
          <w:ilvl w:val="0"/>
          <w:numId w:val="2"/>
        </w:numPr>
      </w:pPr>
      <w:r>
        <w:t xml:space="preserve">Re-implement the same business concepts (double-entry ledger, leave accrual, lead-to-deal) in your own code.</w:t>
      </w:r>
    </w:p>
    <w:p>
      <w:pPr>
        <w:pStyle w:val="ListParagraph"/>
        <w:numPr>
          <w:ilvl w:val="0"/>
          <w:numId w:val="2"/>
        </w:numPr>
      </w:pPr>
      <w:r>
        <w:t xml:space="preserve">Build your own apps on the MIT framework without touching ERPNext, HRMS or CRM code.</w:t>
      </w:r>
    </w:p>
    <w:p>
      <w:r>
        <w:rPr>
          <w:b/>
        </w:rPr>
        <w:t xml:space="preserve">What to avoid:</w:t>
      </w:r>
      <w:r>
        <w:t xml:space="preserve"> pasting or lightly rewording their source, copying their JSON schemas, translation files, print formats or UI assets, and using their names or logos for your brand.</w:t>
      </w:r>
    </w:p>
    <w:p>
      <w:pPr>
        <w:pStyle w:val="Heading2"/>
      </w:pPr>
      <w:r>
        <w:t xml:space="preserve">Platform anatomy: how Frappe works</w:t>
      </w:r>
    </w:p>
    <w:p>
      <w:r>
        <w:t xml:space="preserve">Frappe is a metadata engine first and a web framework second. Every business object is a DocType, a JSON description that the engine turns into storage, screens, APIs and rules.</w:t>
      </w:r>
    </w:p>
    <w:p>
      <w:r>
        <w:rPr>
          <w:b/>
        </w:rPr>
        <w:t xml:space="preserve">What a DocType gives you for free.</w:t>
      </w:r>
      <w:r>
        <w:t xml:space="preserve"> Per the </w:t>
      </w:r>
      <w:hyperlink r:id="rId6" w:history="1">
        <w:r>
          <w:t xml:space="preserve">framework docs</w:t>
        </w:r>
      </w:hyperlink>
      <w:r>
        <w:t xml:space="preserve">, creating one produces a database table named </w:t>
      </w:r>
      <w:r>
        <w:rPr>
          <w:rFonts w:ascii="Courier New" w:hAnsi="Courier New"/>
        </w:rPr>
        <w:t xml:space="preserve">tab&lt;DocType&gt;</w:t>
      </w:r>
      <w:r>
        <w:t xml:space="preserve">, a list view at </w:t>
      </w:r>
      <w:r>
        <w:rPr>
          <w:rFonts w:ascii="Courier New" w:hAnsi="Courier New"/>
        </w:rPr>
        <w:t xml:space="preserve">/app/&lt;name&gt;</w:t>
      </w:r>
      <w:r>
        <w:t xml:space="preserve">, a form view, and an ORM. Metadata is itself stored as DocType data, so it can change at runtime without a deploy.</w:t>
      </w:r>
    </w:p>
    <w:p>
      <w:r>
        <w:rPr>
          <w:b/>
        </w:rPr>
        <w:t xml:space="preserve">Layers, from the repo and docs:</w:t>
      </w:r>
    </w:p>
    <w:p>
      <w:pPr>
        <w:pStyle w:val="ListParagraph"/>
        <w:numPr>
          <w:ilvl w:val="0"/>
          <w:numId w:val="3"/>
        </w:numPr>
      </w:pPr>
      <w:r>
        <w:rPr>
          <w:b/>
        </w:rPr>
        <w:t xml:space="preserve">Bench and sites.</w:t>
      </w:r>
      <w:r>
        <w:t xml:space="preserve"> A bench holds apps and sites. One site is one tenant with its own database. A bench starts its own web, Redis and Node processes.</w:t>
      </w:r>
    </w:p>
    <w:p>
      <w:pPr>
        <w:pStyle w:val="ListParagraph"/>
        <w:numPr>
          <w:ilvl w:val="0"/>
          <w:numId w:val="3"/>
        </w:numPr>
      </w:pPr>
      <w:r>
        <w:rPr>
          <w:b/>
        </w:rPr>
        <w:t xml:space="preserve">Storage.</w:t>
      </w:r>
      <w:r>
        <w:t xml:space="preserve"> MariaDB by default; Postgres is supported. Redis serves cache and queues.</w:t>
      </w:r>
    </w:p>
    <w:p>
      <w:pPr>
        <w:pStyle w:val="ListParagraph"/>
        <w:numPr>
          <w:ilvl w:val="0"/>
          <w:numId w:val="3"/>
        </w:numPr>
      </w:pPr>
      <w:r>
        <w:rPr>
          <w:b/>
        </w:rPr>
        <w:t xml:space="preserve">Background work.</w:t>
      </w:r>
      <w:r>
        <w:t xml:space="preserve"> Jobs run on RQ (pinned </w:t>
      </w:r>
      <w:r>
        <w:rPr>
          <w:rFonts w:ascii="Courier New" w:hAnsi="Courier New"/>
        </w:rPr>
        <w:t xml:space="preserve">rq==2.6.1</w:t>
      </w:r>
      <w:r>
        <w:t xml:space="preserve">) with a scheduler for cron-style tasks. Realtime updates use a Python Socket.IO server on ASGI.</w:t>
      </w:r>
    </w:p>
    <w:p>
      <w:pPr>
        <w:pStyle w:val="ListParagraph"/>
        <w:numPr>
          <w:ilvl w:val="0"/>
          <w:numId w:val="3"/>
        </w:numPr>
      </w:pPr>
      <w:r>
        <w:rPr>
          <w:b/>
        </w:rPr>
        <w:t xml:space="preserve">Controllers and hooks.</w:t>
      </w:r>
      <w:r>
        <w:t xml:space="preserve"> Each DocType has a Python controller (</w:t>
      </w:r>
      <w:r>
        <w:rPr>
          <w:rFonts w:ascii="Courier New" w:hAnsi="Courier New"/>
        </w:rPr>
        <w:t xml:space="preserve">validate</w:t>
      </w:r>
      <w:r>
        <w:t xml:space="preserve">, </w:t>
      </w:r>
      <w:r>
        <w:rPr>
          <w:rFonts w:ascii="Courier New" w:hAnsi="Courier New"/>
        </w:rPr>
        <w:t xml:space="preserve">on_submit</w:t>
      </w:r>
      <w:r>
        <w:t xml:space="preserve">, and so on). Apps extend others through </w:t>
      </w:r>
      <w:r>
        <w:rPr>
          <w:rFonts w:ascii="Courier New" w:hAnsi="Courier New"/>
        </w:rPr>
        <w:t xml:space="preserve">hooks.py</w:t>
      </w:r>
      <w:r>
        <w:t xml:space="preserve"> </w:t>
      </w:r>
      <w:r>
        <w:rPr>
          <w:rFonts w:ascii="Courier New" w:hAnsi="Courier New"/>
        </w:rPr>
        <w:t xml:space="preserve">doc_events</w:t>
      </w:r>
      <w:r>
        <w:t xml:space="preserve">; ERPNext uses one wildcard </w:t>
      </w:r>
      <w:r>
        <w:rPr>
          <w:rFonts w:ascii="Courier New" w:hAnsi="Courier New"/>
        </w:rPr>
        <w:t xml:space="preserve">*</w:t>
      </w:r>
      <w:r>
        <w:t xml:space="preserve"> validate hook for SLAs and company restrictions.</w:t>
      </w:r>
    </w:p>
    <w:p>
      <w:pPr>
        <w:pStyle w:val="ListParagraph"/>
        <w:numPr>
          <w:ilvl w:val="0"/>
          <w:numId w:val="3"/>
        </w:numPr>
      </w:pPr>
      <w:r>
        <w:rPr>
          <w:b/>
        </w:rPr>
        <w:t xml:space="preserve">Document states.</w:t>
      </w:r>
      <w:r>
        <w:t xml:space="preserve"> Submittable DocTypes move from draft to submitted to cancelled, which is what makes ledgers immutable. Of ERPNext's 534 DocTypes, 84 are submittable; HRMS has 53.</w:t>
      </w:r>
    </w:p>
    <w:p>
      <w:pPr>
        <w:pStyle w:val="ListParagraph"/>
        <w:numPr>
          <w:ilvl w:val="0"/>
          <w:numId w:val="3"/>
        </w:numPr>
      </w:pPr>
      <w:r>
        <w:rPr>
          <w:b/>
        </w:rPr>
        <w:t xml:space="preserve">Permissions.</w:t>
      </w:r>
      <w:r>
        <w:t xml:space="preserve"> Role permissions per DocType, per-user restrictions, and field-level permission levels.</w:t>
      </w:r>
    </w:p>
    <w:p>
      <w:pPr>
        <w:pStyle w:val="ListParagraph"/>
        <w:numPr>
          <w:ilvl w:val="0"/>
          <w:numId w:val="3"/>
        </w:numPr>
      </w:pPr>
      <w:r>
        <w:rPr>
          <w:b/>
        </w:rPr>
        <w:t xml:space="preserve">Extensibility.</w:t>
      </w:r>
      <w:r>
        <w:t xml:space="preserve"> Custom fields, client and server scripts (sandboxed with RestrictedPython), workflows, print formats, and a built-in </w:t>
      </w:r>
      <w:r>
        <w:rPr>
          <w:rFonts w:ascii="Courier New" w:hAnsi="Courier New"/>
        </w:rPr>
        <w:t xml:space="preserve">mcp</w:t>
      </w:r>
      <w:r>
        <w:t xml:space="preserve"> package for exposing documents to AI agents.</w:t>
      </w:r>
    </w:p>
    <w:p>
      <w:r>
        <w:rPr>
          <w:b/>
        </w:rPr>
        <w:t xml:space="preserve">Cost of that flexibility.</w:t>
      </w:r>
      <w:r>
        <w:t xml:space="preserve"> The core is large: </w:t>
      </w:r>
      <w:r>
        <w:rPr>
          <w:rFonts w:ascii="Courier New" w:hAnsi="Courier New"/>
        </w:rPr>
        <w:t xml:space="preserve">document.py</w:t>
      </w:r>
      <w:r>
        <w:t xml:space="preserve"> alone is 2,839 lines and the framework has about 181,000 lines of Python excluding tests (my count, approximate). Frappe's own README calls it "not for the light hearted".</w:t>
      </w:r>
    </w:p>
    <w:p>
      <w:pPr>
        <w:pStyle w:val="Heading2"/>
      </w:pPr>
      <w:r>
        <w:t xml:space="preserve">Module maps</w:t>
      </w:r>
    </w:p>
    <w:p>
      <w:r>
        <w:t xml:space="preserve">Accounts, stock and manufacturing hold 318 of ERPNext's 534 DocTypes, so they carry most of the complexity. HRMS is two modules, and CRM is the smallest app.</w:t>
      </w:r>
    </w:p>
    <w:p>
      <w:r>
        <w:t xml:space="preserve">Counts come from parsing every DocType JSON in the cloned repositories. "Child" tables are row-level DocTypes such as invoice line items, so they are not independent entities.</w:t>
      </w:r>
    </w:p>
    <w:tbl>
      <w:tblPr>
        <w:tblW w:w="0" w:type="auto"/>
        <w:tblLook w:val="04A0" w:firstRow="1" w:lastRow="0" w:firstColumn="1" w:lastColumn="0" w:noHBand="0" w:noVBand="1"/>
      </w:tblPr>
      <w:tblGrid>
        <w:gridCol w:w="2340"/>
        <w:gridCol w:w="2340"/>
        <w:gridCol w:w="2340"/>
        <w:gridCol w:w="2340"/>
      </w:tblGrid>
      <w:tr>
        <w:trPr>
          <w:tblHeader/>
        </w:trPr>
        <w:tc>
          <w:tcPr>
            <w:tcW w:w="2340" w:type="dxa"/>
          </w:tcPr>
          <w:p>
            <w:r>
              <w:t xml:space="preserve">App</w:t>
            </w:r>
          </w:p>
        </w:tc>
        <w:tc>
          <w:tcPr>
            <w:tcW w:w="2340" w:type="dxa"/>
          </w:tcPr>
          <w:p>
            <w:r>
              <w:t xml:space="preserve">Module</w:t>
            </w:r>
          </w:p>
        </w:tc>
        <w:tc>
          <w:tcPr>
            <w:tcW w:w="2340" w:type="dxa"/>
          </w:tcPr>
          <w:p>
            <w:r>
              <w:t xml:space="preserve">DocTypes (child)</w:t>
            </w:r>
          </w:p>
        </w:tc>
        <w:tc>
          <w:tcPr>
            <w:tcW w:w="2340" w:type="dxa"/>
          </w:tcPr>
          <w:p>
            <w:r>
              <w:t xml:space="preserve">Core entities</w:t>
            </w:r>
          </w:p>
        </w:tc>
      </w:tr>
      <w:tr>
        <w:tc>
          <w:tcPr>
            <w:tcW w:w="2340" w:type="dxa"/>
          </w:tcPr>
          <w:p>
            <w:r>
              <w:t xml:space="preserve">ERPNext</w:t>
            </w:r>
          </w:p>
        </w:tc>
        <w:tc>
          <w:tcPr>
            <w:tcW w:w="2340" w:type="dxa"/>
          </w:tcPr>
          <w:p>
            <w:r>
              <w:t xml:space="preserve">Accounts</w:t>
            </w:r>
          </w:p>
        </w:tc>
        <w:tc>
          <w:tcPr>
            <w:tcW w:w="2340" w:type="dxa"/>
          </w:tcPr>
          <w:p>
            <w:r>
              <w:t xml:space="preserve">191 (99)</w:t>
            </w:r>
          </w:p>
        </w:tc>
        <w:tc>
          <w:tcPr>
            <w:tcW w:w="2340" w:type="dxa"/>
          </w:tcPr>
          <w:p>
            <w:r>
              <w:t xml:space="preserve">Account, GL Entry, Journal Entry, Sales Invoice, Purchase Invoice, Payment Entry, Cost Center, Fiscal Year, Budget, Bank Transaction</w:t>
            </w:r>
          </w:p>
        </w:tc>
      </w:tr>
      <w:tr>
        <w:tc>
          <w:tcPr>
            <w:tcW w:w="2340" w:type="dxa"/>
          </w:tcPr>
          <w:p>
            <w:r>
              <w:t xml:space="preserve">ERPNext</w:t>
            </w:r>
          </w:p>
        </w:tc>
        <w:tc>
          <w:tcPr>
            <w:tcW w:w="2340" w:type="dxa"/>
          </w:tcPr>
          <w:p>
            <w:r>
              <w:t xml:space="preserve">Stock</w:t>
            </w:r>
          </w:p>
        </w:tc>
        <w:tc>
          <w:tcPr>
            <w:tcW w:w="2340" w:type="dxa"/>
          </w:tcPr>
          <w:p>
            <w:r>
              <w:t xml:space="preserve">78 (33)</w:t>
            </w:r>
          </w:p>
        </w:tc>
        <w:tc>
          <w:tcPr>
            <w:tcW w:w="2340" w:type="dxa"/>
          </w:tcPr>
          <w:p>
            <w:r>
              <w:t xml:space="preserve">Item, Warehouse, Bin, Stock Entry, Delivery Note, Purchase Receipt, Serial and Batch Bundle, Price List</w:t>
            </w:r>
          </w:p>
        </w:tc>
      </w:tr>
      <w:tr>
        <w:tc>
          <w:tcPr>
            <w:tcW w:w="2340" w:type="dxa"/>
          </w:tcPr>
          <w:p>
            <w:r>
              <w:t xml:space="preserve">ERPNext</w:t>
            </w:r>
          </w:p>
        </w:tc>
        <w:tc>
          <w:tcPr>
            <w:tcW w:w="2340" w:type="dxa"/>
          </w:tcPr>
          <w:p>
            <w:r>
              <w:t xml:space="preserve">Manufacturing</w:t>
            </w:r>
          </w:p>
        </w:tc>
        <w:tc>
          <w:tcPr>
            <w:tcW w:w="2340" w:type="dxa"/>
          </w:tcPr>
          <w:p>
            <w:r>
              <w:t xml:space="preserve">49 (30)</w:t>
            </w:r>
          </w:p>
        </w:tc>
        <w:tc>
          <w:tcPr>
            <w:tcW w:w="2340" w:type="dxa"/>
          </w:tcPr>
          <w:p>
            <w:r>
              <w:t xml:space="preserve">BOM, Work Order, Job Card, Production Plan, Workstation</w:t>
            </w:r>
          </w:p>
        </w:tc>
      </w:tr>
      <w:tr>
        <w:tc>
          <w:tcPr>
            <w:tcW w:w="2340" w:type="dxa"/>
          </w:tcPr>
          <w:p>
            <w:r>
              <w:t xml:space="preserve">ERPNext</w:t>
            </w:r>
          </w:p>
        </w:tc>
        <w:tc>
          <w:tcPr>
            <w:tcW w:w="2340" w:type="dxa"/>
          </w:tcPr>
          <w:p>
            <w:r>
              <w:t xml:space="preserve">Setup</w:t>
            </w:r>
          </w:p>
        </w:tc>
        <w:tc>
          <w:tcPr>
            <w:tcW w:w="2340" w:type="dxa"/>
          </w:tcPr>
          <w:p>
            <w:r>
              <w:t xml:space="preserve">40 (12)</w:t>
            </w:r>
          </w:p>
        </w:tc>
        <w:tc>
          <w:tcPr>
            <w:tcW w:w="2340" w:type="dxa"/>
          </w:tcPr>
          <w:p>
            <w:r>
              <w:t xml:space="preserve">Company, Employee, Item Group, Holiday List, UOM</w:t>
            </w:r>
          </w:p>
        </w:tc>
      </w:tr>
      <w:tr>
        <w:tc>
          <w:tcPr>
            <w:tcW w:w="2340" w:type="dxa"/>
          </w:tcPr>
          <w:p>
            <w:r>
              <w:t xml:space="preserve">ERPNext</w:t>
            </w:r>
          </w:p>
        </w:tc>
        <w:tc>
          <w:tcPr>
            <w:tcW w:w="2340" w:type="dxa"/>
          </w:tcPr>
          <w:p>
            <w:r>
              <w:t xml:space="preserve">CRM (legacy)</w:t>
            </w:r>
          </w:p>
        </w:tc>
        <w:tc>
          <w:tcPr>
            <w:tcW w:w="2340" w:type="dxa"/>
          </w:tcPr>
          <w:p>
            <w:r>
              <w:t xml:space="preserve">28 (13)</w:t>
            </w:r>
          </w:p>
        </w:tc>
        <w:tc>
          <w:tcPr>
            <w:tcW w:w="2340" w:type="dxa"/>
          </w:tcPr>
          <w:p>
            <w:r>
              <w:t xml:space="preserve">Lead, Opportunity, Prospect, Campaign</w:t>
            </w:r>
          </w:p>
        </w:tc>
      </w:tr>
      <w:tr>
        <w:tc>
          <w:tcPr>
            <w:tcW w:w="2340" w:type="dxa"/>
          </w:tcPr>
          <w:p>
            <w:r>
              <w:t xml:space="preserve">ERPNext</w:t>
            </w:r>
          </w:p>
        </w:tc>
        <w:tc>
          <w:tcPr>
            <w:tcW w:w="2340" w:type="dxa"/>
          </w:tcPr>
          <w:p>
            <w:r>
              <w:t xml:space="preserve">Assets</w:t>
            </w:r>
          </w:p>
        </w:tc>
        <w:tc>
          <w:tcPr>
            <w:tcW w:w="2340" w:type="dxa"/>
          </w:tcPr>
          <w:p>
            <w:r>
              <w:t xml:space="preserve">26 (12)</w:t>
            </w:r>
          </w:p>
        </w:tc>
        <w:tc>
          <w:tcPr>
            <w:tcW w:w="2340" w:type="dxa"/>
          </w:tcPr>
          <w:p>
            <w:r>
              <w:t xml:space="preserve">Asset, Asset Category, Depreciation Schedule</w:t>
            </w:r>
          </w:p>
        </w:tc>
      </w:tr>
      <w:tr>
        <w:tc>
          <w:tcPr>
            <w:tcW w:w="2340" w:type="dxa"/>
          </w:tcPr>
          <w:p>
            <w:r>
              <w:t xml:space="preserve">ERPNext</w:t>
            </w:r>
          </w:p>
        </w:tc>
        <w:tc>
          <w:tcPr>
            <w:tcW w:w="2340" w:type="dxa"/>
          </w:tcPr>
          <w:p>
            <w:r>
              <w:t xml:space="preserve">Selling</w:t>
            </w:r>
          </w:p>
        </w:tc>
        <w:tc>
          <w:tcPr>
            <w:tcW w:w="2340" w:type="dxa"/>
          </w:tcPr>
          <w:p>
            <w:r>
              <w:t xml:space="preserve">20 (8)</w:t>
            </w:r>
          </w:p>
        </w:tc>
        <w:tc>
          <w:tcPr>
            <w:tcW w:w="2340" w:type="dxa"/>
          </w:tcPr>
          <w:p>
            <w:r>
              <w:t xml:space="preserve">Customer, Quotation, Sales Order, Product Bundle</w:t>
            </w:r>
          </w:p>
        </w:tc>
      </w:tr>
      <w:tr>
        <w:tc>
          <w:tcPr>
            <w:tcW w:w="2340" w:type="dxa"/>
          </w:tcPr>
          <w:p>
            <w:r>
              <w:t xml:space="preserve">ERPNext</w:t>
            </w:r>
          </w:p>
        </w:tc>
        <w:tc>
          <w:tcPr>
            <w:tcW w:w="2340" w:type="dxa"/>
          </w:tcPr>
          <w:p>
            <w:r>
              <w:t xml:space="preserve">Buying</w:t>
            </w:r>
          </w:p>
        </w:tc>
        <w:tc>
          <w:tcPr>
            <w:tcW w:w="2340" w:type="dxa"/>
          </w:tcPr>
          <w:p>
            <w:r>
              <w:t xml:space="preserve">19 (9)</w:t>
            </w:r>
          </w:p>
        </w:tc>
        <w:tc>
          <w:tcPr>
            <w:tcW w:w="2340" w:type="dxa"/>
          </w:tcPr>
          <w:p>
            <w:r>
              <w:t xml:space="preserve">Supplier, Request for Quotation, Purchase Order</w:t>
            </w:r>
          </w:p>
        </w:tc>
      </w:tr>
      <w:tr>
        <w:tc>
          <w:tcPr>
            <w:tcW w:w="2340" w:type="dxa"/>
          </w:tcPr>
          <w:p>
            <w:r>
              <w:t xml:space="preserve">ERPNext</w:t>
            </w:r>
          </w:p>
        </w:tc>
        <w:tc>
          <w:tcPr>
            <w:tcW w:w="2340" w:type="dxa"/>
          </w:tcPr>
          <w:p>
            <w:r>
              <w:t xml:space="preserve">Projects, Support, Quality, Subcontracting, other</w:t>
            </w:r>
          </w:p>
        </w:tc>
        <w:tc>
          <w:tcPr>
            <w:tcW w:w="2340" w:type="dxa"/>
          </w:tcPr>
          <w:p>
            <w:r>
              <w:t xml:space="preserve">83</w:t>
            </w:r>
          </w:p>
        </w:tc>
        <w:tc>
          <w:tcPr>
            <w:tcW w:w="2340" w:type="dxa"/>
          </w:tcPr>
          <w:p>
            <w:r>
              <w:t xml:space="preserve">Project, Task, Timesheet, Issue, Quality Inspection, Subcontracting Order</w:t>
            </w:r>
          </w:p>
        </w:tc>
      </w:tr>
      <w:tr>
        <w:tc>
          <w:tcPr>
            <w:tcW w:w="2340" w:type="dxa"/>
          </w:tcPr>
          <w:p>
            <w:r>
              <w:t xml:space="preserve">HRMS</w:t>
            </w:r>
          </w:p>
        </w:tc>
        <w:tc>
          <w:tcPr>
            <w:tcW w:w="2340" w:type="dxa"/>
          </w:tcPr>
          <w:p>
            <w:r>
              <w:t xml:space="preserve">HR</w:t>
            </w:r>
          </w:p>
        </w:tc>
        <w:tc>
          <w:tcPr>
            <w:tcW w:w="2340" w:type="dxa"/>
          </w:tcPr>
          <w:p>
            <w:r>
              <w:t xml:space="preserve">115 (36)</w:t>
            </w:r>
          </w:p>
        </w:tc>
        <w:tc>
          <w:tcPr>
            <w:tcW w:w="2340" w:type="dxa"/>
          </w:tcPr>
          <w:p>
            <w:r>
              <w:t xml:space="preserve">Attendance, Leave Application, Leave Allocation, Shift Assignment, Appraisal, Job Opening, Job Offer, Expense Claim, Employee Onboarding</w:t>
            </w:r>
          </w:p>
        </w:tc>
      </w:tr>
      <w:tr>
        <w:tc>
          <w:tcPr>
            <w:tcW w:w="2340" w:type="dxa"/>
          </w:tcPr>
          <w:p>
            <w:r>
              <w:t xml:space="preserve">HRMS</w:t>
            </w:r>
          </w:p>
        </w:tc>
        <w:tc>
          <w:tcPr>
            <w:tcW w:w="2340" w:type="dxa"/>
          </w:tcPr>
          <w:p>
            <w:r>
              <w:t xml:space="preserve">Payroll</w:t>
            </w:r>
          </w:p>
        </w:tc>
        <w:tc>
          <w:tcPr>
            <w:tcW w:w="2340" w:type="dxa"/>
          </w:tcPr>
          <w:p>
            <w:r>
              <w:t xml:space="preserve">43 (18)</w:t>
            </w:r>
          </w:p>
        </w:tc>
        <w:tc>
          <w:tcPr>
            <w:tcW w:w="2340" w:type="dxa"/>
          </w:tcPr>
          <w:p>
            <w:r>
              <w:t xml:space="preserve">Salary Structure, Salary Component, Salary Slip, Payroll Entry, Income Tax Slab, Gratuity</w:t>
            </w:r>
          </w:p>
        </w:tc>
      </w:tr>
      <w:tr>
        <w:tc>
          <w:tcPr>
            <w:tcW w:w="2340" w:type="dxa"/>
          </w:tcPr>
          <w:p>
            <w:r>
              <w:t xml:space="preserve">CRM</w:t>
            </w:r>
          </w:p>
        </w:tc>
        <w:tc>
          <w:tcPr>
            <w:tcW w:w="2340" w:type="dxa"/>
          </w:tcPr>
          <w:p>
            <w:r>
              <w:t xml:space="preserve">FCRM (core)</w:t>
            </w:r>
          </w:p>
        </w:tc>
        <w:tc>
          <w:tcPr>
            <w:tcW w:w="2340" w:type="dxa"/>
          </w:tcPr>
          <w:p>
            <w:r>
              <w:t xml:space="preserve">39 (10)</w:t>
            </w:r>
          </w:p>
        </w:tc>
        <w:tc>
          <w:tcPr>
            <w:tcW w:w="2340" w:type="dxa"/>
          </w:tcPr>
          <w:p>
            <w:r>
              <w:t xml:space="preserve">Lead, Deal, Organization, Contacts, Task, Note, Call Log, SLA, Territory</w:t>
            </w:r>
          </w:p>
        </w:tc>
      </w:tr>
      <w:tr>
        <w:tc>
          <w:tcPr>
            <w:tcW w:w="2340" w:type="dxa"/>
          </w:tcPr>
          <w:p>
            <w:r>
              <w:t xml:space="preserve">CRM</w:t>
            </w:r>
          </w:p>
        </w:tc>
        <w:tc>
          <w:tcPr>
            <w:tcW w:w="2340" w:type="dxa"/>
          </w:tcPr>
          <w:p>
            <w:r>
              <w:t xml:space="preserve">Domain Enrichment</w:t>
            </w:r>
          </w:p>
        </w:tc>
        <w:tc>
          <w:tcPr>
            <w:tcW w:w="2340" w:type="dxa"/>
          </w:tcPr>
          <w:p>
            <w:r>
              <w:t xml:space="preserve">9 (5)</w:t>
            </w:r>
          </w:p>
        </w:tc>
        <w:tc>
          <w:tcPr>
            <w:tcW w:w="2340" w:type="dxa"/>
          </w:tcPr>
          <w:p>
            <w:r>
              <w:t xml:space="preserve">Enrichment rules and runs for company data</w:t>
            </w:r>
          </w:p>
        </w:tc>
      </w:tr>
      <w:tr>
        <w:tc>
          <w:tcPr>
            <w:tcW w:w="2340" w:type="dxa"/>
          </w:tcPr>
          <w:p>
            <w:r>
              <w:t xml:space="preserve">CRM</w:t>
            </w:r>
          </w:p>
        </w:tc>
        <w:tc>
          <w:tcPr>
            <w:tcW w:w="2340" w:type="dxa"/>
          </w:tcPr>
          <w:p>
            <w:r>
              <w:t xml:space="preserve">Lead Syncing</w:t>
            </w:r>
          </w:p>
        </w:tc>
        <w:tc>
          <w:tcPr>
            <w:tcW w:w="2340" w:type="dxa"/>
          </w:tcPr>
          <w:p>
            <w:r>
              <w:t xml:space="preserve">5 (1)</w:t>
            </w:r>
          </w:p>
        </w:tc>
        <w:tc>
          <w:tcPr>
            <w:tcW w:w="2340" w:type="dxa"/>
          </w:tcPr>
          <w:p>
            <w:r>
              <w:t xml:space="preserve">Facebook lead form and page sync</w:t>
            </w:r>
          </w:p>
        </w:tc>
      </w:tr>
    </w:tbl>
    <w:p>
      <w:r>
        <w:t xml:space="preserve">Three design facts matter for your own model:</w:t>
      </w:r>
    </w:p>
    <w:p>
      <w:pPr>
        <w:pStyle w:val="ListParagraph"/>
        <w:numPr>
          <w:ilvl w:val="0"/>
          <w:numId w:val="4"/>
        </w:numPr>
      </w:pPr>
      <w:r>
        <w:rPr>
          <w:b/>
        </w:rPr>
        <w:t xml:space="preserve">Ledger documents drive correctness.</w:t>
      </w:r>
      <w:r>
        <w:t xml:space="preserve"> In ERPNext, Sales Invoice (235 fields), Purchase Invoice (199) and Sales Order (176) post to the General Ledger and Stock Ledger on submit. </w:t>
      </w:r>
      <w:r>
        <w:rPr>
          <w:rFonts w:ascii="Courier New" w:hAnsi="Courier New"/>
        </w:rPr>
        <w:t xml:space="preserve">general_ledger.py</w:t>
      </w:r>
      <w:r>
        <w:t xml:space="preserve"> is 739 lines and </w:t>
      </w:r>
      <w:r>
        <w:rPr>
          <w:rFonts w:ascii="Courier New" w:hAnsi="Courier New"/>
        </w:rPr>
        <w:t xml:space="preserve">stock_ledger.py</w:t>
      </w:r>
      <w:r>
        <w:t xml:space="preserve"> is 3,154; the shared </w:t>
      </w:r>
      <w:r>
        <w:rPr>
          <w:rFonts w:ascii="Courier New" w:hAnsi="Courier New"/>
        </w:rPr>
        <w:t xml:space="preserve">accounts_controller.py</w:t>
      </w:r>
      <w:r>
        <w:t xml:space="preserve"> is 2,144.</w:t>
      </w:r>
    </w:p>
    <w:p>
      <w:pPr>
        <w:pStyle w:val="ListParagraph"/>
        <w:numPr>
          <w:ilvl w:val="0"/>
          <w:numId w:val="4"/>
        </w:numPr>
      </w:pPr>
      <w:r>
        <w:rPr>
          <w:b/>
        </w:rPr>
        <w:t xml:space="preserve">Employee is shared.</w:t>
      </w:r>
      <w:r>
        <w:t xml:space="preserve"> Employee lives in ERPNext's Setup module. HRMS imports from it and layers leave, attendance and payroll on top.</w:t>
      </w:r>
    </w:p>
    <w:p>
      <w:pPr>
        <w:pStyle w:val="ListParagraph"/>
        <w:numPr>
          <w:ilvl w:val="0"/>
          <w:numId w:val="4"/>
        </w:numPr>
      </w:pPr>
      <w:r>
        <w:rPr>
          <w:b/>
        </w:rPr>
        <w:t xml:space="preserve">The new CRM is deliberately light.</w:t>
      </w:r>
      <w:r>
        <w:t xml:space="preserve"> A Lead has 68 fields and a Deal 75, neither is submittable, and there is no ledger. Its ERPNext link is an optional integration package (mirror sync, item sync, user permissions, document sharing).</w:t>
      </w:r>
    </w:p>
    <w:p>
      <w:pPr>
        <w:pStyle w:val="Heading2"/>
      </w:pPr>
      <w:r>
        <w:t xml:space="preserve">How CRM, ERP and HR connect</w:t>
      </w:r>
    </w:p>
    <w:p>
      <w:r>
        <w:t xml:space="preserve">ERPNext is the hub: it owns the company, the ledgers and the employee record. HRMS and CRM attach to it at a small number of points, which is the part your own design should copy.</w:t>
      </w:r>
    </w:p>
    <w:p>
      <w:r>
        <w:rPr>
          <w:b/>
        </w:rPr>
        <w:t xml:space="preserve">Integration points found in the code and docs:</w:t>
      </w:r>
    </w:p>
    <w:p>
      <w:pPr>
        <w:pStyle w:val="ListParagraph"/>
        <w:numPr>
          <w:ilvl w:val="0"/>
          <w:numId w:val="5"/>
        </w:numPr>
      </w:pPr>
      <w:r>
        <w:rPr>
          <w:b/>
        </w:rPr>
        <w:t xml:space="preserve">HRMS requires ERPNext.</w:t>
      </w:r>
      <w:r>
        <w:t xml:space="preserve"> </w:t>
      </w:r>
      <w:r>
        <w:rPr>
          <w:rFonts w:ascii="Courier New" w:hAnsi="Courier New"/>
        </w:rPr>
        <w:t xml:space="preserve">hrms/hooks.py</w:t>
      </w:r>
      <w:r>
        <w:t xml:space="preserve"> sets </w:t>
      </w:r>
      <w:r>
        <w:rPr>
          <w:rFonts w:ascii="Courier New" w:hAnsi="Courier New"/>
        </w:rPr>
        <w:t xml:space="preserve">required_apps = ["frappe/erpnext"]</w:t>
      </w:r>
      <w:r>
        <w:t xml:space="preserve">, and HRMS code imports ERPNext's employee, accounts and general-ledger modules. It also adds client scripts to ERPNext's Employee, Company, Timesheet, Payment Entry and Journal Entry screens.</w:t>
      </w:r>
    </w:p>
    <w:p>
      <w:pPr>
        <w:pStyle w:val="ListParagraph"/>
        <w:numPr>
          <w:ilvl w:val="0"/>
          <w:numId w:val="5"/>
        </w:numPr>
      </w:pPr>
      <w:r>
        <w:rPr>
          <w:b/>
        </w:rPr>
        <w:t xml:space="preserve">HR money lands in the ledger.</w:t>
      </w:r>
      <w:r>
        <w:t xml:space="preserve"> Per the </w:t>
      </w:r>
      <w:hyperlink r:id="rId7" w:history="1">
        <w:r>
          <w:t xml:space="preserve">HR docs</w:t>
        </w:r>
      </w:hyperlink>
      <w:r>
        <w:t xml:space="preserve">, expense claims and advances integrate with ERPNext accounting, and a payroll entry can create a bank entry.</w:t>
      </w:r>
    </w:p>
    <w:p>
      <w:pPr>
        <w:pStyle w:val="ListParagraph"/>
        <w:numPr>
          <w:ilvl w:val="0"/>
          <w:numId w:val="5"/>
        </w:numPr>
      </w:pPr>
      <w:r>
        <w:rPr>
          <w:b/>
        </w:rPr>
        <w:t xml:space="preserve">Time feeds pay.</w:t>
      </w:r>
      <w:r>
        <w:t xml:space="preserve"> ERPNext Timesheets (Projects module) can drive salary slips and project profitability reports.</w:t>
      </w:r>
    </w:p>
    <w:p>
      <w:pPr>
        <w:pStyle w:val="ListParagraph"/>
        <w:numPr>
          <w:ilvl w:val="0"/>
          <w:numId w:val="5"/>
        </w:numPr>
      </w:pPr>
      <w:r>
        <w:rPr>
          <w:b/>
        </w:rPr>
        <w:t xml:space="preserve">CRM to ERP is optional.</w:t>
      </w:r>
      <w:r>
        <w:t xml:space="preserve"> The CRM app ships an </w:t>
      </w:r>
      <w:r>
        <w:rPr>
          <w:rFonts w:ascii="Courier New" w:hAnsi="Courier New"/>
        </w:rPr>
        <w:t xml:space="preserve">integrations/erpnext</w:t>
      </w:r>
      <w:r>
        <w:t xml:space="preserve"> package (mirror sync, item sync, user permissions, document sharing) and its README lists ERPNext as the route to invoicing and accounting.</w:t>
      </w:r>
    </w:p>
    <w:p>
      <w:pPr>
        <w:pStyle w:val="ListParagraph"/>
        <w:numPr>
          <w:ilvl w:val="0"/>
          <w:numId w:val="5"/>
        </w:numPr>
      </w:pPr>
      <w:r>
        <w:rPr>
          <w:b/>
        </w:rPr>
        <w:t xml:space="preserve">CRM needs the WhatsApp app</w:t>
      </w:r>
      <w:r>
        <w:t xml:space="preserve">, declared in its </w:t>
      </w:r>
      <w:r>
        <w:rPr>
          <w:rFonts w:ascii="Courier New" w:hAnsi="Courier New"/>
        </w:rPr>
        <w:t xml:space="preserve">hooks.py</w:t>
      </w:r>
      <w:r>
        <w:t xml:space="preserve">, plus built-in Twilio and Exotel telephony settings.</w:t>
      </w:r>
    </w:p>
    <w:p>
      <w:pPr>
        <w:pStyle w:val="ListParagraph"/>
        <w:numPr>
          <w:ilvl w:val="0"/>
          <w:numId w:val="5"/>
        </w:numPr>
      </w:pPr>
      <w:r>
        <w:rPr>
          <w:b/>
        </w:rPr>
        <w:t xml:space="preserve">ERPNext has its own older CRM</w:t>
      </w:r>
      <w:r>
        <w:t xml:space="preserve"> (28 DocTypes: Lead, Opportunity, Prospect, Campaign). The newer Frappe CRM is a separate, lighter app, so the two overlap.</w:t>
      </w:r>
    </w:p>
    <w:p>
      <w:r>
        <w:t xml:space="preserve">The flow a customer actually experiences runs lead to cash, with HR cost joining at the ledger:</w:t>
      </w:r>
    </w:p>
    <w:p>
      <w:pPr>
        <w:pStyle w:val="ListParagraph"/>
        <w:numPr>
          <w:ilvl w:val="0"/>
          <w:numId w:val="6"/>
        </w:numPr>
      </w:pPr>
      <w:r>
        <w:t xml:space="preserve">Lead or deal is qualified in CRM.</w:t>
      </w:r>
    </w:p>
    <w:p>
      <w:pPr>
        <w:pStyle w:val="ListParagraph"/>
        <w:numPr>
          <w:ilvl w:val="0"/>
          <w:numId w:val="6"/>
        </w:numPr>
      </w:pPr>
      <w:r>
        <w:t xml:space="preserve">Quotation, sales order, delivery and invoice are created in ERPNext (the </w:t>
      </w:r>
      <w:hyperlink r:id="rId8" w:history="1">
        <w:r>
          <w:t xml:space="preserve">Selling</w:t>
        </w:r>
      </w:hyperlink>
      <w:r>
        <w:t xml:space="preserve"> cycle documents list the ledger impact of each step).</w:t>
      </w:r>
    </w:p>
    <w:p>
      <w:pPr>
        <w:pStyle w:val="ListParagraph"/>
        <w:numPr>
          <w:ilvl w:val="0"/>
          <w:numId w:val="6"/>
        </w:numPr>
      </w:pPr>
      <w:r>
        <w:t xml:space="preserve">Payment entry settles the invoice and posts to the General Ledger.</w:t>
      </w:r>
    </w:p>
    <w:p>
      <w:pPr>
        <w:pStyle w:val="ListParagraph"/>
        <w:numPr>
          <w:ilvl w:val="0"/>
          <w:numId w:val="6"/>
        </w:numPr>
      </w:pPr>
      <w:r>
        <w:t xml:space="preserve">Payroll and expense claims from HRMS post their costs to the same ledger.</w:t>
      </w:r>
    </w:p>
    <w:p>
      <w:pPr>
        <w:pStyle w:val="Heading2"/>
      </w:pPr>
      <w:r>
        <w:t xml:space="preserve">Build strategy: four ways to get a product</w:t>
      </w:r>
    </w:p>
    <w:p>
      <w:r>
        <w:t xml:space="preserve">Option C, a clean-room rebuild on your own stack, is the best fit for a commercial SaaS you want to own. Option B is the faster alternative if you accept Frappe's stack.</w:t>
      </w:r>
    </w:p>
    <w:tbl>
      <w:tblPr>
        <w:tblW w:w="0" w:type="auto"/>
        <w:tblLook w:val="04A0" w:firstRow="1" w:lastRow="0" w:firstColumn="1" w:lastColumn="0" w:noHBand="0" w:noVBand="1"/>
      </w:tblPr>
      <w:tblGrid>
        <w:gridCol w:w="2340"/>
        <w:gridCol w:w="2340"/>
        <w:gridCol w:w="2340"/>
        <w:gridCol w:w="2340"/>
      </w:tblGrid>
      <w:tr>
        <w:trPr>
          <w:tblHeader/>
        </w:trPr>
        <w:tc>
          <w:tcPr>
            <w:tcW w:w="2340" w:type="dxa"/>
          </w:tcPr>
          <w:p>
            <w:r>
              <w:t xml:space="preserve">Option</w:t>
            </w:r>
          </w:p>
        </w:tc>
        <w:tc>
          <w:tcPr>
            <w:tcW w:w="2340" w:type="dxa"/>
          </w:tcPr>
          <w:p>
            <w:r>
              <w:t xml:space="preserve">What you do</w:t>
            </w:r>
          </w:p>
        </w:tc>
        <w:tc>
          <w:tcPr>
            <w:tcW w:w="2340" w:type="dxa"/>
          </w:tcPr>
          <w:p>
            <w:r>
              <w:t xml:space="preserve">Gain</w:t>
            </w:r>
          </w:p>
        </w:tc>
        <w:tc>
          <w:tcPr>
            <w:tcW w:w="2340" w:type="dxa"/>
          </w:tcPr>
          <w:p>
            <w:r>
              <w:t xml:space="preserve">Cost or risk</w:t>
            </w:r>
          </w:p>
        </w:tc>
      </w:tr>
      <w:tr>
        <w:tc>
          <w:tcPr>
            <w:tcW w:w="2340" w:type="dxa"/>
          </w:tcPr>
          <w:p>
            <w:r>
              <w:t xml:space="preserve">A. Fork and rebrand</w:t>
            </w:r>
          </w:p>
        </w:tc>
        <w:tc>
          <w:tcPr>
            <w:tcW w:w="2340" w:type="dxa"/>
          </w:tcPr>
          <w:p>
            <w:r>
              <w:t xml:space="preserve">Host ERPNext, HRMS and CRM as-is under your name</w:t>
            </w:r>
          </w:p>
        </w:tc>
        <w:tc>
          <w:tcPr>
            <w:tcW w:w="2340" w:type="dxa"/>
          </w:tcPr>
          <w:p>
            <w:r>
              <w:t xml:space="preserve">Working product on day one</w:t>
            </w:r>
          </w:p>
        </w:tc>
        <w:tc>
          <w:tcPr>
            <w:tcW w:w="2340" w:type="dxa"/>
          </w:tcPr>
          <w:p>
            <w:r>
              <w:t xml:space="preserve">Trademark policy bars the names in your product, company or domain. GPL and AGPL copyleft follow your changes. You compete with Frappe Cloud on its own code.</w:t>
            </w:r>
          </w:p>
        </w:tc>
      </w:tr>
      <w:tr>
        <w:tc>
          <w:tcPr>
            <w:tcW w:w="2340" w:type="dxa"/>
          </w:tcPr>
          <w:p>
            <w:r>
              <w:t xml:space="preserve">B. Own apps on the MIT framework</w:t>
            </w:r>
          </w:p>
        </w:tc>
        <w:tc>
          <w:tcPr>
            <w:tcW w:w="2340" w:type="dxa"/>
          </w:tcPr>
          <w:p>
            <w:r>
              <w:t xml:space="preserve">Use Frappe Framework, write your own modules, never copy the three apps</w:t>
            </w:r>
          </w:p>
        </w:tc>
        <w:tc>
          <w:tcPr>
            <w:tcW w:w="2340" w:type="dxa"/>
          </w:tcPr>
          <w:p>
            <w:r>
              <w:t xml:space="preserve">Metadata engine, permissions, workflows, jobs and desk UI for free. Proprietary code stays yours.</w:t>
            </w:r>
          </w:p>
        </w:tc>
        <w:tc>
          <w:tcPr>
            <w:tcW w:w="2340" w:type="dxa"/>
          </w:tcPr>
          <w:p>
            <w:r>
              <w:t xml:space="preserve">You still re-implement ~750 DocTypes of domain logic. Locked to Frappe's stack, release cadence and Desk UI.</w:t>
            </w:r>
          </w:p>
        </w:tc>
      </w:tr>
      <w:tr>
        <w:tc>
          <w:tcPr>
            <w:tcW w:w="2340" w:type="dxa"/>
          </w:tcPr>
          <w:p>
            <w:r>
              <w:t xml:space="preserve">C. Clean-room rebuild (recommended)</w:t>
            </w:r>
          </w:p>
        </w:tc>
        <w:tc>
          <w:tcPr>
            <w:tcW w:w="2340" w:type="dxa"/>
          </w:tcPr>
          <w:p>
            <w:r>
              <w:t xml:space="preserve">Write your own engine and modules from a functional spec</w:t>
            </w:r>
          </w:p>
        </w:tc>
        <w:tc>
          <w:tcPr>
            <w:tcW w:w="2340" w:type="dxa"/>
          </w:tcPr>
          <w:p>
            <w:r>
              <w:t xml:space="preserve">Full control of stack, UX, tenancy model and IP. Easier to add AI-native features.</w:t>
            </w:r>
          </w:p>
        </w:tc>
        <w:tc>
          <w:tcPr>
            <w:tcW w:w="2340" w:type="dxa"/>
          </w:tcPr>
          <w:p>
            <w:r>
              <w:t xml:space="preserve">Slowest start. Needs a disciplined spec-versus-implementation split. Accounting and payroll correctness is entirely yours to prove.</w:t>
            </w:r>
          </w:p>
        </w:tc>
      </w:tr>
      <w:tr>
        <w:tc>
          <w:tcPr>
            <w:tcW w:w="2340" w:type="dxa"/>
          </w:tcPr>
          <w:p>
            <w:r>
              <w:t xml:space="preserve">D. Sell services, not software</w:t>
            </w:r>
          </w:p>
        </w:tc>
        <w:tc>
          <w:tcPr>
            <w:tcW w:w="2340" w:type="dxa"/>
          </w:tcPr>
          <w:p>
            <w:r>
              <w:t xml:space="preserve">Use the apps unmodified; sell hosting, setup and vertical add-ons</w:t>
            </w:r>
          </w:p>
        </w:tc>
        <w:tc>
          <w:tcPr>
            <w:tcW w:w="2340" w:type="dxa"/>
          </w:tcPr>
          <w:p>
            <w:r>
              <w:t xml:space="preserve">Lowest build effort, proven demand</w:t>
            </w:r>
          </w:p>
        </w:tc>
        <w:tc>
          <w:tcPr>
            <w:tcW w:w="2340" w:type="dxa"/>
          </w:tcPr>
          <w:p>
            <w:r>
              <w:t xml:space="preserve">Not a product you own. Add-ons that link the apps inherit their licences.</w:t>
            </w:r>
          </w:p>
        </w:tc>
      </w:tr>
    </w:tbl>
    <w:p>
      <w:r>
        <w:rPr>
          <w:b/>
        </w:rPr>
        <w:t xml:space="preserve">Why not copy the whole thing.</w:t>
      </w:r>
      <w:r>
        <w:t xml:space="preserve"> Frappe spent about two decades on this; the three apps plus framework are roughly 520,000 lines of non-test Python and 430,000 lines of frontend code by my count. A team cannot out-feature that, so the product must win on a narrower slice.</w:t>
      </w:r>
    </w:p>
    <w:p>
      <w:r>
        <w:rPr>
          <w:b/>
        </w:rPr>
        <w:t xml:space="preserve">Clean-room discipline for option C:</w:t>
      </w:r>
    </w:p>
    <w:p>
      <w:pPr>
        <w:pStyle w:val="ListParagraph"/>
        <w:numPr>
          <w:ilvl w:val="0"/>
          <w:numId w:val="7"/>
        </w:numPr>
      </w:pPr>
      <w:r>
        <w:t xml:space="preserve">A </w:t>
      </w:r>
      <w:r>
        <w:rPr>
          <w:b/>
        </w:rPr>
        <w:t xml:space="preserve">spec team</w:t>
      </w:r>
      <w:r>
        <w:t xml:space="preserve"> reads Frappe's docs, runs the demos and writes behaviour specs: inputs, outputs, state transitions, accounting entries. They never paste code.</w:t>
      </w:r>
    </w:p>
    <w:p>
      <w:pPr>
        <w:pStyle w:val="ListParagraph"/>
        <w:numPr>
          <w:ilvl w:val="0"/>
          <w:numId w:val="7"/>
        </w:numPr>
      </w:pPr>
      <w:r>
        <w:t xml:space="preserve">An </w:t>
      </w:r>
      <w:r>
        <w:rPr>
          <w:b/>
        </w:rPr>
        <w:t xml:space="preserve">implementation team</w:t>
      </w:r>
      <w:r>
        <w:t xml:space="preserve"> works only from those specs and public standards (accounting rules, labour law, tax rules).</w:t>
      </w:r>
    </w:p>
    <w:p>
      <w:pPr>
        <w:pStyle w:val="ListParagraph"/>
        <w:numPr>
          <w:ilvl w:val="0"/>
          <w:numId w:val="7"/>
        </w:numPr>
      </w:pPr>
      <w:r>
        <w:t xml:space="preserve">Keep a dated log of what each side consulted, so you can show independent creation if challenged.</w:t>
      </w:r>
    </w:p>
    <w:p>
      <w:pPr>
        <w:pStyle w:val="ListParagraph"/>
        <w:numPr>
          <w:ilvl w:val="0"/>
          <w:numId w:val="7"/>
        </w:numPr>
      </w:pPr>
      <w:r>
        <w:t xml:space="preserve">Take statutory rules (payroll tax slabs, GST, provident fund) from the government sources, not from Frappe's regional code.</w:t>
      </w:r>
    </w:p>
    <w:p>
      <w:pPr>
        <w:pStyle w:val="Heading2"/>
      </w:pPr>
      <w:r>
        <w:t xml:space="preserve">Target architecture for your product</w:t>
      </w:r>
    </w:p>
    <w:p>
      <w:r>
        <w:t xml:space="preserve">Build a modular monolith on Python and Postgres, with a thin metadata layer only where customers need custom fields and workflows. This is my recommendation, not something Frappe prescribes.</w:t>
      </w:r>
    </w:p>
    <w:tbl>
      <w:tblPr>
        <w:tblW w:w="0" w:type="auto"/>
        <w:tblLook w:val="04A0" w:firstRow="1" w:lastRow="0" w:firstColumn="1" w:lastColumn="0" w:noHBand="0" w:noVBand="1"/>
      </w:tblPr>
      <w:tblGrid>
        <w:gridCol w:w="3120"/>
        <w:gridCol w:w="3120"/>
        <w:gridCol w:w="3120"/>
      </w:tblGrid>
      <w:tr>
        <w:trPr>
          <w:tblHeader/>
        </w:trPr>
        <w:tc>
          <w:tcPr>
            <w:tcW w:w="3120" w:type="dxa"/>
          </w:tcPr>
          <w:p>
            <w:r>
              <w:t xml:space="preserve">Layer</w:t>
            </w:r>
          </w:p>
        </w:tc>
        <w:tc>
          <w:tcPr>
            <w:tcW w:w="3120" w:type="dxa"/>
          </w:tcPr>
          <w:p>
            <w:r>
              <w:t xml:space="preserve">Recommended choice</w:t>
            </w:r>
          </w:p>
        </w:tc>
        <w:tc>
          <w:tcPr>
            <w:tcW w:w="3120" w:type="dxa"/>
          </w:tcPr>
          <w:p>
            <w:r>
              <w:t xml:space="preserve">Reason</w:t>
            </w:r>
          </w:p>
        </w:tc>
      </w:tr>
      <w:tr>
        <w:tc>
          <w:tcPr>
            <w:tcW w:w="3120" w:type="dxa"/>
          </w:tcPr>
          <w:p>
            <w:r>
              <w:t xml:space="preserve">API</w:t>
            </w:r>
          </w:p>
        </w:tc>
        <w:tc>
          <w:tcPr>
            <w:tcW w:w="3120" w:type="dxa"/>
          </w:tcPr>
          <w:p>
            <w:r>
              <w:t xml:space="preserve">Python 3.12+, FastAPI, Pydantic v2</w:t>
            </w:r>
          </w:p>
        </w:tc>
        <w:tc>
          <w:tcPr>
            <w:tcW w:w="3120" w:type="dxa"/>
          </w:tcPr>
          <w:p>
            <w:r>
              <w:t xml:space="preserve">Typed contracts, easy to generate client SDKs, strong fit for AI tool-calling</w:t>
            </w:r>
          </w:p>
        </w:tc>
      </w:tr>
      <w:tr>
        <w:tc>
          <w:tcPr>
            <w:tcW w:w="3120" w:type="dxa"/>
          </w:tcPr>
          <w:p>
            <w:r>
              <w:t xml:space="preserve">Database</w:t>
            </w:r>
          </w:p>
        </w:tc>
        <w:tc>
          <w:tcPr>
            <w:tcW w:w="3120" w:type="dxa"/>
          </w:tcPr>
          <w:p>
            <w:r>
              <w:t xml:space="preserve">PostgreSQL 16, one schema per module</w:t>
            </w:r>
          </w:p>
        </w:tc>
        <w:tc>
          <w:tcPr>
            <w:tcW w:w="3120" w:type="dxa"/>
          </w:tcPr>
          <w:p>
            <w:r>
              <w:t xml:space="preserve">Transactions for ledgers, JSONB for custom fields, row-level security for tenants</w:t>
            </w:r>
          </w:p>
        </w:tc>
      </w:tr>
      <w:tr>
        <w:tc>
          <w:tcPr>
            <w:tcW w:w="3120" w:type="dxa"/>
          </w:tcPr>
          <w:p>
            <w:r>
              <w:t xml:space="preserve">Tenancy</w:t>
            </w:r>
          </w:p>
        </w:tc>
        <w:tc>
          <w:tcPr>
            <w:tcW w:w="3120" w:type="dxa"/>
          </w:tcPr>
          <w:p>
            <w:r>
              <w:t xml:space="preserve">Shared database with </w:t>
            </w:r>
            <w:r>
              <w:rPr>
                <w:rFonts w:ascii="Courier New" w:hAnsi="Courier New"/>
              </w:rPr>
              <w:t xml:space="preserve">tenant_id</w:t>
            </w:r>
            <w:r>
              <w:t xml:space="preserve"> and row-level security; schema-per-tenant for large accounts</w:t>
            </w:r>
          </w:p>
        </w:tc>
        <w:tc>
          <w:tcPr>
            <w:tcW w:w="3120" w:type="dxa"/>
          </w:tcPr>
          <w:p>
            <w:r>
              <w:t xml:space="preserve">Frappe isolates one database per site, which is simple but costly to operate at SaaS scale</w:t>
            </w:r>
          </w:p>
        </w:tc>
      </w:tr>
      <w:tr>
        <w:tc>
          <w:tcPr>
            <w:tcW w:w="3120" w:type="dxa"/>
          </w:tcPr>
          <w:p>
            <w:r>
              <w:t xml:space="preserve">Data access</w:t>
            </w:r>
          </w:p>
        </w:tc>
        <w:tc>
          <w:tcPr>
            <w:tcW w:w="3120" w:type="dxa"/>
          </w:tcPr>
          <w:p>
            <w:r>
              <w:t xml:space="preserve">SQLAlchemy 2 and Alembic migrations</w:t>
            </w:r>
          </w:p>
        </w:tc>
        <w:tc>
          <w:tcPr>
            <w:tcW w:w="3120" w:type="dxa"/>
          </w:tcPr>
          <w:p>
            <w:r>
              <w:t xml:space="preserve">Explicit transactions and reviewed schema changes</w:t>
            </w:r>
          </w:p>
        </w:tc>
      </w:tr>
      <w:tr>
        <w:tc>
          <w:tcPr>
            <w:tcW w:w="3120" w:type="dxa"/>
          </w:tcPr>
          <w:p>
            <w:r>
              <w:t xml:space="preserve">Jobs</w:t>
            </w:r>
          </w:p>
        </w:tc>
        <w:tc>
          <w:tcPr>
            <w:tcW w:w="3120" w:type="dxa"/>
          </w:tcPr>
          <w:p>
            <w:r>
              <w:t xml:space="preserve">Queue worker (Arq or Celery) with a transactional outbox</w:t>
            </w:r>
          </w:p>
        </w:tc>
        <w:tc>
          <w:tcPr>
            <w:tcW w:w="3120" w:type="dxa"/>
          </w:tcPr>
          <w:p>
            <w:r>
              <w:t xml:space="preserve">Payroll runs, ledger reposting, email and call sync must be retryable and idempotent</w:t>
            </w:r>
          </w:p>
        </w:tc>
      </w:tr>
      <w:tr>
        <w:tc>
          <w:tcPr>
            <w:tcW w:w="3120" w:type="dxa"/>
          </w:tcPr>
          <w:p>
            <w:r>
              <w:t xml:space="preserve">Frontend</w:t>
            </w:r>
          </w:p>
        </w:tc>
        <w:tc>
          <w:tcPr>
            <w:tcW w:w="3120" w:type="dxa"/>
          </w:tcPr>
          <w:p>
            <w:r>
              <w:t xml:space="preserve">React, TypeScript, schema-driven forms</w:t>
            </w:r>
          </w:p>
        </w:tc>
        <w:tc>
          <w:tcPr>
            <w:tcW w:w="3120" w:type="dxa"/>
          </w:tcPr>
          <w:p>
            <w:r>
              <w:t xml:space="preserve">Custom fields render from metadata; Vue is an equal choice if your team prefers it</w:t>
            </w:r>
          </w:p>
        </w:tc>
      </w:tr>
      <w:tr>
        <w:tc>
          <w:tcPr>
            <w:tcW w:w="3120" w:type="dxa"/>
          </w:tcPr>
          <w:p>
            <w:r>
              <w:t xml:space="preserve">Auth</w:t>
            </w:r>
          </w:p>
        </w:tc>
        <w:tc>
          <w:tcPr>
            <w:tcW w:w="3120" w:type="dxa"/>
          </w:tcPr>
          <w:p>
            <w:r>
              <w:t xml:space="preserve">OIDC login, role-based access plus record-level policy</w:t>
            </w:r>
          </w:p>
        </w:tc>
        <w:tc>
          <w:tcPr>
            <w:tcW w:w="3120" w:type="dxa"/>
          </w:tcPr>
          <w:p>
            <w:r>
              <w:t xml:space="preserve">Frappe's role, user-permission and field-level model is worth matching</w:t>
            </w:r>
          </w:p>
        </w:tc>
      </w:tr>
      <w:tr>
        <w:tc>
          <w:tcPr>
            <w:tcW w:w="3120" w:type="dxa"/>
          </w:tcPr>
          <w:p>
            <w:r>
              <w:t xml:space="preserve">Files and search</w:t>
            </w:r>
          </w:p>
        </w:tc>
        <w:tc>
          <w:tcPr>
            <w:tcW w:w="3120" w:type="dxa"/>
          </w:tcPr>
          <w:p>
            <w:r>
              <w:t xml:space="preserve">S3-compatible storage, Postgres full-text first</w:t>
            </w:r>
          </w:p>
        </w:tc>
        <w:tc>
          <w:tcPr>
            <w:tcW w:w="3120" w:type="dxa"/>
          </w:tcPr>
          <w:p>
            <w:r>
              <w:t xml:space="preserve">Avoid extra infrastructure until a customer needs it</w:t>
            </w:r>
          </w:p>
        </w:tc>
      </w:tr>
      <w:tr>
        <w:tc>
          <w:tcPr>
            <w:tcW w:w="3120" w:type="dxa"/>
          </w:tcPr>
          <w:p>
            <w:r>
              <w:t xml:space="preserve">Observability</w:t>
            </w:r>
          </w:p>
        </w:tc>
        <w:tc>
          <w:tcPr>
            <w:tcW w:w="3120" w:type="dxa"/>
          </w:tcPr>
          <w:p>
            <w:r>
              <w:t xml:space="preserve">OpenTelemetry, audit log per document</w:t>
            </w:r>
          </w:p>
        </w:tc>
        <w:tc>
          <w:tcPr>
            <w:tcW w:w="3120" w:type="dxa"/>
          </w:tcPr>
          <w:p>
            <w:r>
              <w:t xml:space="preserve">Finance and HR need a who-changed-what trail</w:t>
            </w:r>
          </w:p>
        </w:tc>
      </w:tr>
    </w:tbl>
    <w:p>
      <w:r>
        <w:rPr>
          <w:b/>
        </w:rPr>
        <w:t xml:space="preserve">Modules and boundaries.</w:t>
      </w:r>
      <w:r>
        <w:t xml:space="preserve"> One deployable with strict internal packages: </w:t>
      </w:r>
      <w:r>
        <w:rPr>
          <w:rFonts w:ascii="Courier New" w:hAnsi="Courier New"/>
        </w:rPr>
        <w:t xml:space="preserve">platform</w:t>
      </w:r>
      <w:r>
        <w:t xml:space="preserve"> (tenancy, identity, custom fields, workflow, notifications, audit), </w:t>
      </w:r>
      <w:r>
        <w:rPr>
          <w:rFonts w:ascii="Courier New" w:hAnsi="Courier New"/>
        </w:rPr>
        <w:t xml:space="preserve">crm</w:t>
      </w:r>
      <w:r>
        <w:t xml:space="preserve">, </w:t>
      </w:r>
      <w:r>
        <w:rPr>
          <w:rFonts w:ascii="Courier New" w:hAnsi="Courier New"/>
        </w:rPr>
        <w:t xml:space="preserve">sales</w:t>
      </w:r>
      <w:r>
        <w:t xml:space="preserve"> (quote to order to invoice), </w:t>
      </w:r>
      <w:r>
        <w:rPr>
          <w:rFonts w:ascii="Courier New" w:hAnsi="Courier New"/>
        </w:rPr>
        <w:t xml:space="preserve">ledger</w:t>
      </w:r>
      <w:r>
        <w:t xml:space="preserve"> (double-entry accounting), </w:t>
      </w:r>
      <w:r>
        <w:rPr>
          <w:rFonts w:ascii="Courier New" w:hAnsi="Courier New"/>
        </w:rPr>
        <w:t xml:space="preserve">inventory</w:t>
      </w:r>
      <w:r>
        <w:t xml:space="preserve">, </w:t>
      </w:r>
      <w:r>
        <w:rPr>
          <w:rFonts w:ascii="Courier New" w:hAnsi="Courier New"/>
        </w:rPr>
        <w:t xml:space="preserve">people</w:t>
      </w:r>
      <w:r>
        <w:t xml:space="preserve"> (employee, leave, attendance), and </w:t>
      </w:r>
      <w:r>
        <w:rPr>
          <w:rFonts w:ascii="Courier New" w:hAnsi="Courier New"/>
        </w:rPr>
        <w:t xml:space="preserve">payroll</w:t>
      </w:r>
      <w:r>
        <w:t xml:space="preserve"> (country rules as plug-ins). Modules talk through published events and read-only views, never through each other's tables.</w:t>
      </w:r>
    </w:p>
    <w:p>
      <w:r>
        <w:rPr>
          <w:b/>
        </w:rPr>
        <w:t xml:space="preserve">Patterns worth taking from Frappe's design:</w:t>
      </w:r>
    </w:p>
    <w:p>
      <w:pPr>
        <w:pStyle w:val="ListParagraph"/>
        <w:numPr>
          <w:ilvl w:val="0"/>
          <w:numId w:val="8"/>
        </w:numPr>
      </w:pPr>
      <w:r>
        <w:rPr>
          <w:b/>
        </w:rPr>
        <w:t xml:space="preserve">Append-only ledgers.</w:t>
      </w:r>
      <w:r>
        <w:t xml:space="preserve"> General Ledger, Stock Ledger and Leave Ledger Entry are written on submit and corrected by reversing entries, not edits.</w:t>
      </w:r>
    </w:p>
    <w:p>
      <w:pPr>
        <w:pStyle w:val="ListParagraph"/>
        <w:numPr>
          <w:ilvl w:val="0"/>
          <w:numId w:val="8"/>
        </w:numPr>
      </w:pPr>
      <w:r>
        <w:rPr>
          <w:b/>
        </w:rPr>
        <w:t xml:space="preserve">Draft, submit, cancel lifecycle</w:t>
      </w:r>
      <w:r>
        <w:t xml:space="preserve"> for every transaction that moves money, stock or leave balance.</w:t>
      </w:r>
    </w:p>
    <w:p>
      <w:pPr>
        <w:pStyle w:val="ListParagraph"/>
        <w:numPr>
          <w:ilvl w:val="0"/>
          <w:numId w:val="8"/>
        </w:numPr>
      </w:pPr>
      <w:r>
        <w:rPr>
          <w:b/>
        </w:rPr>
        <w:t xml:space="preserve">Company scope on every record</w:t>
      </w:r>
      <w:r>
        <w:t xml:space="preserve">, plus fiscal-year naming series and accounting dimensions.</w:t>
      </w:r>
    </w:p>
    <w:p>
      <w:pPr>
        <w:pStyle w:val="ListParagraph"/>
        <w:numPr>
          <w:ilvl w:val="0"/>
          <w:numId w:val="8"/>
        </w:numPr>
      </w:pPr>
      <w:r>
        <w:rPr>
          <w:b/>
        </w:rPr>
        <w:t xml:space="preserve">Configurable workflow</w:t>
      </w:r>
      <w:r>
        <w:t xml:space="preserve">: states, transitions and allowed roles stored as data.</w:t>
      </w:r>
    </w:p>
    <w:p>
      <w:pPr>
        <w:pStyle w:val="ListParagraph"/>
        <w:numPr>
          <w:ilvl w:val="0"/>
          <w:numId w:val="8"/>
        </w:numPr>
      </w:pPr>
      <w:r>
        <w:rPr>
          <w:b/>
        </w:rPr>
        <w:t xml:space="preserve">Custom fields as data</w:t>
      </w:r>
      <w:r>
        <w:t xml:space="preserve">, stored in JSONB with a typed registry, so a tenant never needs a schema change.</w:t>
      </w:r>
    </w:p>
    <w:p>
      <w:pPr>
        <w:pStyle w:val="ListParagraph"/>
        <w:numPr>
          <w:ilvl w:val="0"/>
          <w:numId w:val="8"/>
        </w:numPr>
      </w:pPr>
      <w:r>
        <w:rPr>
          <w:b/>
        </w:rPr>
        <w:t xml:space="preserve">Document-level API for agents</w:t>
      </w:r>
      <w:r>
        <w:t xml:space="preserve">: Frappe ships an </w:t>
      </w:r>
      <w:r>
        <w:rPr>
          <w:rFonts w:ascii="Courier New" w:hAnsi="Courier New"/>
        </w:rPr>
        <w:t xml:space="preserve">mcp</w:t>
      </w:r>
      <w:r>
        <w:t xml:space="preserve"> package; expose your own documents as audited tools, with the same permission checks as the UI.</w:t>
      </w:r>
    </w:p>
    <w:p>
      <w:r>
        <w:rPr>
          <w:b/>
        </w:rPr>
        <w:t xml:space="preserve">Cost of choosing Postgres over a Frappe-style DocType engine:</w:t>
      </w:r>
      <w:r>
        <w:t xml:space="preserve"> you write forms, list views and report builders yourself, or generate them from your own small schema registry. Keep that registry small.</w:t>
      </w:r>
    </w:p>
    <w:p>
      <w:pPr>
        <w:pStyle w:val="Heading2"/>
      </w:pPr>
      <w:r>
        <w:t xml:space="preserve">MVP scope, roadmap, risks and open decisions</w:t>
      </w:r>
    </w:p>
    <w:p>
      <w:r>
        <w:t xml:space="preserve">Ship CRM, order-to-cash and core HR first; defer manufacturing, assets, subcontracting, POS and payroll. Frappe's CRM app is the cheapest module to match (53 DocTypes) and gives early customer feedback while the ledger is built.</w:t>
      </w:r>
    </w:p>
    <w:p>
      <w:r>
        <w:rPr>
          <w:b/>
        </w:rPr>
        <w:t xml:space="preserve">MVP scope.</w:t>
      </w:r>
    </w:p>
    <w:tbl>
      <w:tblPr>
        <w:tblW w:w="0" w:type="auto"/>
        <w:tblLook w:val="04A0" w:firstRow="1" w:lastRow="0" w:firstColumn="1" w:lastColumn="0" w:noHBand="0" w:noVBand="1"/>
      </w:tblPr>
      <w:tblGrid>
        <w:gridCol w:w="3120"/>
        <w:gridCol w:w="3120"/>
        <w:gridCol w:w="3120"/>
      </w:tblGrid>
      <w:tr>
        <w:trPr>
          <w:tblHeader/>
        </w:trPr>
        <w:tc>
          <w:tcPr>
            <w:tcW w:w="3120" w:type="dxa"/>
          </w:tcPr>
          <w:p>
            <w:r>
              <w:t xml:space="preserve">Area</w:t>
            </w:r>
          </w:p>
        </w:tc>
        <w:tc>
          <w:tcPr>
            <w:tcW w:w="3120" w:type="dxa"/>
          </w:tcPr>
          <w:p>
            <w:r>
              <w:t xml:space="preserve">In MVP</w:t>
            </w:r>
          </w:p>
        </w:tc>
        <w:tc>
          <w:tcPr>
            <w:tcW w:w="3120" w:type="dxa"/>
          </w:tcPr>
          <w:p>
            <w:r>
              <w:t xml:space="preserve">Deferred</w:t>
            </w:r>
          </w:p>
        </w:tc>
      </w:tr>
      <w:tr>
        <w:tc>
          <w:tcPr>
            <w:tcW w:w="3120" w:type="dxa"/>
          </w:tcPr>
          <w:p>
            <w:r>
              <w:t xml:space="preserve">CRM</w:t>
            </w:r>
          </w:p>
        </w:tc>
        <w:tc>
          <w:tcPr>
            <w:tcW w:w="3120" w:type="dxa"/>
          </w:tcPr>
          <w:p>
            <w:r>
              <w:t xml:space="preserve">Leads, deals, organizations, contacts, tasks, notes, activity timeline, Kanban, email log</w:t>
            </w:r>
          </w:p>
        </w:tc>
        <w:tc>
          <w:tcPr>
            <w:tcW w:w="3120" w:type="dxa"/>
          </w:tcPr>
          <w:p>
            <w:r>
              <w:t xml:space="preserve">Telephony, WhatsApp, domain enrichment, Facebook lead sync</w:t>
            </w:r>
          </w:p>
        </w:tc>
      </w:tr>
      <w:tr>
        <w:tc>
          <w:tcPr>
            <w:tcW w:w="3120" w:type="dxa"/>
          </w:tcPr>
          <w:p>
            <w:r>
              <w:t xml:space="preserve">Order to cash</w:t>
            </w:r>
          </w:p>
        </w:tc>
        <w:tc>
          <w:tcPr>
            <w:tcW w:w="3120" w:type="dxa"/>
          </w:tcPr>
          <w:p>
            <w:r>
              <w:t xml:space="preserve">Customer, item, quotation, sales order, invoice, payment, tax for one country, General Ledger, trial balance, P&amp;L, balance sheet</w:t>
            </w:r>
          </w:p>
        </w:tc>
        <w:tc>
          <w:tcPr>
            <w:tcW w:w="3120" w:type="dxa"/>
          </w:tcPr>
          <w:p>
            <w:r>
              <w:t xml:space="preserve">Multi-currency revaluation, deferred revenue, dunning, bank reconciliation</w:t>
            </w:r>
          </w:p>
        </w:tc>
      </w:tr>
      <w:tr>
        <w:tc>
          <w:tcPr>
            <w:tcW w:w="3120" w:type="dxa"/>
          </w:tcPr>
          <w:p>
            <w:r>
              <w:t xml:space="preserve">People</w:t>
            </w:r>
          </w:p>
        </w:tc>
        <w:tc>
          <w:tcPr>
            <w:tcW w:w="3120" w:type="dxa"/>
          </w:tcPr>
          <w:p>
            <w:r>
              <w:t xml:space="preserve">Employee, department, holiday list, leave policy, application and balance, attendance, expense claim</w:t>
            </w:r>
          </w:p>
        </w:tc>
        <w:tc>
          <w:tcPr>
            <w:tcW w:w="3120" w:type="dxa"/>
          </w:tcPr>
          <w:p>
            <w:r>
              <w:t xml:space="preserve">Recruitment, appraisal, shifts, lifecycle forms, fleet</w:t>
            </w:r>
          </w:p>
        </w:tc>
      </w:tr>
      <w:tr>
        <w:tc>
          <w:tcPr>
            <w:tcW w:w="3120" w:type="dxa"/>
          </w:tcPr>
          <w:p>
            <w:r>
              <w:t xml:space="preserve">Platform</w:t>
            </w:r>
          </w:p>
        </w:tc>
        <w:tc>
          <w:tcPr>
            <w:tcW w:w="3120" w:type="dxa"/>
          </w:tcPr>
          <w:p>
            <w:r>
              <w:t xml:space="preserve">Tenancy, SSO, roles, custom fields, workflow, audit log, notifications</w:t>
            </w:r>
          </w:p>
        </w:tc>
        <w:tc>
          <w:tcPr>
            <w:tcW w:w="3120" w:type="dxa"/>
          </w:tcPr>
          <w:p>
            <w:r>
              <w:t xml:space="preserve">Print designer, report builder, marketplace</w:t>
            </w:r>
          </w:p>
        </w:tc>
      </w:tr>
    </w:tbl>
    <w:p>
      <w:r>
        <w:rPr>
          <w:b/>
        </w:rPr>
        <w:t xml:space="preserve">Phases.</w:t>
      </w:r>
      <w:r>
        <w:t xml:space="preserve"> The durations are my rough planning estimates for a team of about five engineers, not benchmarks.</w:t>
      </w:r>
    </w:p>
    <w:p>
      <w:pPr>
        <w:pStyle w:val="ListParagraph"/>
        <w:numPr>
          <w:ilvl w:val="0"/>
          <w:numId w:val="9"/>
        </w:numPr>
      </w:pPr>
      <w:r>
        <w:rPr>
          <w:b/>
        </w:rPr>
        <w:t xml:space="preserve">Platform foundations (6 to 8 weeks).</w:t>
      </w:r>
      <w:r>
        <w:t xml:space="preserve"> Tenancy, identity, audit, custom fields, workflow. Gate: tenant-isolation tests pass.</w:t>
      </w:r>
    </w:p>
    <w:p>
      <w:pPr>
        <w:pStyle w:val="ListParagraph"/>
        <w:numPr>
          <w:ilvl w:val="0"/>
          <w:numId w:val="9"/>
        </w:numPr>
      </w:pPr>
      <w:r>
        <w:rPr>
          <w:b/>
        </w:rPr>
        <w:t xml:space="preserve">CRM and quote-to-cash (8 to 10 weeks).</w:t>
      </w:r>
      <w:r>
        <w:t xml:space="preserve"> Gate: every invoice posts balanced ledger entries; trial balance always nets to zero.</w:t>
      </w:r>
    </w:p>
    <w:p>
      <w:pPr>
        <w:pStyle w:val="ListParagraph"/>
        <w:numPr>
          <w:ilvl w:val="0"/>
          <w:numId w:val="9"/>
        </w:numPr>
      </w:pPr>
      <w:r>
        <w:rPr>
          <w:b/>
        </w:rPr>
        <w:t xml:space="preserve">People core (about 6 weeks).</w:t>
      </w:r>
      <w:r>
        <w:t xml:space="preserve"> Leave ledger and attendance. Gate: leave balance equals the sum of ledger entries.</w:t>
      </w:r>
    </w:p>
    <w:p>
      <w:pPr>
        <w:pStyle w:val="ListParagraph"/>
        <w:numPr>
          <w:ilvl w:val="0"/>
          <w:numId w:val="9"/>
        </w:numPr>
      </w:pPr>
      <w:r>
        <w:rPr>
          <w:b/>
        </w:rPr>
        <w:t xml:space="preserve">Inventory and procure-to-pay (8 to 10 weeks).</w:t>
      </w:r>
      <w:r>
        <w:t xml:space="preserve"> Stock ledger with one valuation method first.</w:t>
      </w:r>
    </w:p>
    <w:p>
      <w:pPr>
        <w:pStyle w:val="ListParagraph"/>
        <w:numPr>
          <w:ilvl w:val="0"/>
          <w:numId w:val="9"/>
        </w:numPr>
      </w:pPr>
      <w:r>
        <w:rPr>
          <w:b/>
        </w:rPr>
        <w:t xml:space="preserve">Payroll for one jurisdiction (8 to 12 weeks).</w:t>
      </w:r>
      <w:r>
        <w:t xml:space="preserve"> Gate: parallel run against a customer's real payslips.</w:t>
      </w:r>
    </w:p>
    <w:p>
      <w:r>
        <w:rPr>
          <w:b/>
        </w:rPr>
        <w:t xml:space="preserve">Main risks.</w:t>
      </w:r>
    </w:p>
    <w:p>
      <w:pPr>
        <w:pStyle w:val="ListParagraph"/>
        <w:numPr>
          <w:ilvl w:val="0"/>
          <w:numId w:val="10"/>
        </w:numPr>
      </w:pPr>
      <w:r>
        <w:rPr>
          <w:b/>
        </w:rPr>
        <w:t xml:space="preserve">Accounting and payroll correctness.</w:t>
      </w:r>
      <w:r>
        <w:t xml:space="preserve"> Rounding, tax and statutory rules are where customers lose trust. Fund an accountant or payroll specialist as a reviewer.</w:t>
      </w:r>
    </w:p>
    <w:p>
      <w:pPr>
        <w:pStyle w:val="ListParagraph"/>
        <w:numPr>
          <w:ilvl w:val="0"/>
          <w:numId w:val="10"/>
        </w:numPr>
      </w:pPr>
      <w:r>
        <w:rPr>
          <w:b/>
        </w:rPr>
        <w:t xml:space="preserve">Scope creep toward "parity".</w:t>
      </w:r>
      <w:r>
        <w:t xml:space="preserve"> Frappe's HR docs list over a dozen modules; matching all of them is the trap.</w:t>
      </w:r>
    </w:p>
    <w:p>
      <w:pPr>
        <w:pStyle w:val="ListParagraph"/>
        <w:numPr>
          <w:ilvl w:val="0"/>
          <w:numId w:val="10"/>
        </w:numPr>
      </w:pPr>
      <w:r>
        <w:rPr>
          <w:b/>
        </w:rPr>
        <w:t xml:space="preserve">Clean-room lapses.</w:t>
      </w:r>
      <w:r>
        <w:t xml:space="preserve"> One engineer reading source code can taint the process. Enforce the spec and implementation split from day one.</w:t>
      </w:r>
    </w:p>
    <w:p>
      <w:pPr>
        <w:pStyle w:val="ListParagraph"/>
        <w:numPr>
          <w:ilvl w:val="0"/>
          <w:numId w:val="10"/>
        </w:numPr>
      </w:pPr>
      <w:r>
        <w:rPr>
          <w:b/>
        </w:rPr>
        <w:t xml:space="preserve">Data migration.</w:t>
      </w:r>
      <w:r>
        <w:t xml:space="preserve"> Prospects will want to import from ERPNext and spreadsheets; budget an importer early.</w:t>
      </w:r>
    </w:p>
    <w:p>
      <w:r>
        <w:rPr>
          <w:b/>
        </w:rPr>
        <w:t xml:space="preserve">Decisions you need to make.</w:t>
      </w:r>
    </w:p>
    <w:p>
      <w:pPr>
        <w:pStyle w:val="ListParagraph"/>
        <w:numPr>
          <w:ilvl w:val="0"/>
          <w:numId w:val="11"/>
        </w:numPr>
      </w:pPr>
      <w:r>
        <w:t xml:space="preserve">Decided: India is the first market. The India-specific scope is in the next section.</w:t>
      </w:r>
    </w:p>
    <w:p>
      <w:pPr>
        <w:pStyle w:val="ListParagraph"/>
        <w:numPr>
          <w:ilvl w:val="0"/>
          <w:numId w:val="11"/>
        </w:numPr>
      </w:pPr>
      <w:r>
        <w:t xml:space="preserve">Decided: services firms are the first customer segment. Phases 4 and 5 are reordered in the next section.</w:t>
      </w:r>
    </w:p>
    <w:p>
      <w:pPr>
        <w:pStyle w:val="ListParagraph"/>
        <w:numPr>
          <w:ilvl w:val="0"/>
          <w:numId w:val="11"/>
        </w:numPr>
      </w:pPr>
      <w:r>
        <w:t xml:space="preserve">Option B versus option C: keep Frappe's stack for speed, or own the stack.</w:t>
      </w:r>
    </w:p>
    <w:p>
      <w:pPr>
        <w:pStyle w:val="ListParagraph"/>
        <w:numPr>
          <w:ilvl w:val="0"/>
          <w:numId w:val="11"/>
        </w:numPr>
      </w:pPr>
      <w:r>
        <w:t xml:space="preserve">Product name and brand, avoiding the Frappe and ERPNext marks.</w:t>
      </w:r>
    </w:p>
    <w:p>
      <w:pPr>
        <w:pStyle w:val="Heading2"/>
      </w:pPr>
      <w:r>
        <w:t xml:space="preserve">India-first scope</w:t>
      </w:r>
    </w:p>
    <w:p>
      <w:r>
        <w:t xml:space="preserve">Choosing India fixes the compliance work that sits on top of the MVP. Frappe itself handles this in a separate </w:t>
      </w:r>
      <w:hyperlink r:id="rId9" w:history="1">
        <w:r>
          <w:t xml:space="preserve">India Compliance app</w:t>
        </w:r>
      </w:hyperlink>
      <w:r>
        <w:t xml:space="preserve">, which its docs describe as covering GST, e-invoicing, e-way bills and TDS/TCS, and not PF or ESI. That shows how much of the Indian surface lives outside the core apps. Its licence is not stated on that page, so treat it like the other apps: study the behaviour, do not copy the code.</w:t>
      </w:r>
    </w:p>
    <w:p>
      <w:r>
        <w:rPr>
          <w:b/>
        </w:rPr>
        <w:t xml:space="preserve">Order-to-cash additions</w:t>
      </w:r>
    </w:p>
    <w:p>
      <w:pPr>
        <w:pStyle w:val="ListParagraph"/>
        <w:numPr>
          <w:ilvl w:val="0"/>
          <w:numId w:val="12"/>
        </w:numPr>
      </w:pPr>
      <w:r>
        <w:rPr>
          <w:b/>
        </w:rPr>
        <w:t xml:space="preserve">GST:</w:t>
      </w:r>
      <w:r>
        <w:t xml:space="preserve"> GSTIN on every party, HSN/SAC on every item, place-of-supply logic that picks CGST+SGST or IGST, and GSTR-style reports.</w:t>
      </w:r>
    </w:p>
    <w:p>
      <w:pPr>
        <w:pStyle w:val="ListParagraph"/>
        <w:numPr>
          <w:ilvl w:val="0"/>
          <w:numId w:val="12"/>
        </w:numPr>
      </w:pPr>
      <w:r>
        <w:rPr>
          <w:b/>
        </w:rPr>
        <w:t xml:space="preserve">E-invoicing:</w:t>
      </w:r>
      <w:r>
        <w:t xml:space="preserve"> secondary sources report mandatory e-invoicing above ₹5 crore aggregate annual turnover since 1 Aug 2023 (</w:t>
      </w:r>
      <w:hyperlink r:id="rId10" w:history="1">
        <w:r>
          <w:t xml:space="preserve">Gimbooks</w:t>
        </w:r>
      </w:hyperlink>
      <w:r>
        <w:t xml:space="preserve">). Confirm the current threshold on the GST portal before you design around it. Plan an adapter to the government e-invoice portal (IRN and QR code) through a GST Suvidha Provider, so you do not build the integration yourself.</w:t>
      </w:r>
    </w:p>
    <w:p>
      <w:pPr>
        <w:pStyle w:val="ListParagraph"/>
        <w:numPr>
          <w:ilvl w:val="0"/>
          <w:numId w:val="12"/>
        </w:numPr>
      </w:pPr>
      <w:r>
        <w:rPr>
          <w:b/>
        </w:rPr>
        <w:t xml:space="preserve">E-way bill</w:t>
      </w:r>
      <w:r>
        <w:t xml:space="preserve"> for goods movement, generated from a delivery or invoice.</w:t>
      </w:r>
    </w:p>
    <w:p>
      <w:pPr>
        <w:pStyle w:val="ListParagraph"/>
        <w:numPr>
          <w:ilvl w:val="0"/>
          <w:numId w:val="12"/>
        </w:numPr>
      </w:pPr>
      <w:r>
        <w:rPr>
          <w:b/>
        </w:rPr>
        <w:t xml:space="preserve">TDS/TCS</w:t>
      </w:r>
      <w:r>
        <w:t xml:space="preserve"> on purchases and sales where applicable.</w:t>
      </w:r>
    </w:p>
    <w:p>
      <w:r>
        <w:rPr>
          <w:b/>
        </w:rPr>
        <w:t xml:space="preserve">People additions</w:t>
      </w:r>
    </w:p>
    <w:p>
      <w:pPr>
        <w:pStyle w:val="ListParagraph"/>
        <w:numPr>
          <w:ilvl w:val="0"/>
          <w:numId w:val="13"/>
        </w:numPr>
      </w:pPr>
      <w:r>
        <w:rPr>
          <w:b/>
        </w:rPr>
        <w:t xml:space="preserve">Labour codes:</w:t>
      </w:r>
      <w:r>
        <w:t xml:space="preserve"> one source says the four labour codes were notified effective 21 Nov 2025, with rules still being finalised by the centre and states through 2026, and a wage definition that pushes basic pay toward at least 50% of remuneration (</w:t>
      </w:r>
      <w:hyperlink r:id="rId11" w:history="1">
        <w:r>
          <w:t xml:space="preserve">HROne</w:t>
        </w:r>
      </w:hyperlink>
      <w:r>
        <w:t xml:space="preserve">). Because the wage base drives PF, gratuity and bonus, model wage components as configurable rules with effective dates, not fixed formulas.</w:t>
      </w:r>
    </w:p>
    <w:p>
      <w:pPr>
        <w:pStyle w:val="ListParagraph"/>
        <w:numPr>
          <w:ilvl w:val="0"/>
          <w:numId w:val="13"/>
        </w:numPr>
      </w:pPr>
      <w:r>
        <w:rPr>
          <w:b/>
        </w:rPr>
        <w:t xml:space="preserve">Leave and holidays</w:t>
      </w:r>
      <w:r>
        <w:t xml:space="preserve"> vary by state, so keep the holiday list and leave policy per company and per state.</w:t>
      </w:r>
    </w:p>
    <w:p>
      <w:pPr>
        <w:pStyle w:val="ListParagraph"/>
        <w:numPr>
          <w:ilvl w:val="0"/>
          <w:numId w:val="13"/>
        </w:numPr>
      </w:pPr>
      <w:r>
        <w:rPr>
          <w:b/>
        </w:rPr>
        <w:t xml:space="preserve">Payroll statutory items</w:t>
      </w:r>
      <w:r>
        <w:t xml:space="preserve"> (PF, ESI, professional tax, income-tax TDS on salary, gratuity) stay deferred to phase 5, with rates and slabs taken from government sources and reviewed by a payroll specialist.</w:t>
      </w:r>
    </w:p>
    <w:p>
      <w:r>
        <w:rPr>
          <w:b/>
        </w:rPr>
        <w:t xml:space="preserve">Effect on the roadmap.</w:t>
      </w:r>
      <w:r>
        <w:t xml:space="preserve"> Phase 2 grows: GST, e-invoicing and e-way bill are required for most B2B sales, so add about 4 to 6 weeks (my estimate) or ship Phase 2 for sub-threshold customers first. Phase 5 stays last, because rule churn from the labour codes argues for waiting until the state rules settle.</w:t>
      </w:r>
    </w:p>
    <w:p>
      <w:r>
        <w:rPr>
          <w:b/>
        </w:rPr>
        <w:t xml:space="preserve">Also decide:</w:t>
      </w:r>
      <w:r>
        <w:t xml:space="preserve"> hosting region (keep customer data in India for compliance comfort and latency) and INR-first currency, lakh/crore number format and the April to March financial year as defaults. Data-protection obligations under India's DPDP Act should be reviewed with counsel; I have not researched them here.</w:t>
      </w:r>
    </w:p>
    <w:p>
      <w:r>
        <w:t xml:space="preserve">These India rules come from secondary web sources, not the government portals. Verify each against the official GST, EPFO and Labour Ministry notifications before building.</w:t>
      </w:r>
    </w:p>
    <w:p>
      <w:pPr>
        <w:pStyle w:val="Heading2"/>
      </w:pPr>
      <w:r>
        <w:t xml:space="preserve">Services-firm focus: what changes</w:t>
      </w:r>
    </w:p>
    <w:p>
      <w:r>
        <w:t xml:space="preserve">A services firm sells people's time, so the money loop is project, timesheet, invoice, payment, and then salary cost. Stock is mostly irrelevant. This drops inventory from the critical path and promotes the pieces that connect HR to billing, which is the link Frappe's own apps make through Timesheets (see "How CRM, ERP and HR connect").</w:t>
      </w:r>
    </w:p>
    <w:p>
      <w:r>
        <w:rPr>
          <w:b/>
        </w:rPr>
        <w:t xml:space="preserve">Added to the MVP</w:t>
      </w:r>
    </w:p>
    <w:p>
      <w:pPr>
        <w:pStyle w:val="ListParagraph"/>
        <w:numPr>
          <w:ilvl w:val="0"/>
          <w:numId w:val="14"/>
        </w:numPr>
      </w:pPr>
      <w:r>
        <w:rPr>
          <w:b/>
        </w:rPr>
        <w:t xml:space="preserve">Projects and tasks</w:t>
      </w:r>
      <w:r>
        <w:t xml:space="preserve"> with budgets, and </w:t>
      </w:r>
      <w:r>
        <w:rPr>
          <w:b/>
        </w:rPr>
        <w:t xml:space="preserve">timesheets</w:t>
      </w:r>
      <w:r>
        <w:t xml:space="preserve"> against them.</w:t>
      </w:r>
    </w:p>
    <w:p>
      <w:pPr>
        <w:pStyle w:val="ListParagraph"/>
        <w:numPr>
          <w:ilvl w:val="0"/>
          <w:numId w:val="14"/>
        </w:numPr>
      </w:pPr>
      <w:r>
        <w:rPr>
          <w:b/>
        </w:rPr>
        <w:t xml:space="preserve">Billing models:</w:t>
      </w:r>
      <w:r>
        <w:t xml:space="preserve"> time-and-material, fixed fee with milestones, and monthly retainers with recurring invoices.</w:t>
      </w:r>
    </w:p>
    <w:p>
      <w:pPr>
        <w:pStyle w:val="ListParagraph"/>
        <w:numPr>
          <w:ilvl w:val="0"/>
          <w:numId w:val="14"/>
        </w:numPr>
      </w:pPr>
      <w:r>
        <w:rPr>
          <w:b/>
        </w:rPr>
        <w:t xml:space="preserve">Utilisation and project profitability reports</w:t>
      </w:r>
      <w:r>
        <w:t xml:space="preserve">, which need timesheet cost from HR data.</w:t>
      </w:r>
    </w:p>
    <w:p>
      <w:pPr>
        <w:pStyle w:val="ListParagraph"/>
        <w:numPr>
          <w:ilvl w:val="0"/>
          <w:numId w:val="14"/>
        </w:numPr>
      </w:pPr>
      <w:r>
        <w:rPr>
          <w:b/>
        </w:rPr>
        <w:t xml:space="preserve">GST for services:</w:t>
      </w:r>
      <w:r>
        <w:t xml:space="preserve"> SAC codes, place of supply, and treatment of export of services. Check the exact rules with a chartered accountant.</w:t>
      </w:r>
    </w:p>
    <w:p>
      <w:pPr>
        <w:pStyle w:val="ListParagraph"/>
        <w:numPr>
          <w:ilvl w:val="0"/>
          <w:numId w:val="14"/>
        </w:numPr>
      </w:pPr>
      <w:r>
        <w:rPr>
          <w:b/>
        </w:rPr>
        <w:t xml:space="preserve">TDS deducted by clients:</w:t>
      </w:r>
      <w:r>
        <w:t xml:space="preserve"> track tax withheld on your invoices so receivables and tax credit reconcile.</w:t>
      </w:r>
    </w:p>
    <w:p>
      <w:r>
        <w:rPr>
          <w:b/>
        </w:rPr>
        <w:t xml:space="preserve">Deferred or dropped from the early phases:</w:t>
      </w:r>
      <w:r>
        <w:t xml:space="preserve"> stock ledger, warehouses, purchase receipts, manufacturing and assets. Keep a simple purchase bill and expense flow only.</w:t>
      </w:r>
    </w:p>
    <w:p>
      <w:r>
        <w:rPr>
          <w:b/>
        </w:rPr>
        <w:t xml:space="preserve">Revised phase order</w:t>
      </w:r>
    </w:p>
    <w:p>
      <w:pPr>
        <w:pStyle w:val="ListParagraph"/>
        <w:numPr>
          <w:ilvl w:val="0"/>
          <w:numId w:val="15"/>
        </w:numPr>
      </w:pPr>
      <w:r>
        <w:t xml:space="preserve">Platform foundations (unchanged).</w:t>
      </w:r>
    </w:p>
    <w:p>
      <w:pPr>
        <w:pStyle w:val="ListParagraph"/>
        <w:numPr>
          <w:ilvl w:val="0"/>
          <w:numId w:val="15"/>
        </w:numPr>
      </w:pPr>
      <w:r>
        <w:t xml:space="preserve">CRM and quote-to-cash with India GST and e-invoicing (unchanged, still the largest risk).</w:t>
      </w:r>
    </w:p>
    <w:p>
      <w:pPr>
        <w:pStyle w:val="ListParagraph"/>
        <w:numPr>
          <w:ilvl w:val="0"/>
          <w:numId w:val="15"/>
        </w:numPr>
      </w:pPr>
      <w:r>
        <w:t xml:space="preserve">People core: employee, leave, attendance, expense claims (unchanged).</w:t>
      </w:r>
    </w:p>
    <w:p>
      <w:pPr>
        <w:pStyle w:val="ListParagraph"/>
        <w:numPr>
          <w:ilvl w:val="0"/>
          <w:numId w:val="15"/>
        </w:numPr>
      </w:pPr>
      <w:r>
        <w:rPr>
          <w:b/>
        </w:rPr>
        <w:t xml:space="preserve">Projects, timesheets and time-based billing</w:t>
      </w:r>
      <w:r>
        <w:t xml:space="preserve"> (replaces inventory; my estimate is 6 to 8 weeks).</w:t>
      </w:r>
    </w:p>
    <w:p>
      <w:pPr>
        <w:pStyle w:val="ListParagraph"/>
        <w:numPr>
          <w:ilvl w:val="0"/>
          <w:numId w:val="15"/>
        </w:numPr>
      </w:pPr>
      <w:r>
        <w:rPr>
          <w:b/>
        </w:rPr>
        <w:t xml:space="preserve">Payroll for India</w:t>
      </w:r>
      <w:r>
        <w:t xml:space="preserve"> (moved up: services firms are mostly salary cost, so payroll is a main reason to buy). Keep the parallel-run gate against real payslips, and start only once the state labour-code rules you need are published.</w:t>
      </w:r>
    </w:p>
    <w:p>
      <w:pPr>
        <w:pStyle w:val="ListParagraph"/>
        <w:numPr>
          <w:ilvl w:val="0"/>
          <w:numId w:val="15"/>
        </w:numPr>
      </w:pPr>
      <w:r>
        <w:t xml:space="preserve">Inventory and procure-to-pay, only if a customer asks.</w:t>
      </w:r>
    </w:p>
    <w:p>
      <w:r>
        <w:t xml:space="preserve">The clean-room rule is unchanged: Frappe's Project, Task and Timesheet behaviour is specified from its docs and demos, not its code. Frappe's Projects documents sit in a module group of 83 DocTypes shared with Support and Quality, so most of that group is not needed.</w:t>
      </w:r>
    </w:p>
    <w:p>
      <w:pPr>
        <w:pStyle w:val="Heading2"/>
      </w:pPr>
      <w:r>
        <w:t xml:space="preserve">Startup customers: what changes again</w:t>
      </w:r>
    </w:p>
    <w:p>
      <w:r>
        <w:t xml:space="preserve">Your buyers are Indian startups, so assume small teams, no finance staff, a founder as the admin, and a tight budget. These are my working assumptions about that buyer, not researched facts; test them with five or six founders before you commit.</w:t>
      </w:r>
    </w:p>
    <w:p>
      <w:r>
        <w:rPr>
          <w:b/>
        </w:rPr>
        <w:t xml:space="preserve">Simplify</w:t>
      </w:r>
    </w:p>
    <w:p>
      <w:pPr>
        <w:pStyle w:val="ListParagraph"/>
        <w:numPr>
          <w:ilvl w:val="0"/>
          <w:numId w:val="16"/>
        </w:numPr>
      </w:pPr>
      <w:r>
        <w:rPr>
          <w:b/>
        </w:rPr>
        <w:t xml:space="preserve">Self-serve onboarding</w:t>
      </w:r>
      <w:r>
        <w:t xml:space="preserve"> in minutes: sign up, add company, GSTIN and first user, with sensible India defaults already loaded. Frappe's setup wizard and 300-plus setup DocTypes are the thing not to copy.</w:t>
      </w:r>
    </w:p>
    <w:p>
      <w:pPr>
        <w:pStyle w:val="ListParagraph"/>
        <w:numPr>
          <w:ilvl w:val="0"/>
          <w:numId w:val="16"/>
        </w:numPr>
      </w:pPr>
      <w:r>
        <w:rPr>
          <w:b/>
        </w:rPr>
        <w:t xml:space="preserve">Fewer concepts on screen.</w:t>
      </w:r>
      <w:r>
        <w:t xml:space="preserve"> Hide cost centres, accounting dimensions and multi-company by default; keep them in the data model so growth does not force a migration.</w:t>
      </w:r>
    </w:p>
    <w:p>
      <w:pPr>
        <w:pStyle w:val="ListParagraph"/>
        <w:numPr>
          <w:ilvl w:val="0"/>
          <w:numId w:val="16"/>
        </w:numPr>
      </w:pPr>
      <w:r>
        <w:rPr>
          <w:b/>
        </w:rPr>
        <w:t xml:space="preserve">Per-seat or per-company pricing</w:t>
      </w:r>
      <w:r>
        <w:t xml:space="preserve"> with a free tier, since the cost of acquiring a startup is high and the contract value is low.</w:t>
      </w:r>
    </w:p>
    <w:p>
      <w:r>
        <w:rPr>
          <w:b/>
        </w:rPr>
        <w:t xml:space="preserve">Compliance order</w:t>
      </w:r>
    </w:p>
    <w:p>
      <w:pPr>
        <w:pStyle w:val="ListParagraph"/>
        <w:numPr>
          <w:ilvl w:val="0"/>
          <w:numId w:val="17"/>
        </w:numPr>
      </w:pPr>
      <w:r>
        <w:rPr>
          <w:b/>
        </w:rPr>
        <w:t xml:space="preserve">E-invoicing moves later.</w:t>
      </w:r>
      <w:r>
        <w:t xml:space="preserve"> Most early startups likely sit below the ₹5 crore turnover threshold (verify the current limit), so ship plain GST invoices first and add the e-invoice adapter when a customer crosses it. Keep the invoice data model ready for it.</w:t>
      </w:r>
    </w:p>
    <w:p>
      <w:pPr>
        <w:pStyle w:val="ListParagraph"/>
        <w:numPr>
          <w:ilvl w:val="0"/>
          <w:numId w:val="17"/>
        </w:numPr>
      </w:pPr>
      <w:r>
        <w:rPr>
          <w:b/>
        </w:rPr>
        <w:t xml:space="preserve">Payroll:</w:t>
      </w:r>
      <w:r>
        <w:t xml:space="preserve"> many startups run salaries through a payroll vendor or their accountant. Consider a lighter first version: salary structure, payslip PDF and a payroll journal posted to the ledger, with PF, ESI, professional tax and TDS computation added once a customer needs it. Your own customer interviews should decide this.</w:t>
      </w:r>
    </w:p>
    <w:p>
      <w:pPr>
        <w:pStyle w:val="ListParagraph"/>
        <w:numPr>
          <w:ilvl w:val="0"/>
          <w:numId w:val="17"/>
        </w:numPr>
      </w:pPr>
      <w:r>
        <w:rPr>
          <w:b/>
        </w:rPr>
        <w:t xml:space="preserve">Founder-facing reports:</w:t>
      </w:r>
      <w:r>
        <w:t xml:space="preserve"> cash runway, receivables ageing, monthly burn and GST payable. These matter more to a startup than a full chart-of-accounts report set.</w:t>
      </w:r>
    </w:p>
    <w:p>
      <w:r>
        <w:rPr>
          <w:b/>
        </w:rPr>
        <w:t xml:space="preserve">Likely integrations:</w:t>
      </w:r>
      <w:r>
        <w:t xml:space="preserve"> UPI and payment gateways for collection, bank statement import, and a handoff to an accountant (export for Tally or a CA login role). Confirm which ones customers actually ask for.</w:t>
      </w:r>
    </w:p>
    <w:p>
      <w:r>
        <w:rPr>
          <w:b/>
        </w:rPr>
        <w:t xml:space="preserve">Effect on the phases.</w:t>
      </w:r>
      <w:r>
        <w:t xml:space="preserve"> Phases 1 to 4 stay as set in the services-firm section, but phase 2 splits into 2a (CRM, quotes, GST invoices, payments) and 2b (e-invoicing, e-way bill), with 2b on demand. Payroll (phase 5) becomes either the lighter version above or an integration, which can save a good part of its 8 to 12 week estimate.</w:t>
      </w:r>
    </w:p>
    <w:p>
      <w:pPr>
        <w:pStyle w:val="Heading2"/>
      </w:pPr>
      <w:r>
        <w:t xml:space="preserve">Starting with no customers: a smaller first step</w:t>
      </w:r>
    </w:p>
    <w:p>
      <w:r>
        <w:t xml:space="preserve">With no customers yet, the roadmap above is a map of where you could go, not a build order. Building platform, ledger, HR and payroll before anyone has paid is the largest risk in this plan. The estimates assumed about five engineers; if you are one to three people, treat every duration as longer.</w:t>
      </w:r>
    </w:p>
    <w:p>
      <w:r>
        <w:rPr>
          <w:b/>
        </w:rPr>
        <w:t xml:space="preserve">Step 1: find five design partners before writing much code (2 to 4 weeks).</w:t>
      </w:r>
      <w:r>
        <w:t xml:space="preserve"> Talk to founders and small-team owners in your network, startup communities and your own contacts. Ask how they invoice, track leads, and pay people today, and what hurts. Offer free early access in return for weekly feedback. The goal is five who will actually use it, not a survey.</w:t>
      </w:r>
    </w:p>
    <w:p>
      <w:r>
        <w:rPr>
          <w:b/>
        </w:rPr>
        <w:t xml:space="preserve">Step 2: build one thin slice, not three modules.</w:t>
      </w:r>
      <w:r>
        <w:t xml:space="preserve"> Pick the single pain the partners name most. My guess, to be tested, is lead to GST invoice to payment: simple CRM, quotes, GST invoices, payment tracking and a founder dashboard. That uses only the first two parts of the platform (tenancy, auth, audit) and a small ledger.</w:t>
      </w:r>
    </w:p>
    <w:p>
      <w:r>
        <w:rPr>
          <w:b/>
        </w:rPr>
        <w:t xml:space="preserve">Step 3: add HR or projects only when partners ask.</w:t>
      </w:r>
      <w:r>
        <w:t xml:space="preserve"> Employee records, leave and expenses come next if they want them. Projects and timesheets only matter if your design partners are services firms. Payroll waits for a real request.</w:t>
      </w:r>
    </w:p>
    <w:p>
      <w:r>
        <w:rPr>
          <w:b/>
        </w:rPr>
        <w:t xml:space="preserve">What to build first regardless of segment</w:t>
      </w:r>
    </w:p>
    <w:p>
      <w:pPr>
        <w:pStyle w:val="ListParagraph"/>
        <w:numPr>
          <w:ilvl w:val="0"/>
          <w:numId w:val="18"/>
        </w:numPr>
      </w:pPr>
      <w:r>
        <w:t xml:space="preserve">Tenancy, login, roles and audit log, because they are expensive to retrofit.</w:t>
      </w:r>
    </w:p>
    <w:p>
      <w:pPr>
        <w:pStyle w:val="ListParagraph"/>
        <w:numPr>
          <w:ilvl w:val="0"/>
          <w:numId w:val="18"/>
        </w:numPr>
      </w:pPr>
      <w:r>
        <w:t xml:space="preserve">A balanced, append-only ledger underneath invoices, because correctness here is hard to fix later.</w:t>
      </w:r>
    </w:p>
    <w:p>
      <w:pPr>
        <w:pStyle w:val="ListParagraph"/>
        <w:numPr>
          <w:ilvl w:val="0"/>
          <w:numId w:val="18"/>
        </w:numPr>
      </w:pPr>
      <w:r>
        <w:t xml:space="preserve">India defaults (GST, INR, April to March year).</w:t>
      </w:r>
    </w:p>
    <w:p>
      <w:r>
        <w:rPr>
          <w:b/>
        </w:rPr>
        <w:t xml:space="preserve">What to put off:</w:t>
      </w:r>
      <w:r>
        <w:t xml:space="preserve"> a metadata engine for custom DocTypes, workflow designer, report builder, print designer, marketplace, multi-company UI, inventory, manufacturing.</w:t>
      </w:r>
    </w:p>
    <w:p>
      <w:r>
        <w:rPr>
          <w:b/>
        </w:rPr>
        <w:t xml:space="preserve">Decide before building:</w:t>
      </w:r>
      <w:r>
        <w:t xml:space="preserve"> who builds this (solo, small team, or hired), and how long you can fund it without revenue. Those two answers set how many of the phases are realistic in the first year.</w:t>
      </w:r>
    </w:p>
    <w:p>
      <w:pPr>
        <w:pStyle w:val="Heading2"/>
      </w:pPr>
      <w:r>
        <w:t xml:space="preserve">Solo build with Claude: the working plan</w:t>
      </w:r>
    </w:p>
    <w:p>
      <w:r>
        <w:t xml:space="preserve">One founder pairing with an AI coding assistant can move fast on typed CRUD, tests and boilerplate. It does not remove the risks that need a human: customer discovery, accounting and tax correctness, and security review. The weeks below are my rough estimates for part-time to full-time solo work, not benchmarks; expect slips.</w:t>
      </w:r>
    </w:p>
    <w:p>
      <w:r>
        <w:rPr>
          <w:b/>
        </w:rPr>
        <w:t xml:space="preserve">Keep the stack boring and small.</w:t>
      </w:r>
      <w:r>
        <w:t xml:space="preserve"> One repository, one FastAPI service, one Postgres database, one React app, one worker process. No Kubernetes, no microservices, no separate search or message broker until a customer forces it. This follows the target architecture section, cut down.</w:t>
      </w:r>
    </w:p>
    <w:p>
      <w:r>
        <w:rPr>
          <w:b/>
        </w:rPr>
        <w:t xml:space="preserve">Milestones</w:t>
      </w:r>
    </w:p>
    <w:tbl>
      <w:tblPr>
        <w:tblW w:w="0" w:type="auto"/>
        <w:tblLook w:val="04A0" w:firstRow="1" w:lastRow="0" w:firstColumn="1" w:lastColumn="0" w:noHBand="0" w:noVBand="1"/>
      </w:tblPr>
      <w:tblGrid>
        <w:gridCol w:w="2340"/>
        <w:gridCol w:w="2340"/>
        <w:gridCol w:w="2340"/>
        <w:gridCol w:w="2340"/>
      </w:tblGrid>
      <w:tr>
        <w:trPr>
          <w:tblHeader/>
        </w:trPr>
        <w:tc>
          <w:tcPr>
            <w:tcW w:w="2340" w:type="dxa"/>
          </w:tcPr>
          <w:p>
            <w:r>
              <w:t xml:space="preserve">#</w:t>
            </w:r>
          </w:p>
        </w:tc>
        <w:tc>
          <w:tcPr>
            <w:tcW w:w="2340" w:type="dxa"/>
          </w:tcPr>
          <w:p>
            <w:r>
              <w:t xml:space="preserve">Outcome</w:t>
            </w:r>
          </w:p>
        </w:tc>
        <w:tc>
          <w:tcPr>
            <w:tcW w:w="2340" w:type="dxa"/>
          </w:tcPr>
          <w:p>
            <w:r>
              <w:t xml:space="preserve">Rough effort</w:t>
            </w:r>
          </w:p>
        </w:tc>
        <w:tc>
          <w:tcPr>
            <w:tcW w:w="2340" w:type="dxa"/>
          </w:tcPr>
          <w:p>
            <w:r>
              <w:t xml:space="preserve">Exit check</w:t>
            </w:r>
          </w:p>
        </w:tc>
      </w:tr>
      <w:tr>
        <w:tc>
          <w:tcPr>
            <w:tcW w:w="2340" w:type="dxa"/>
          </w:tcPr>
          <w:p>
            <w:r>
              <w:t xml:space="preserve">0</w:t>
            </w:r>
          </w:p>
        </w:tc>
        <w:tc>
          <w:tcPr>
            <w:tcW w:w="2340" w:type="dxa"/>
          </w:tcPr>
          <w:p>
            <w:r>
              <w:t xml:space="preserve">Repo, CI, local dev, tenant-aware schema, login</w:t>
            </w:r>
          </w:p>
        </w:tc>
        <w:tc>
          <w:tcPr>
            <w:tcW w:w="2340" w:type="dxa"/>
          </w:tcPr>
          <w:p>
            <w:r>
              <w:t xml:space="preserve">1 to 2 weeks</w:t>
            </w:r>
          </w:p>
        </w:tc>
        <w:tc>
          <w:tcPr>
            <w:tcW w:w="2340" w:type="dxa"/>
          </w:tcPr>
          <w:p>
            <w:r>
              <w:t xml:space="preserve">Two test tenants cannot see each other's rows</w:t>
            </w:r>
          </w:p>
        </w:tc>
      </w:tr>
      <w:tr>
        <w:tc>
          <w:tcPr>
            <w:tcW w:w="2340" w:type="dxa"/>
          </w:tcPr>
          <w:p>
            <w:r>
              <w:t xml:space="preserve">1</w:t>
            </w:r>
          </w:p>
        </w:tc>
        <w:tc>
          <w:tcPr>
            <w:tcW w:w="2340" w:type="dxa"/>
          </w:tcPr>
          <w:p>
            <w:r>
              <w:t xml:space="preserve">Customers, items, quotes, GST invoices as PDF</w:t>
            </w:r>
          </w:p>
        </w:tc>
        <w:tc>
          <w:tcPr>
            <w:tcW w:w="2340" w:type="dxa"/>
          </w:tcPr>
          <w:p>
            <w:r>
              <w:t xml:space="preserve">3 to 4 weeks</w:t>
            </w:r>
          </w:p>
        </w:tc>
        <w:tc>
          <w:tcPr>
            <w:tcW w:w="2340" w:type="dxa"/>
          </w:tcPr>
          <w:p>
            <w:r>
              <w:t xml:space="preserve">Invoice totals and GST split match hand-checked cases</w:t>
            </w:r>
          </w:p>
        </w:tc>
      </w:tr>
      <w:tr>
        <w:tc>
          <w:tcPr>
            <w:tcW w:w="2340" w:type="dxa"/>
          </w:tcPr>
          <w:p>
            <w:r>
              <w:t xml:space="preserve">2</w:t>
            </w:r>
          </w:p>
        </w:tc>
        <w:tc>
          <w:tcPr>
            <w:tcW w:w="2340" w:type="dxa"/>
          </w:tcPr>
          <w:p>
            <w:r>
              <w:t xml:space="preserve">Append-only ledger under invoices, payments, receivables ageing</w:t>
            </w:r>
          </w:p>
        </w:tc>
        <w:tc>
          <w:tcPr>
            <w:tcW w:w="2340" w:type="dxa"/>
          </w:tcPr>
          <w:p>
            <w:r>
              <w:t xml:space="preserve">3 to 4 weeks</w:t>
            </w:r>
          </w:p>
        </w:tc>
        <w:tc>
          <w:tcPr>
            <w:tcW w:w="2340" w:type="dxa"/>
          </w:tcPr>
          <w:p>
            <w:r>
              <w:t xml:space="preserve">Trial balance nets to zero across a test suite</w:t>
            </w:r>
          </w:p>
        </w:tc>
      </w:tr>
      <w:tr>
        <w:tc>
          <w:tcPr>
            <w:tcW w:w="2340" w:type="dxa"/>
          </w:tcPr>
          <w:p>
            <w:r>
              <w:t xml:space="preserve">3</w:t>
            </w:r>
          </w:p>
        </w:tc>
        <w:tc>
          <w:tcPr>
            <w:tcW w:w="2340" w:type="dxa"/>
          </w:tcPr>
          <w:p>
            <w:r>
              <w:t xml:space="preserve">Simple CRM: leads, deals, notes, tasks</w:t>
            </w:r>
          </w:p>
        </w:tc>
        <w:tc>
          <w:tcPr>
            <w:tcW w:w="2340" w:type="dxa"/>
          </w:tcPr>
          <w:p>
            <w:r>
              <w:t xml:space="preserve">2 to 3 weeks</w:t>
            </w:r>
          </w:p>
        </w:tc>
        <w:tc>
          <w:tcPr>
            <w:tcW w:w="2340" w:type="dxa"/>
          </w:tcPr>
          <w:p>
            <w:r>
              <w:t xml:space="preserve">A design partner moves a real lead to an invoice</w:t>
            </w:r>
          </w:p>
        </w:tc>
      </w:tr>
      <w:tr>
        <w:tc>
          <w:tcPr>
            <w:tcW w:w="2340" w:type="dxa"/>
          </w:tcPr>
          <w:p>
            <w:r>
              <w:t xml:space="preserve">4</w:t>
            </w:r>
          </w:p>
        </w:tc>
        <w:tc>
          <w:tcPr>
            <w:tcW w:w="2340" w:type="dxa"/>
          </w:tcPr>
          <w:p>
            <w:r>
              <w:t xml:space="preserve">Founder dashboard, data export, audit log</w:t>
            </w:r>
          </w:p>
        </w:tc>
        <w:tc>
          <w:tcPr>
            <w:tcW w:w="2340" w:type="dxa"/>
          </w:tcPr>
          <w:p>
            <w:r>
              <w:t xml:space="preserve">1 to 2 weeks</w:t>
            </w:r>
          </w:p>
        </w:tc>
        <w:tc>
          <w:tcPr>
            <w:tcW w:w="2340" w:type="dxa"/>
          </w:tcPr>
          <w:p>
            <w:r>
              <w:t xml:space="preserve">Partner can answer "who owes me what" without help</w:t>
            </w:r>
          </w:p>
        </w:tc>
      </w:tr>
    </w:tbl>
    <w:p>
      <w:r>
        <w:t xml:space="preserve">Partner interviews run in parallel from week 0. HR, projects and payroll start only after milestone 4 and only on partner demand.</w:t>
      </w:r>
    </w:p>
    <w:p>
      <w:r>
        <w:rPr>
          <w:b/>
        </w:rPr>
        <w:t xml:space="preserve">How the work is split.</w:t>
      </w:r>
      <w:r>
        <w:t xml:space="preserve"> Claude drafts code, migrations and tests inside the repository, runs the test suite and linters, and reviews diffs. You decide scope, talk to customers, validate the GST and accounting rules with a chartered accountant, and review anything touching money, permissions or tenant isolation.</w:t>
      </w:r>
    </w:p>
    <w:p>
      <w:r>
        <w:rPr>
          <w:b/>
        </w:rPr>
        <w:t xml:space="preserve">Non-negotiable checks for a solo project:</w:t>
      </w:r>
      <w:r>
        <w:t xml:space="preserve"> automated tenant-isolation tests, ledger balance tests, secrets kept out of the repository, database backups with a tested restore, and a written list of what you have and have not verified. Get an accountant to review the invoice and ledger logic before the first paying customer.</w:t>
      </w:r>
    </w:p>
    <w:p>
      <w:pPr>
        <w:pStyle w:val="Heading2"/>
      </w:pPr>
      <w:r>
        <w:t xml:space="preserve">Sources and verification</w:t>
      </w:r>
    </w:p>
    <w:p>
      <w:r>
        <w:t xml:space="preserve">As of 17 Oct 2026. Pages and repositories actually read:</w:t>
      </w:r>
    </w:p>
    <w:p>
      <w:pPr>
        <w:pStyle w:val="ListParagraph"/>
        <w:numPr>
          <w:ilvl w:val="0"/>
          <w:numId w:val="19"/>
        </w:numPr>
      </w:pPr>
      <w:hyperlink r:id="rId1" w:history="1">
        <w:r>
          <w:t xml:space="preserve">frappe/frappe</w:t>
        </w:r>
      </w:hyperlink>
      <w:r>
        <w:t xml:space="preserve">, </w:t>
      </w:r>
      <w:hyperlink r:id="rId2" w:history="1">
        <w:r>
          <w:t xml:space="preserve">frappe/erpnext</w:t>
        </w:r>
      </w:hyperlink>
      <w:r>
        <w:t xml:space="preserve">, </w:t>
      </w:r>
      <w:hyperlink r:id="rId3" w:history="1">
        <w:r>
          <w:t xml:space="preserve">frappe/hrms</w:t>
        </w:r>
      </w:hyperlink>
      <w:r>
        <w:t xml:space="preserve">, </w:t>
      </w:r>
      <w:hyperlink r:id="rId4" w:history="1">
        <w:r>
          <w:t xml:space="preserve">frappe/crm</w:t>
        </w:r>
      </w:hyperlink>
      <w:r>
        <w:t xml:space="preserve">: shallow clones of </w:t>
      </w:r>
      <w:r>
        <w:rPr>
          <w:rFonts w:ascii="Courier New" w:hAnsi="Courier New"/>
        </w:rPr>
        <w:t xml:space="preserve">develop</w:t>
      </w:r>
      <w:r>
        <w:t xml:space="preserve">; DocType, field and line counts come from parsing the JSON and source files.</w:t>
      </w:r>
    </w:p>
    <w:p>
      <w:pPr>
        <w:pStyle w:val="ListParagraph"/>
        <w:numPr>
          <w:ilvl w:val="0"/>
          <w:numId w:val="19"/>
        </w:numPr>
      </w:pPr>
      <w:hyperlink r:id="rId6" w:history="1">
        <w:r>
          <w:t xml:space="preserve">Framework DocTypes</w:t>
        </w:r>
      </w:hyperlink>
      <w:r>
        <w:t xml:space="preserve"> and architecture pages.</w:t>
      </w:r>
    </w:p>
    <w:p>
      <w:pPr>
        <w:pStyle w:val="ListParagraph"/>
        <w:numPr>
          <w:ilvl w:val="0"/>
          <w:numId w:val="19"/>
        </w:numPr>
      </w:pPr>
      <w:hyperlink r:id="rId8" w:history="1">
        <w:r>
          <w:t xml:space="preserve">ERPNext introduction</w:t>
        </w:r>
      </w:hyperlink>
      <w:r>
        <w:t xml:space="preserve"> and </w:t>
      </w:r>
      <w:hyperlink r:id="rId7" w:history="1">
        <w:r>
          <w:t xml:space="preserve">HR introduction</w:t>
        </w:r>
      </w:hyperlink>
      <w:r>
        <w:t xml:space="preserve">.</w:t>
      </w:r>
    </w:p>
    <w:p>
      <w:pPr>
        <w:pStyle w:val="ListParagraph"/>
        <w:numPr>
          <w:ilvl w:val="0"/>
          <w:numId w:val="19"/>
        </w:numPr>
      </w:pPr>
      <w:hyperlink r:id="rId5" w:history="1">
        <w:r>
          <w:t xml:space="preserve">Licence and trademark policy</w:t>
        </w:r>
      </w:hyperlink>
      <w:r>
        <w:t xml:space="preserve">.</w:t>
      </w:r>
    </w:p>
    <w:p>
      <w:r>
        <w:rPr>
          <w:b/>
        </w:rPr>
        <w:t xml:space="preserve">What was and was not verified.</w:t>
      </w:r>
      <w:r>
        <w:t xml:space="preserve"> Counts and dependency declarations were checked against the cloned code, and the one-database-per-site claim against the framework installer, which generates a database name per site. No application was installed, run or tested. Roadmap durations are planning estimates, and the licence and clean-room reading needs legal review.</w:t>
      </w:r>
    </w:p>
    <w:sectPr>
      <w:type w:val="nextPage"/>
      <w:pgSz w:w="12240" w:h="15840"/>
      <w:pgMar w:top="1440" w:right="1440" w:bottom="1440" w:left="1440" w:header="720" w:footer="720" w:gutter="0"/>
      <w:cols w:space="720" w:num="1"/>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abstractNum w:abstractNumId="0">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1">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2">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3">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5">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6">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7">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8">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10">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11">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12">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13">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14">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5">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16">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17">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18">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characterSpacingControl w:val="doNotCompress"/>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Aptos" w:hAnsi="Aptos"/>
        <w:kern w:val="2"/>
        <w:sz w:val="24"/>
        <w:lang w:val="en-US"/>
      </w:rPr>
    </w:rPrDefault>
    <w:pPrDefault>
      <w:pPr>
        <w:widowControl/>
        <w:spacing w:before="0" w:after="160" w:line="276" w:lineRule="auto"/>
      </w:pPr>
    </w:pPrDefault>
  </w:docDefaults>
  <w:style w:type="paragraph" w:styleId="Normal" w:default="1">
    <w:name w:val="Normal"/>
    <w:uiPriority w:val="0"/>
    <w:qFormat/>
  </w:style>
  <w:style w:type="character" w:styleId="DefaultParagraphFont" w:default="1">
    <w:name w:val="Default Paragraph Font"/>
    <w:uiPriority w:val="1"/>
    <w:semiHidden/>
    <w:unhideWhenUsed/>
  </w:style>
  <w:style w:type="paragraph" w:styleId="NoSpacing">
    <w:name w:val="No Spacing"/>
    <w:basedOn w:val="Normal"/>
    <w:uiPriority w:val="1"/>
    <w:qFormat/>
    <w:pPr>
      <w:spacing w:after="0" w:line="240" w:lineRule="auto"/>
    </w:pPr>
  </w:style>
  <w:style w:type="paragraph" w:styleId="Heading1">
    <w:name w:val="heading 1"/>
    <w:basedOn w:val="Normal"/>
    <w:next w:val="Normal"/>
    <w:link w:val="Heading1Char"/>
    <w:uiPriority w:val="10"/>
    <w:qFormat/>
    <w:pPr>
      <w:keepNext/>
      <w:keepLines/>
      <w:spacing w:before="360" w:after="80"/>
      <w:outlineLvl w:val="0"/>
    </w:pPr>
    <w:rPr>
      <w:rFonts w:ascii="Aptos Display" w:hAnsi="Aptos Display"/>
      <w:color w:val="0F4761"/>
      <w:sz w:val="40"/>
    </w:rPr>
  </w:style>
  <w:style w:type="paragraph" w:styleId="Heading2">
    <w:name w:val="heading 2"/>
    <w:basedOn w:val="Normal"/>
    <w:next w:val="Normal"/>
    <w:link w:val="Heading2Char"/>
    <w:uiPriority w:val="11"/>
    <w:qFormat/>
    <w:pPr>
      <w:keepNext/>
      <w:keepLines/>
      <w:spacing w:before="160" w:after="80"/>
      <w:outlineLvl w:val="1"/>
    </w:pPr>
    <w:rPr>
      <w:rFonts w:ascii="Aptos Display" w:hAnsi="Aptos Display"/>
      <w:color w:val="0F4761"/>
      <w:sz w:val="32"/>
    </w:rPr>
  </w:style>
  <w:style w:type="paragraph" w:styleId="Heading3">
    <w:name w:val="heading 3"/>
    <w:basedOn w:val="Normal"/>
    <w:next w:val="Normal"/>
    <w:link w:val="Heading3Char"/>
    <w:uiPriority w:val="12"/>
    <w:qFormat/>
    <w:pPr>
      <w:keepNext/>
      <w:keepLines/>
      <w:spacing w:before="160" w:after="80"/>
      <w:outlineLvl w:val="2"/>
    </w:pPr>
    <w:rPr>
      <w:rFonts w:ascii="Aptos" w:hAnsi="Aptos"/>
      <w:color w:val="0F4761"/>
      <w:sz w:val="28"/>
    </w:rPr>
  </w:style>
  <w:style w:type="paragraph" w:styleId="Heading4">
    <w:name w:val="heading 4"/>
    <w:basedOn w:val="Normal"/>
    <w:next w:val="Normal"/>
    <w:link w:val="Heading4Char"/>
    <w:uiPriority w:val="13"/>
    <w:pPr>
      <w:keepNext/>
      <w:keepLines/>
      <w:spacing w:before="80" w:after="40"/>
      <w:outlineLvl w:val="3"/>
    </w:pPr>
    <w:rPr>
      <w:rFonts w:ascii="Aptos" w:hAnsi="Aptos"/>
      <w:i/>
      <w:color w:val="0F4761"/>
      <w:sz w:val="24"/>
    </w:rPr>
  </w:style>
  <w:style w:type="paragraph" w:styleId="Heading5">
    <w:name w:val="heading 5"/>
    <w:basedOn w:val="Normal"/>
    <w:next w:val="Normal"/>
    <w:link w:val="Heading5Char"/>
    <w:uiPriority w:val="14"/>
    <w:pPr>
      <w:keepNext/>
      <w:keepLines/>
      <w:spacing w:before="80" w:after="40"/>
      <w:outlineLvl w:val="4"/>
    </w:pPr>
    <w:rPr>
      <w:rFonts w:ascii="Aptos" w:hAnsi="Aptos"/>
      <w:color w:val="0F4761"/>
      <w:sz w:val="24"/>
    </w:rPr>
  </w:style>
  <w:style w:type="paragraph" w:styleId="Heading6">
    <w:name w:val="heading 6"/>
    <w:basedOn w:val="Normal"/>
    <w:next w:val="Normal"/>
    <w:link w:val="Heading6Char"/>
    <w:uiPriority w:val="15"/>
    <w:pPr>
      <w:keepNext/>
      <w:keepLines/>
      <w:spacing w:before="40" w:after="0"/>
      <w:outlineLvl w:val="5"/>
    </w:pPr>
    <w:rPr>
      <w:rFonts w:ascii="Aptos" w:hAnsi="Aptos"/>
      <w:i/>
      <w:color w:val="595959"/>
      <w:sz w:val="24"/>
    </w:rPr>
  </w:style>
  <w:style w:type="paragraph" w:styleId="Heading7">
    <w:name w:val="heading 7"/>
    <w:basedOn w:val="Normal"/>
    <w:next w:val="Normal"/>
    <w:link w:val="Heading7Char"/>
    <w:uiPriority w:val="16"/>
    <w:pPr>
      <w:keepNext/>
      <w:keepLines/>
      <w:spacing w:before="40" w:after="0"/>
      <w:outlineLvl w:val="6"/>
    </w:pPr>
    <w:rPr>
      <w:rFonts w:ascii="Aptos" w:hAnsi="Aptos"/>
      <w:color w:val="595959"/>
      <w:sz w:val="24"/>
    </w:rPr>
  </w:style>
  <w:style w:type="paragraph" w:styleId="Heading8">
    <w:name w:val="heading 8"/>
    <w:basedOn w:val="Normal"/>
    <w:next w:val="Normal"/>
    <w:link w:val="Heading8Char"/>
    <w:uiPriority w:val="17"/>
    <w:pPr>
      <w:keepNext/>
      <w:keepLines/>
      <w:spacing w:before="0" w:after="0"/>
      <w:outlineLvl w:val="7"/>
    </w:pPr>
    <w:rPr>
      <w:rFonts w:ascii="Aptos" w:hAnsi="Aptos"/>
      <w:i/>
      <w:color w:val="272727"/>
      <w:sz w:val="24"/>
    </w:rPr>
  </w:style>
  <w:style w:type="paragraph" w:styleId="Heading9">
    <w:name w:val="heading 9"/>
    <w:basedOn w:val="Normal"/>
    <w:next w:val="Normal"/>
    <w:link w:val="Heading9Char"/>
    <w:uiPriority w:val="18"/>
    <w:pPr>
      <w:keepNext/>
      <w:keepLines/>
      <w:spacing w:before="0" w:after="0"/>
      <w:outlineLvl w:val="8"/>
    </w:pPr>
    <w:rPr>
      <w:rFonts w:ascii="Aptos" w:hAnsi="Aptos"/>
      <w:color w:val="272727"/>
      <w:sz w:val="24"/>
    </w:rPr>
  </w:style>
  <w:style w:type="paragraph" w:styleId="Title">
    <w:name w:val="Title"/>
    <w:basedOn w:val="Normal"/>
    <w:next w:val="Normal"/>
    <w:uiPriority w:val="10"/>
    <w:qFormat/>
    <w:pPr>
      <w:spacing w:after="80" w:line="240" w:lineRule="auto"/>
      <w:contextualSpacing/>
    </w:pPr>
    <w:rPr>
      <w:rFonts w:ascii="Aptos Display" w:hAnsi="Aptos Display"/>
      <w:spacing w:val="-10"/>
      <w:kern w:val="28"/>
      <w:sz w:val="56"/>
    </w:rPr>
  </w:style>
  <w:style w:type="paragraph" w:styleId="Subtitle">
    <w:name w:val="Subtitle"/>
    <w:basedOn w:val="Normal"/>
    <w:next w:val="Normal"/>
    <w:uiPriority w:val="11"/>
    <w:qFormat/>
    <w:rPr>
      <w:color w:val="595959"/>
      <w:spacing w:val="15"/>
      <w:sz w:val="28"/>
    </w:rPr>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IntenseEmphasis">
    <w:name w:val="Intense Emphasis"/>
    <w:basedOn w:val="DefaultParagraphFont"/>
    <w:uiPriority w:val="21"/>
    <w:qFormat/>
    <w:rPr>
      <w:i/>
      <w:color w:val="0F4761"/>
    </w:rPr>
  </w:style>
  <w:style w:type="character" w:styleId="Strong">
    <w:name w:val="Strong"/>
    <w:basedOn w:val="DefaultParagraphFont"/>
    <w:uiPriority w:val="22"/>
    <w:qFormat/>
    <w:rPr>
      <w:b/>
    </w:rPr>
  </w:style>
  <w:style w:type="paragraph" w:styleId="Quote">
    <w:name w:val="Quote"/>
    <w:basedOn w:val="Normal"/>
    <w:next w:val="Normal"/>
    <w:uiPriority w:val="29"/>
    <w:qFormat/>
    <w:pPr>
      <w:spacing w:before="160"/>
      <w:jc w:val="center"/>
    </w:pPr>
    <w:rPr>
      <w:i/>
      <w:color w:val="404040"/>
    </w:r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character" w:styleId="SubtleReference">
    <w:name w:val="Subtle Reference"/>
    <w:basedOn w:val="DefaultParagraphFont"/>
    <w:uiPriority w:val="31"/>
    <w:qFormat/>
    <w:rPr>
      <w:smallCaps/>
      <w:color w:val="5A5A5A"/>
    </w:rPr>
  </w:style>
  <w:style w:type="character" w:styleId="IntenseReference">
    <w:name w:val="Intense Reference"/>
    <w:basedOn w:val="DefaultParagraphFont"/>
    <w:uiPriority w:val="32"/>
    <w:qFormat/>
    <w:rPr>
      <w:b/>
      <w:smallCaps/>
      <w:color w:val="0F4761"/>
      <w:spacing w:val="5"/>
    </w:rPr>
  </w:style>
  <w:style w:type="character" w:styleId="BookTitle">
    <w:name w:val="Book Title"/>
    <w:basedOn w:val="DefaultParagraphFont"/>
    <w:uiPriority w:val="33"/>
    <w:qFormat/>
    <w:rPr>
      <w:b/>
      <w:i/>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467886"/>
      <w:u w:val="single"/>
    </w:rPr>
  </w:style>
  <w:style w:type="paragraph" w:styleId="Caption">
    <w:name w:val="caption"/>
    <w:basedOn w:val="Normal"/>
    <w:next w:val="Normal"/>
    <w:uiPriority w:val="35"/>
    <w:pPr>
      <w:spacing w:after="200" w:line="240" w:lineRule="auto"/>
    </w:pPr>
    <w:rPr>
      <w:i/>
      <w:color w:val="0E2841"/>
      <w:sz w:val="18"/>
    </w:rPr>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Heading">
    <w:name w:val="TOC Heading"/>
    <w:basedOn w:val="Heading1"/>
    <w:next w:val="Normal"/>
    <w:uiPriority w:val="39"/>
    <w:pPr>
      <w:spacing w:before="240"/>
      <w:outlineLvl w:val="9"/>
    </w:p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TableGrid">
    <w:name w:val="Table 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Normal" w:default="1">
    <w:name w:val="Normal Table"/>
    <w:semiHidden/>
    <w:unhideWhenUsed/>
  </w:style>
  <w:style w:type="table" w:styleId="PlainTable1">
    <w:name w:val="Plain Table 1"/>
    <w:basedOn w:val="TableNormal"/>
    <w:uiPriority w:val="6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rPr>
    </w:tblStylePr>
    <w:tblStylePr w:type="firstCol">
      <w:rPr>
        <w:b/>
      </w:rPr>
    </w:tblStylePr>
    <w:tblStylePr w:type="band1Horz">
      <w:tcPr>
        <w:shd w:val="clear" w:color="auto" w:fill="F2F2F2"/>
      </w:tcPr>
    </w:tblStylePr>
  </w:style>
  <w:style w:type="table" w:styleId="GridTable1Light">
    <w:name w:val="Grid Table 1 Light"/>
    <w:basedOn w:val="TableNormal"/>
    <w:uiPriority w:val="60"/>
    <w:pPr>
      <w:spacing w:after="0" w:line="240" w:lineRule="auto"/>
    </w:p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rPr>
    </w:tblStylePr>
    <w:tblStylePr w:type="firstCol">
      <w:rPr>
        <w:b/>
      </w:rPr>
    </w:tblStylePr>
  </w:style>
  <w:style w:type="table" w:styleId="GridTable4AccentBlue">
    <w:name w:val="Grid Table 4 – Blue"/>
    <w:basedOn w:val="TableNormal"/>
    <w:uiPriority w:val="60"/>
    <w:pPr>
      <w:spacing w:after="0" w:line="240" w:lineRule="auto"/>
    </w:pPr>
    <w:tblPr>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firstRow">
      <w:rPr>
        <w:b/>
        <w:color w:val="FFFFFF"/>
      </w:rPr>
      <w:tcPr>
        <w:shd w:val="clear" w:color="auto" w:fill="156082"/>
      </w:tcPr>
    </w:tblStylePr>
    <w:tblStylePr w:type="firstCol">
      <w:rPr>
        <w:b/>
      </w:rPr>
    </w:tblStylePr>
    <w:tblStylePr w:type="band1Horz">
      <w:tcPr>
        <w:shd w:val="clear" w:color="auto" w:fill="C1E4F5"/>
      </w:tcPr>
    </w:tblStylePr>
  </w:style>
  <w:style w:type="table" w:styleId="ListTable3AccentBlue">
    <w:name w:val="List Table 3 – Blue"/>
    <w:basedOn w:val="TableNormal"/>
    <w:uiPriority w:val="60"/>
    <w:pPr>
      <w:spacing w:after="0" w:line="240" w:lineRule="auto"/>
    </w:pPr>
    <w:tblPr>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firstRow">
      <w:rPr>
        <w:b/>
        <w:color w:val="FFFFFF"/>
      </w:rPr>
      <w:tcPr>
        <w:shd w:val="clear" w:color="auto" w:fill="E97132"/>
      </w:tcPr>
    </w:tblStylePr>
    <w:tblStylePr w:type="firstCol">
      <w:rPr>
        <w:b/>
      </w:rPr>
    </w:tblStylePr>
    <w:tblStylePr w:type="band1Horz">
      <w:tcPr>
        <w:shd w:val="clear" w:color="auto" w:fill="FBE2D5"/>
      </w:tcPr>
    </w:tblStylePr>
  </w:style>
  <w:style w:type="table" w:styleId="ListTable3AccentOrange">
    <w:name w:val="List Table 3 – Orange"/>
    <w:basedOn w:val="TableNormal"/>
    <w:uiPriority w:val="60"/>
    <w:pPr>
      <w:spacing w:after="0" w:line="240" w:lineRule="auto"/>
    </w:pPr>
    <w:tblPr>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firstRow">
      <w:rPr>
        <w:b/>
        <w:color w:val="FFFFFF"/>
      </w:rPr>
      <w:tcPr>
        <w:shd w:val="clear" w:color="auto" w:fill="196B24"/>
      </w:tcPr>
    </w:tblStylePr>
    <w:tblStylePr w:type="firstCol">
      <w:rPr>
        <w:b/>
      </w:rPr>
    </w:tblStylePr>
    <w:tblStylePr w:type="band1Horz">
      <w:tcPr>
        <w:shd w:val="clear" w:color="auto" w:fill="C1F0C8"/>
      </w:tcPr>
    </w:tblStylePr>
  </w:style>
  <w:style w:type="table" w:styleId="ListTable3AccentGreen">
    <w:name w:val="List Table 3 – Green"/>
    <w:basedOn w:val="TableNormal"/>
    <w:uiPriority w:val="60"/>
    <w:pPr>
      <w:spacing w:after="0" w:line="240" w:lineRule="auto"/>
    </w:pPr>
    <w:tblPr>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firstRow">
      <w:rPr>
        <w:b/>
        <w:color w:val="FFFFFF"/>
      </w:rPr>
      <w:tcPr>
        <w:shd w:val="clear" w:color="auto" w:fill="712E8D"/>
      </w:tcPr>
    </w:tblStylePr>
    <w:tblStylePr w:type="firstCol">
      <w:rPr>
        <w:b/>
      </w:rPr>
    </w:tblStylePr>
    <w:tblStylePr w:type="band1Horz">
      <w:tcPr>
        <w:shd w:val="clear" w:color="auto" w:fill="E5D2EE"/>
      </w:tcPr>
    </w:tblStylePr>
  </w:style>
  <w:style w:type="table" w:styleId="ListTable3AccentPurple">
    <w:name w:val="List Table 3 – Purple"/>
    <w:basedOn w:val="TableNormal"/>
    <w:uiPriority w:val="60"/>
    <w:pPr>
      <w:spacing w:after="0" w:line="240" w:lineRule="auto"/>
    </w:pPr>
    <w:tblPr>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_rels/document.xml.rels><?xml version="1.0" encoding="UTF-8" standalone="yes"?>
<Relationships xmlns="http://schemas.openxmlformats.org/package/2006/relationships"><Relationship Id="rId1" Type="http://schemas.openxmlformats.org/officeDocument/2006/relationships/hyperlink" Target="https://github.com/frappe/frappe" TargetMode="External"/><Relationship Id="rId2" Type="http://schemas.openxmlformats.org/officeDocument/2006/relationships/hyperlink" Target="https://github.com/frappe/erpnext" TargetMode="External"/><Relationship Id="rId3" Type="http://schemas.openxmlformats.org/officeDocument/2006/relationships/hyperlink" Target="https://github.com/frappe/hrms" TargetMode="External"/><Relationship Id="rId4" Type="http://schemas.openxmlformats.org/officeDocument/2006/relationships/hyperlink" Target="https://github.com/frappe/crm" TargetMode="External"/><Relationship Id="rId5" Type="http://schemas.openxmlformats.org/officeDocument/2006/relationships/hyperlink" Target="https://docs.frappe.io/legal/others/license-and-trademark" TargetMode="External"/><Relationship Id="rId6" Type="http://schemas.openxmlformats.org/officeDocument/2006/relationships/hyperlink" Target="https://docs.frappe.io/framework/user/en/basics/doctypes" TargetMode="External"/><Relationship Id="rId7" Type="http://schemas.openxmlformats.org/officeDocument/2006/relationships/hyperlink" Target="https://docs.frappe.io/hr/introduction" TargetMode="External"/><Relationship Id="rId8" Type="http://schemas.openxmlformats.org/officeDocument/2006/relationships/hyperlink" Target="https://docs.frappe.io/erpnext/introduction" TargetMode="External"/><Relationship Id="rId9" Type="http://schemas.openxmlformats.org/officeDocument/2006/relationships/hyperlink" Target="https://docs.frappe.io/erpnext/india-compliance-app.md" TargetMode="External"/><Relationship Id="rId10" Type="http://schemas.openxmlformats.org/officeDocument/2006/relationships/hyperlink" Target="https://www.gimbooks.com/blog/5-crore-e-invoice-turnover-rule-2026/amp/" TargetMode="External"/><Relationship Id="rId11" Type="http://schemas.openxmlformats.org/officeDocument/2006/relationships/hyperlink" Target="https://hrone.cloud/?p=53950" TargetMode="External"/><Relationship Id="rId12" Type="http://schemas.openxmlformats.org/officeDocument/2006/relationships/styles" Target="styles.xml"/><Relationship Id="rId13" Type="http://schemas.openxmlformats.org/officeDocument/2006/relationships/numbering" Target="numbering.xml"/><Relationship Id="rId14" Type="http://schemas.openxmlformats.org/officeDocument/2006/relationships/settings" Target="settings.xml"/><Relationship Id="rId15" Type="http://schemas.openxmlformats.org/officeDocument/2006/relationships/theme" Target="theme/theme1.xml"/></Relationships>
</file>

<file path=word/theme/theme1.xml><?xml version="1.0" encoding="utf-8"?>
<a:theme xmlns:a="http://schemas.openxmlformats.org/drawingml/2006/main" name="Craft">
  <a:themeElements>
    <a:clrScheme name="Craf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raft">
      <a:majorFont>
        <a:latin typeface="Aptos Display"/>
        <a:ea typeface=""/>
        <a:cs typeface=""/>
      </a:majorFont>
      <a:minorFont>
        <a:latin typeface="Aptos"/>
        <a:ea typeface=""/>
        <a:cs typeface=""/>
      </a:minorFont>
    </a:fontScheme>
    <a:fmtScheme name="Craft">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4346</Words>
  <Paragraphs>323</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WordCraft User</cp:lastModifiedBy>
  <cp:revision>1</cp:revision>
  <dcterms:created xsi:type="dcterms:W3CDTF">2026-10-17T15:57:42Z</dcterms:created>
  <dcterms:modified xsi:type="dcterms:W3CDTF">2026-10-17T15:57:42Z</dcterms:modified>
</cp:coreProperties>
</file>