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ad-layer-standards"/>
    <w:p>
      <w:pPr>
        <w:pStyle w:val="Heading1"/>
      </w:pPr>
      <w:r>
        <w:t xml:space="preserve">CAD Layer Standards</w:t>
      </w:r>
    </w:p>
    <w:bookmarkStart w:id="21" w:name="autocad-layer-naming-convention"/>
    <w:p>
      <w:pPr>
        <w:pStyle w:val="Heading2"/>
      </w:pPr>
      <w:r>
        <w:t xml:space="preserve">AutoCAD Layer Naming Convention</w:t>
      </w:r>
    </w:p>
    <w:bookmarkStart w:id="20" w:name="th-dimension-architects"/>
    <w:p>
      <w:pPr>
        <w:pStyle w:val="Heading3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ayer-naming-format"/>
    <w:p>
      <w:pPr>
        <w:pStyle w:val="Heading2"/>
      </w:pPr>
      <w:r>
        <w:t xml:space="preserve">Layer Naming Format</w:t>
      </w:r>
    </w:p>
    <w:p>
      <w:pPr>
        <w:pStyle w:val="FirstParagraph"/>
      </w:pPr>
      <w:r>
        <w:rPr>
          <w:bCs/>
          <w:b/>
        </w:rPr>
        <w:t xml:space="preserve">DISCIPLINE-ELEMENT-STATUS</w:t>
      </w:r>
    </w:p>
    <w:p>
      <w:r>
        <w:pict>
          <v:rect style="width:0;height:1.5pt" o:hralign="center" o:hrstd="t" o:hr="t"/>
        </w:pict>
      </w:r>
    </w:p>
    <w:bookmarkEnd w:id="22"/>
    <w:bookmarkStart w:id="31" w:name="complete-layer-list"/>
    <w:p>
      <w:pPr>
        <w:pStyle w:val="Heading2"/>
      </w:pPr>
      <w:r>
        <w:t xml:space="preserve">Complete Layer List</w:t>
      </w:r>
    </w:p>
    <w:bookmarkStart w:id="23" w:name="architectural-layers-a-"/>
    <w:p>
      <w:pPr>
        <w:pStyle w:val="Heading3"/>
      </w:pPr>
      <w:r>
        <w:t xml:space="preserve">Architectural Layers (A-)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A-WALL-NEW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A-WALL-EXIST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(Gray)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A-WALL-DEMO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Walls to demolish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A-WALL-PART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A-DOOR-NEW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A-DOOR-EXIST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doors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A-WIND-NEW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A-WIND-EXIST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A-STAIR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Staircases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A-CLNG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(Cyan)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A-FLOR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finishes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slab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Beams (exposed)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A-BALC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Balcony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Railings</w:t>
            </w:r>
          </w:p>
        </w:tc>
      </w:tr>
    </w:tbl>
    <w:bookmarkEnd w:id="23"/>
    <w:bookmarkStart w:id="24" w:name="interior-layers-i-"/>
    <w:p>
      <w:pPr>
        <w:pStyle w:val="Heading3"/>
      </w:pPr>
      <w:r>
        <w:t xml:space="preserve">Interior Layers (I-)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I-FURN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(Magenta)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I-FURN-SOFT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furnishing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I-EQPM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I-APPL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I-FIXT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I-ACCS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Casework/Built-in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I-PLNT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</w:t>
            </w:r>
          </w:p>
        </w:tc>
      </w:tr>
    </w:tbl>
    <w:bookmarkEnd w:id="24"/>
    <w:bookmarkStart w:id="25" w:name="annotation-layers"/>
    <w:p>
      <w:pPr>
        <w:pStyle w:val="Heading3"/>
      </w:pPr>
      <w:r>
        <w:t xml:space="preserve">Annotation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(Yellow)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A-SYMB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A-LEVL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A-DETL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names/numbers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Door/window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bars</w:t>
            </w:r>
          </w:p>
        </w:tc>
      </w:tr>
    </w:tbl>
    <w:bookmarkEnd w:id="25"/>
    <w:bookmarkStart w:id="26" w:name="hatching-layers"/>
    <w:p>
      <w:pPr>
        <w:pStyle w:val="Heading3"/>
      </w:pPr>
      <w:r>
        <w:t xml:space="preserve">Hatching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A-HATCH-SOLID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A-HATCH-WALL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hatch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A-HATCH-CONC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hatch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A-HATCH-BRICK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Brick hatch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A-HATCH-WOOD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 hatch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A-HATCH-TILE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hatch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A-HATCH-EARTH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Earth/soil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A-HATCH-INSUL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Insulation</w:t>
            </w:r>
          </w:p>
        </w:tc>
      </w:tr>
    </w:tbl>
    <w:bookmarkEnd w:id="26"/>
    <w:bookmarkStart w:id="27" w:name="site-layers-l-"/>
    <w:p>
      <w:pPr>
        <w:pStyle w:val="Heading3"/>
      </w:pPr>
      <w:r>
        <w:t xml:space="preserve">Site Layers (L-)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L-SETB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Setback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L-PAVE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L-PLNT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L-LAWN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Lawn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L-BLDG-ADJ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Adjacent buildings</w:t>
            </w:r>
          </w:p>
        </w:tc>
      </w:tr>
    </w:tbl>
    <w:bookmarkEnd w:id="27"/>
    <w:bookmarkStart w:id="28" w:name="electrical-layers-e-"/>
    <w:p>
      <w:pPr>
        <w:pStyle w:val="Heading3"/>
      </w:pPr>
      <w:r>
        <w:t xml:space="preserve">Electrical Layers (E-)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outlets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E-SWCH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Data/telecom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E-SECU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</w:tbl>
    <w:bookmarkEnd w:id="28"/>
    <w:bookmarkStart w:id="29" w:name="plumbing-layers-p-"/>
    <w:p>
      <w:pPr>
        <w:pStyle w:val="Heading3"/>
      </w:pPr>
      <w:r>
        <w:t xml:space="preserve">Plumbing Layers (P-)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P-FIXT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Plumbing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P-EQPM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</w:tr>
    </w:tbl>
    <w:bookmarkEnd w:id="29"/>
    <w:bookmarkStart w:id="30" w:name="utility-layers"/>
    <w:p>
      <w:pPr>
        <w:pStyle w:val="Heading3"/>
      </w:pPr>
      <w:r>
        <w:t xml:space="preserve">Utility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X-VPRT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Viewport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X-XREF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Xref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X-NPLT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AutoCAD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color-chart-reference"/>
    <w:p>
      <w:pPr>
        <w:pStyle w:val="Heading2"/>
      </w:pPr>
      <w:r>
        <w:t xml:space="preserve">Color Chart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Demo,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Dimensions, electrical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Doors, planting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Ceiling,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Windows, plumbing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Interior/furniture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White/Black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Existing,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Non-plot, viewport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use Layer 0</w:t>
      </w:r>
      <w:r>
        <w:t xml:space="preserve"> </w:t>
      </w:r>
      <w:r>
        <w:t xml:space="preserve">for drawing objects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Always freeze unused layers</w:t>
      </w:r>
      <w:r>
        <w:t xml:space="preserve"> </w:t>
      </w:r>
      <w:r>
        <w:t xml:space="preserve">rather than turning off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Lock reference layers</w:t>
      </w:r>
      <w:r>
        <w:t xml:space="preserve"> </w:t>
      </w:r>
      <w:r>
        <w:t xml:space="preserve">to prevent accidental edits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Purge unused layers</w:t>
      </w:r>
      <w:r>
        <w:t xml:space="preserve"> </w:t>
      </w:r>
      <w:r>
        <w:t xml:space="preserve">before issue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layer filters</w:t>
      </w:r>
      <w:r>
        <w:t xml:space="preserve"> </w:t>
      </w:r>
      <w:r>
        <w:t xml:space="preserve">for efficient layer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Reference: Based on AIA CAD Layer Guidelines and NCS v6.0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