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80"/>
      </w:pPr>
      <w:r>
        <w:t xml:space="preserve"/>
      </w:r>
    </w:p>
    <w:p>
      <w:pPr>
        <w:spacing w:after="120" w:before="0"/>
        <w:jc w:val="center"/>
      </w:pPr>
      <w:r>
        <w:rPr>
          <w:rFonts w:ascii="Arial" w:cs="Arial" w:eastAsia="Arial" w:hAnsi="Arial"/>
          <w:b/>
          <w:bCs/>
          <w:color w:val="1F3864"/>
          <w:sz w:val="48"/>
          <w:szCs w:val="48"/>
        </w:rPr>
        <w:t xml:space="preserve">NORTHSTAR FINANCIAL SERVICES</w:t>
      </w:r>
    </w:p>
    <w:p>
      <w:pPr>
        <w:spacing w:after="60" w:before="0"/>
        <w:jc w:val="center"/>
      </w:pPr>
      <w:r>
        <w:rPr>
          <w:rFonts w:ascii="Arial" w:cs="Arial" w:eastAsia="Arial" w:hAnsi="Arial"/>
          <w:color w:val="2E5FA3"/>
          <w:sz w:val="36"/>
          <w:szCs w:val="36"/>
        </w:rPr>
        <w:t xml:space="preserve">Technical Documentation File</w:t>
      </w:r>
    </w:p>
    <w:p>
      <w:pPr>
        <w:pBdr>
          <w:bottom w:val="single" w:color="2E5FA3" w:sz="6" w:space="8"/>
        </w:pBdr>
        <w:spacing w:after="480" w:before="0"/>
        <w:jc w:val="center"/>
      </w:pPr>
      <w:r>
        <w:rPr>
          <w:rFonts w:ascii="Arial" w:cs="Arial" w:eastAsia="Arial" w:hAnsi="Arial"/>
          <w:i/>
          <w:iCs/>
          <w:color w:val="666666"/>
          <w:sz w:val="24"/>
          <w:szCs w:val="24"/>
        </w:rPr>
        <w:t xml:space="preserve">NS-AI-001 CreditScore Pro — EU AI Act Article 11 + Annex IV</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Document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NS-TDF-AI-001</w:t>
            </w:r>
          </w:p>
        </w:tc>
      </w:tr>
      <w:t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System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NS-AI-001 — CreditScore Pro</w:t>
            </w:r>
          </w:p>
        </w:tc>
      </w:tr>
      <w:t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 Initial Conformity Documentation</w:t>
            </w:r>
          </w:p>
        </w:tc>
      </w:tr>
      <w:t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Confidential — Regulatory Use</w:t>
            </w:r>
          </w:p>
        </w:tc>
      </w:tr>
      <w:t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Prepared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April 2026</w:t>
            </w:r>
          </w:p>
        </w:tc>
      </w:tr>
      <w:t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Regulatory Basis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EU AI Act Regulation 2024/1689 — Article 11 and Annex IV</w:t>
            </w:r>
          </w:p>
        </w:tc>
      </w:tr>
      <w:t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Risk Classification</w:t>
            </w:r>
          </w:p>
        </w:tc>
        <w:tc>
          <w:tcPr>
            <w:tcW w:type="dxa" w:w="65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HIGH RISK — Annex III Category 5(b)</w:t>
            </w:r>
          </w:p>
        </w:tc>
      </w:tr>
      <w:t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System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 of Credit Risk</w:t>
            </w:r>
          </w:p>
        </w:tc>
      </w:tr>
      <w:t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Document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Chief Risk Officer</w:t>
            </w:r>
          </w:p>
        </w:tc>
      </w:tr>
      <w:t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Next Review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April 2027 or upon material system change</w:t>
            </w:r>
          </w:p>
        </w:tc>
      </w:tr>
    </w:tbl>
    <w:p>
      <w:r>
        <w:br w:type="page"/>
      </w:r>
    </w:p>
    <w:p>
      <w:pPr>
        <w:pStyle w:val="Heading1"/>
        <w:pBdr>
          <w:bottom w:val="single" w:color="2E5FA3" w:sz="6" w:space="4"/>
        </w:pBdr>
        <w:spacing w:after="120" w:before="360"/>
      </w:pPr>
      <w:r>
        <w:rPr>
          <w:rFonts w:ascii="Arial" w:cs="Arial" w:eastAsia="Arial" w:hAnsi="Arial"/>
          <w:b/>
          <w:bCs/>
          <w:color w:val="1F3864"/>
          <w:sz w:val="28"/>
          <w:szCs w:val="28"/>
        </w:rPr>
        <w:t xml:space="preserve">1. System Overview</w:t>
      </w:r>
    </w:p>
    <w:p>
      <w:pPr>
        <w:pStyle w:val="Heading2"/>
        <w:spacing w:after="80" w:before="240"/>
      </w:pPr>
      <w:r>
        <w:rPr>
          <w:rFonts w:ascii="Arial" w:cs="Arial" w:eastAsia="Arial" w:hAnsi="Arial"/>
          <w:b/>
          <w:bCs/>
          <w:color w:val="2E5FA3"/>
          <w:sz w:val="24"/>
          <w:szCs w:val="24"/>
        </w:rPr>
        <w:t xml:space="preserve">1.1 System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Attribute</w:t>
            </w:r>
          </w:p>
        </w:tc>
        <w:tc>
          <w:tcPr>
            <w:tcW w:type="dxa" w:w="65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System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CreditScore Pro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System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NS-AI-001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Version in Production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v3.2.1 (deployed February 2025)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Deployment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Production — live since 15 March 2022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Business Unit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Retail Lending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Primary 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Credit risk assessment — scoring retail loan applicants on likelihood of default to inform approve/decline decisions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Geographic Scope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European Union — primarily Germany (DE) and Netherlands (NL)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EU AI Act Risk Tier</w:t>
            </w:r>
          </w:p>
        </w:tc>
        <w:tc>
          <w:tcPr>
            <w:tcW w:type="dxa" w:w="65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High Risk — Annex III Category 5(b)</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EU Database Registration</w:t>
            </w:r>
          </w:p>
        </w:tc>
        <w:tc>
          <w:tcPr>
            <w:tcW w:type="dxa" w:w="65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Pending — registration required before continued operation post-April 2026</w:t>
            </w:r>
          </w:p>
        </w:tc>
      </w:tr>
    </w:tbl>
    <w:p>
      <w:pPr>
        <w:spacing w:after="60" w:before="60"/>
      </w:pPr>
      <w:r>
        <w:t xml:space="preserve"/>
      </w:r>
    </w:p>
    <w:p>
      <w:pPr>
        <w:pStyle w:val="Heading2"/>
        <w:spacing w:after="80" w:before="240"/>
      </w:pPr>
      <w:r>
        <w:rPr>
          <w:rFonts w:ascii="Arial" w:cs="Arial" w:eastAsia="Arial" w:hAnsi="Arial"/>
          <w:b/>
          <w:bCs/>
          <w:color w:val="2E5FA3"/>
          <w:sz w:val="24"/>
          <w:szCs w:val="24"/>
        </w:rPr>
        <w:t xml:space="preserve">1.2 Intended Purpose and Operational Context</w:t>
      </w:r>
    </w:p>
    <w:p>
      <w:pPr>
        <w:spacing w:after="60" w:before="60"/>
      </w:pPr>
      <w:r>
        <w:rPr>
          <w:rFonts w:ascii="Arial" w:cs="Arial" w:eastAsia="Arial" w:hAnsi="Arial"/>
          <w:sz w:val="22"/>
          <w:szCs w:val="22"/>
        </w:rPr>
        <w:t xml:space="preserve">CreditScore Pro is a machine learning model that generates a numerical credit score between 0 and 1,000 for retail loan applicants, together with an approve or decline recommendation. The score and recommendation are the primary inputs into NorthStar's lending decision workflow. A loan officer reviews the output before a final decision is communicated to the applicant — human oversight is present but the AI recommendation carries significant operational weight.</w:t>
      </w:r>
    </w:p>
    <w:p>
      <w:pPr>
        <w:spacing w:after="60" w:before="60"/>
      </w:pPr>
      <w:r>
        <w:t xml:space="preserve"/>
      </w:r>
    </w:p>
    <w:p>
      <w:pPr>
        <w:spacing w:after="60" w:before="60"/>
      </w:pPr>
      <w:r>
        <w:rPr>
          <w:rFonts w:ascii="Arial" w:cs="Arial" w:eastAsia="Arial" w:hAnsi="Arial"/>
          <w:sz w:val="22"/>
          <w:szCs w:val="22"/>
        </w:rPr>
        <w:t xml:space="preserve">The system processes applications submitted through NorthStar's retail banking channels in Germany and the Netherlands. It runs in real time — producing a score within approximately 340 milliseconds of receiving a complete application dataset. Volume: approximately 2,400 applications processed per month across both markets.</w:t>
      </w:r>
    </w:p>
    <w:p>
      <w:pPr>
        <w:spacing w:after="60" w:before="60"/>
      </w:pPr>
      <w:r>
        <w:t xml:space="preserve"/>
      </w:r>
    </w:p>
    <w:p>
      <w:pPr>
        <w:spacing w:after="60" w:before="60"/>
      </w:pPr>
      <w:r>
        <w:rPr>
          <w:rFonts w:ascii="Arial" w:cs="Arial" w:eastAsia="Arial" w:hAnsi="Arial"/>
          <w:sz w:val="22"/>
          <w:szCs w:val="22"/>
        </w:rPr>
        <w:t xml:space="preserve">This is not an advisory or supplementary tool. CreditScore Pro's output directly determines which applicants progress to manual review and which receive an automated decline. That operational reality — combined with the demographic characteristics of the applicant population and the sensitivity of credit access as a fundamental financial service — is why the system carries High Risk classification under EU AI Act Annex III Category 5(b).</w:t>
      </w:r>
    </w:p>
    <w:p>
      <w:pPr>
        <w:spacing w:after="60" w:before="60"/>
      </w:pPr>
      <w:r>
        <w:t xml:space="preserve"/>
      </w:r>
    </w:p>
    <w:p>
      <w:pPr>
        <w:pStyle w:val="Heading2"/>
        <w:spacing w:after="80" w:before="240"/>
      </w:pPr>
      <w:r>
        <w:rPr>
          <w:rFonts w:ascii="Arial" w:cs="Arial" w:eastAsia="Arial" w:hAnsi="Arial"/>
          <w:b/>
          <w:bCs/>
          <w:color w:val="2E5FA3"/>
          <w:sz w:val="24"/>
          <w:szCs w:val="24"/>
        </w:rPr>
        <w:t xml:space="preserve">1.3 System Architecture</w:t>
      </w:r>
    </w:p>
    <w:p>
      <w:pPr>
        <w:spacing w:after="60" w:before="60"/>
      </w:pPr>
      <w:r>
        <w:rPr>
          <w:rFonts w:ascii="Arial" w:cs="Arial" w:eastAsia="Arial" w:hAnsi="Arial"/>
          <w:sz w:val="22"/>
          <w:szCs w:val="22"/>
        </w:rPr>
        <w:t xml:space="preserve">CreditScore Pro is built on an open-source XGBoost gradient boosting framework. The model was trained on NorthStar's historical lending data spanning January 2016 to December 2021 — approximately 847,000 completed loan applications with known outcomes. The training dataset includes both approved applications with repayment outcomes and declined applications where repayment outcome is inferred from bureau data.</w:t>
      </w:r>
    </w:p>
    <w:p>
      <w:pPr>
        <w:spacing w:after="60" w:before="60"/>
      </w:pPr>
      <w:r>
        <w:t xml:space="preserve"/>
      </w:r>
    </w:p>
    <w:p>
      <w:pPr>
        <w:spacing w:after="60" w:before="60"/>
      </w:pPr>
      <w:r>
        <w:rPr>
          <w:rFonts w:ascii="Arial" w:cs="Arial" w:eastAsia="Arial" w:hAnsi="Arial"/>
          <w:sz w:val="22"/>
          <w:szCs w:val="22"/>
        </w:rPr>
        <w:t xml:space="preserve">The model runs on NorthStar's internal infrastructure — it is not a vendor-supplied system. The ML Engineering team owns the codebase, retraining pipeline, and deployment infrastructure. Model updates follow a quarterly review cycle with ad hoc updates triggered by performance threshold breaches.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Component</w:t>
            </w:r>
          </w:p>
        </w:tc>
        <w:tc>
          <w:tcPr>
            <w:tcW w:type="dxa" w:w="69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Model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XGBoost gradient boosting classifier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Training Framework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3.9 — XGBoost 1.7.3, scikit-learn 1.2.0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Serving Infrastructure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NorthStar internal — containerised REST API on Kubernetes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Explainability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SHAP (SHapley Additive exPlanations) — TreeExplainer implementation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Response Time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P99 latency 340ms from application receipt to score output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Availability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99.7% uptime SLA — monitored by ML Engineering</w:t>
            </w:r>
          </w:p>
        </w:tc>
      </w:tr>
    </w:tbl>
    <w:p>
      <w:r>
        <w:br w:type="page"/>
      </w:r>
    </w:p>
    <w:p>
      <w:pPr>
        <w:pStyle w:val="Heading1"/>
        <w:pBdr>
          <w:bottom w:val="single" w:color="2E5FA3" w:sz="6" w:space="4"/>
        </w:pBdr>
        <w:spacing w:after="120" w:before="360"/>
      </w:pPr>
      <w:r>
        <w:rPr>
          <w:rFonts w:ascii="Arial" w:cs="Arial" w:eastAsia="Arial" w:hAnsi="Arial"/>
          <w:b/>
          <w:bCs/>
          <w:color w:val="1F3864"/>
          <w:sz w:val="28"/>
          <w:szCs w:val="28"/>
        </w:rPr>
        <w:t xml:space="preserve">2. Data Governance — Article 10</w:t>
      </w:r>
    </w:p>
    <w:p>
      <w:pPr>
        <w:pStyle w:val="Heading2"/>
        <w:spacing w:after="80" w:before="240"/>
      </w:pPr>
      <w:r>
        <w:rPr>
          <w:rFonts w:ascii="Arial" w:cs="Arial" w:eastAsia="Arial" w:hAnsi="Arial"/>
          <w:b/>
          <w:bCs/>
          <w:color w:val="2E5FA3"/>
          <w:sz w:val="24"/>
          <w:szCs w:val="24"/>
        </w:rPr>
        <w:t xml:space="preserve">2.1 Training Data</w:t>
      </w:r>
    </w:p>
    <w:p>
      <w:pPr>
        <w:spacing w:after="60" w:before="60"/>
      </w:pPr>
      <w:r>
        <w:rPr>
          <w:rFonts w:ascii="Arial" w:cs="Arial" w:eastAsia="Arial" w:hAnsi="Arial"/>
          <w:sz w:val="22"/>
          <w:szCs w:val="22"/>
        </w:rPr>
        <w:t xml:space="preserve">The model was trained on 847,432 historical loan applications processed by NorthStar between January 2016 and December 2021. Training data was sourced entirely from NorthStar's internal loan management system — no third party training data was used.</w:t>
      </w:r>
    </w:p>
    <w:p>
      <w:pPr>
        <w:spacing w:after="60" w:before="60"/>
      </w:pPr>
      <w:r>
        <w:t xml:space="preserve"/>
      </w:r>
    </w:p>
    <w:p>
      <w:pPr>
        <w:spacing w:after="60" w:before="60"/>
      </w:pPr>
      <w:r>
        <w:rPr>
          <w:rFonts w:ascii="Arial" w:cs="Arial" w:eastAsia="Arial" w:hAnsi="Arial"/>
          <w:sz w:val="22"/>
          <w:szCs w:val="22"/>
        </w:rPr>
        <w:t xml:space="preserve">The training dataset was split: 70% training, 15% validation, 15% held-out test. Class balance in the training set: 78.3% performing loans (label 0), 21.7% defaulted or significantly delinquent loans (label 1). This class imbalance reflects NorthStar's actual historical default rate and has been preserved in training to avoid introducing artificial bias through resampling.</w:t>
      </w:r>
    </w:p>
    <w:p>
      <w:pPr>
        <w:spacing w:after="60" w:before="60"/>
      </w:pPr>
      <w:r>
        <w:t xml:space="preserve"/>
      </w:r>
    </w:p>
    <w:p>
      <w:pPr>
        <w:pStyle w:val="Heading2"/>
        <w:spacing w:after="80" w:before="240"/>
      </w:pPr>
      <w:r>
        <w:rPr>
          <w:rFonts w:ascii="Arial" w:cs="Arial" w:eastAsia="Arial" w:hAnsi="Arial"/>
          <w:b/>
          <w:bCs/>
          <w:color w:val="2E5FA3"/>
          <w:sz w:val="24"/>
          <w:szCs w:val="24"/>
        </w:rPr>
        <w:t xml:space="preserve">2.2 Input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Feature</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Data Source</w:t>
            </w:r>
          </w:p>
        </w:tc>
        <w:tc>
          <w:tcPr>
            <w:tcW w:type="dxa" w:w="49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Governance Note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Credit bureau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External bureau</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Processed under data processing agreement. Updated at application time.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 transaction history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NorthStar internal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12-month rolling window. Consent obtained at account opening.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Employment status and income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Applicant declaration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Self-declared. Verification via payslip or bank statement for amounts above EUR 3,000 monthly.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Existing debt obligations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Credit bureau</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Bureau data — all open credit facilities.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 form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Used as input. Monitored for age discrimination proxy effects in quarterly bias review.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Postcode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 form</w:t>
            </w:r>
          </w:p>
        </w:tc>
        <w:tc>
          <w:tcPr>
            <w:tcW w:type="dxa" w:w="49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spacing w:after="0" w:before="0"/>
            </w:pPr>
            <w:r>
              <w:rPr>
                <w:rFonts w:ascii="Arial" w:cs="Arial" w:eastAsia="Arial" w:hAnsi="Arial"/>
                <w:b/>
                <w:bCs/>
                <w:color w:val="C00000"/>
                <w:sz w:val="20"/>
                <w:szCs w:val="20"/>
              </w:rPr>
              <w:t xml:space="preserve">PROXY BIAS RISK IDENTIFIED. Postcode correlates with ethnicity and socioeconomic status in DE and NL markets. Retained pending bias audit completion — remediation under NS-ACT-002.</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Loan amount and term requested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 form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Application parameters — low bias risk.</w:t>
            </w:r>
          </w:p>
        </w:tc>
      </w:tr>
    </w:tbl>
    <w:p>
      <w:pPr>
        <w:spacing w:after="60" w:before="60"/>
      </w:pPr>
      <w:r>
        <w:t xml:space="preserve"/>
      </w:r>
    </w:p>
    <w:p>
      <w:pPr>
        <w:pStyle w:val="Heading2"/>
        <w:spacing w:after="80" w:before="240"/>
      </w:pPr>
      <w:r>
        <w:rPr>
          <w:rFonts w:ascii="Arial" w:cs="Arial" w:eastAsia="Arial" w:hAnsi="Arial"/>
          <w:b/>
          <w:bCs/>
          <w:color w:val="2E5FA3"/>
          <w:sz w:val="24"/>
          <w:szCs w:val="24"/>
        </w:rPr>
        <w:t xml:space="preserve">2.3 Data Quality Measures</w:t>
      </w:r>
    </w:p>
    <w:p>
      <w:pPr>
        <w:pStyle w:val="ListParagraph"/>
        <w:numPr>
          <w:ilvl w:val="0"/>
          <w:numId w:val="2"/>
        </w:numPr>
        <w:spacing w:after="40" w:before="40"/>
      </w:pPr>
      <w:r>
        <w:rPr>
          <w:rFonts w:ascii="Arial" w:cs="Arial" w:eastAsia="Arial" w:hAnsi="Arial"/>
          <w:sz w:val="22"/>
          <w:szCs w:val="22"/>
        </w:rPr>
        <w:t xml:space="preserve">Missing value handling — applications with missing bureau data are routed to manual assessment. The model does not impute missing credit bureau values.</w:t>
      </w:r>
    </w:p>
    <w:p>
      <w:pPr>
        <w:pStyle w:val="ListParagraph"/>
        <w:numPr>
          <w:ilvl w:val="0"/>
          <w:numId w:val="2"/>
        </w:numPr>
        <w:spacing w:after="40" w:before="40"/>
      </w:pPr>
      <w:r>
        <w:rPr>
          <w:rFonts w:ascii="Arial" w:cs="Arial" w:eastAsia="Arial" w:hAnsi="Arial"/>
          <w:sz w:val="22"/>
          <w:szCs w:val="22"/>
        </w:rPr>
        <w:t xml:space="preserve">Outlier treatment — income values above the 99.5th percentile are capped to prevent outlier-driven score distortion.</w:t>
      </w:r>
    </w:p>
    <w:p>
      <w:pPr>
        <w:pStyle w:val="ListParagraph"/>
        <w:numPr>
          <w:ilvl w:val="0"/>
          <w:numId w:val="2"/>
        </w:numPr>
        <w:spacing w:after="40" w:before="40"/>
      </w:pPr>
      <w:r>
        <w:rPr>
          <w:rFonts w:ascii="Arial" w:cs="Arial" w:eastAsia="Arial" w:hAnsi="Arial"/>
          <w:sz w:val="22"/>
          <w:szCs w:val="22"/>
        </w:rPr>
        <w:t xml:space="preserve">Data freshness — bureau data must be less than 30 days old at time of scoring. Stale bureau data triggers manual routing.</w:t>
      </w:r>
    </w:p>
    <w:p>
      <w:pPr>
        <w:pStyle w:val="ListParagraph"/>
        <w:numPr>
          <w:ilvl w:val="0"/>
          <w:numId w:val="2"/>
        </w:numPr>
        <w:spacing w:after="40" w:before="40"/>
      </w:pPr>
      <w:r>
        <w:rPr>
          <w:rFonts w:ascii="Arial" w:cs="Arial" w:eastAsia="Arial" w:hAnsi="Arial"/>
          <w:sz w:val="22"/>
          <w:szCs w:val="22"/>
        </w:rPr>
        <w:t xml:space="preserve">Training data bias assessment — PENDING. A formal bias assessment of the training dataset against protected characteristics has not been completed. This is a critical compliance gap identified in the Q1 2026 governance review. Remediation deadline: 30 April 2026.</w:t>
      </w:r>
    </w:p>
    <w:p>
      <w:r>
        <w:br w:type="page"/>
      </w:r>
    </w:p>
    <w:p>
      <w:pPr>
        <w:pStyle w:val="Heading1"/>
        <w:pBdr>
          <w:bottom w:val="single" w:color="2E5FA3" w:sz="6" w:space="4"/>
        </w:pBdr>
        <w:spacing w:after="120" w:before="360"/>
      </w:pPr>
      <w:r>
        <w:rPr>
          <w:rFonts w:ascii="Arial" w:cs="Arial" w:eastAsia="Arial" w:hAnsi="Arial"/>
          <w:b/>
          <w:bCs/>
          <w:color w:val="1F3864"/>
          <w:sz w:val="28"/>
          <w:szCs w:val="28"/>
        </w:rPr>
        <w:t xml:space="preserve">3. System Performance — Article 15</w:t>
      </w:r>
    </w:p>
    <w:p>
      <w:pPr>
        <w:pStyle w:val="Heading2"/>
        <w:spacing w:after="80" w:before="240"/>
      </w:pPr>
      <w:r>
        <w:rPr>
          <w:rFonts w:ascii="Arial" w:cs="Arial" w:eastAsia="Arial" w:hAnsi="Arial"/>
          <w:b/>
          <w:bCs/>
          <w:color w:val="2E5FA3"/>
          <w:sz w:val="24"/>
          <w:szCs w:val="24"/>
        </w:rPr>
        <w:t xml:space="preserve">3.1 Accuracy Metrics — Production (January 2025 to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Metric</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Target Threshold</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Current Value</w:t>
            </w:r>
          </w:p>
        </w:tc>
        <w:tc>
          <w:tcPr>
            <w:tcW w:type="dxa" w:w="23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AUROC (Area Under ROC Curve)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Greater than 0.78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0.821</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Within threshold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Precision (default prediction)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Greater than 0.72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0.748</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Within threshold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Recall (default prediction)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Greater than 0.68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0.703</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Within threshold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False Positive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Less than 0.18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0.162</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Within threshold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Overall Approval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 — no hard threshold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67.3%</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Monitoring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Demographic Parity Gap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Less than 0.05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MEASURED</w:t>
            </w:r>
          </w:p>
        </w:tc>
        <w:tc>
          <w:tcPr>
            <w:tcW w:type="dxa" w:w="23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CRITICAL GAP</w:t>
            </w:r>
          </w:p>
        </w:tc>
      </w:tr>
    </w:tbl>
    <w:p>
      <w:pPr>
        <w:spacing w:after="60" w:before="60"/>
      </w:pPr>
      <w:r>
        <w:t xml:space="preserve"/>
      </w:r>
    </w:p>
    <w:p>
      <w:pPr>
        <w:spacing w:after="60" w:before="60"/>
      </w:pPr>
      <w:r>
        <w:rPr>
          <w:rFonts w:ascii="Arial" w:cs="Arial" w:eastAsia="Arial" w:hAnsi="Arial"/>
          <w:sz w:val="22"/>
          <w:szCs w:val="22"/>
        </w:rPr>
        <w:t xml:space="preserve">The absence of demographic parity measurement is the single most significant compliance gap in this technical file. Article 10 requires bias assessment. Article 15 requires that accuracy be demonstrated across the affected population — not just in aggregate. NorthStar cannot currently demonstrate that CreditScore Pro performs equitably across protected groups. This must be remediated before the conformity assessment can be fully completed.</w:t>
      </w:r>
    </w:p>
    <w:p>
      <w:pPr>
        <w:spacing w:after="60" w:before="60"/>
      </w:pPr>
      <w:r>
        <w:t xml:space="preserve"/>
      </w:r>
    </w:p>
    <w:p>
      <w:pPr>
        <w:pStyle w:val="Heading2"/>
        <w:spacing w:after="80" w:before="240"/>
      </w:pPr>
      <w:r>
        <w:rPr>
          <w:rFonts w:ascii="Arial" w:cs="Arial" w:eastAsia="Arial" w:hAnsi="Arial"/>
          <w:b/>
          <w:bCs/>
          <w:color w:val="2E5FA3"/>
          <w:sz w:val="24"/>
          <w:szCs w:val="24"/>
        </w:rPr>
        <w:t xml:space="preserve">3.2 Known Limitations</w:t>
      </w:r>
    </w:p>
    <w:p>
      <w:pPr>
        <w:pStyle w:val="ListParagraph"/>
        <w:numPr>
          <w:ilvl w:val="0"/>
          <w:numId w:val="2"/>
        </w:numPr>
        <w:spacing w:after="40" w:before="40"/>
      </w:pPr>
      <w:r>
        <w:rPr>
          <w:rFonts w:ascii="Arial" w:cs="Arial" w:eastAsia="Arial" w:hAnsi="Arial"/>
          <w:sz w:val="22"/>
          <w:szCs w:val="22"/>
        </w:rPr>
        <w:t xml:space="preserve">The model was trained on data from 2016 to 2021. Economic conditions have changed materially since training — inflation, interest rate increases, and pandemic-related income disruption are not represented in the training distribution. Model drift monitoring is in place but has not yet detected threshold-level degradation.</w:t>
      </w:r>
    </w:p>
    <w:p>
      <w:pPr>
        <w:pStyle w:val="ListParagraph"/>
        <w:numPr>
          <w:ilvl w:val="0"/>
          <w:numId w:val="2"/>
        </w:numPr>
        <w:spacing w:after="40" w:before="40"/>
      </w:pPr>
      <w:r>
        <w:rPr>
          <w:rFonts w:ascii="Arial" w:cs="Arial" w:eastAsia="Arial" w:hAnsi="Arial"/>
          <w:sz w:val="22"/>
          <w:szCs w:val="22"/>
        </w:rPr>
        <w:t xml:space="preserve">Postcode as a feature introduces proxy bias risk that has not been formally quantified. Until the bias audit is complete — the extent of any discriminatory effect on protected groups is unknown.</w:t>
      </w:r>
    </w:p>
    <w:p>
      <w:pPr>
        <w:pStyle w:val="ListParagraph"/>
        <w:numPr>
          <w:ilvl w:val="0"/>
          <w:numId w:val="2"/>
        </w:numPr>
        <w:spacing w:after="40" w:before="40"/>
      </w:pPr>
      <w:r>
        <w:rPr>
          <w:rFonts w:ascii="Arial" w:cs="Arial" w:eastAsia="Arial" w:hAnsi="Arial"/>
          <w:sz w:val="22"/>
          <w:szCs w:val="22"/>
        </w:rPr>
        <w:t xml:space="preserve">The model does not handle thin-file applicants well — applicants with limited credit history receive systematically lower confidence scores, which may disproportionately affect younger applicants and recent immigrants.</w:t>
      </w:r>
    </w:p>
    <w:p>
      <w:pPr>
        <w:pStyle w:val="ListParagraph"/>
        <w:numPr>
          <w:ilvl w:val="0"/>
          <w:numId w:val="2"/>
        </w:numPr>
        <w:spacing w:after="40" w:before="40"/>
      </w:pPr>
      <w:r>
        <w:rPr>
          <w:rFonts w:ascii="Arial" w:cs="Arial" w:eastAsia="Arial" w:hAnsi="Arial"/>
          <w:sz w:val="22"/>
          <w:szCs w:val="22"/>
        </w:rPr>
        <w:t xml:space="preserve">SHAP explanations are available at a technical level but have not been validated against the plain-language explanation standard required by Article 13. A customer receiving a decline cannot currently receive a compliant explanation of the factors that influenced their score.</w:t>
      </w:r>
    </w:p>
    <w:p>
      <w:r>
        <w:br w:type="page"/>
      </w:r>
    </w:p>
    <w:p>
      <w:pPr>
        <w:pStyle w:val="Heading1"/>
        <w:pBdr>
          <w:bottom w:val="single" w:color="2E5FA3" w:sz="6" w:space="4"/>
        </w:pBdr>
        <w:spacing w:after="120" w:before="360"/>
      </w:pPr>
      <w:r>
        <w:rPr>
          <w:rFonts w:ascii="Arial" w:cs="Arial" w:eastAsia="Arial" w:hAnsi="Arial"/>
          <w:b/>
          <w:bCs/>
          <w:color w:val="1F3864"/>
          <w:sz w:val="28"/>
          <w:szCs w:val="28"/>
        </w:rPr>
        <w:t xml:space="preserve">4. Explainability and Transparency — Article 13</w:t>
      </w:r>
    </w:p>
    <w:p>
      <w:pPr>
        <w:pStyle w:val="Heading2"/>
        <w:spacing w:after="80" w:before="240"/>
      </w:pPr>
      <w:r>
        <w:rPr>
          <w:rFonts w:ascii="Arial" w:cs="Arial" w:eastAsia="Arial" w:hAnsi="Arial"/>
          <w:b/>
          <w:bCs/>
          <w:color w:val="2E5FA3"/>
          <w:sz w:val="24"/>
          <w:szCs w:val="24"/>
        </w:rPr>
        <w:t xml:space="preserve">4.1 Explainability Implementation</w:t>
      </w:r>
    </w:p>
    <w:p>
      <w:pPr>
        <w:spacing w:after="60" w:before="60"/>
      </w:pPr>
      <w:r>
        <w:rPr>
          <w:rFonts w:ascii="Arial" w:cs="Arial" w:eastAsia="Arial" w:hAnsi="Arial"/>
          <w:sz w:val="22"/>
          <w:szCs w:val="22"/>
        </w:rPr>
        <w:t xml:space="preserve">CreditScore Pro uses SHAP TreeExplainer to generate feature importance values for each individual prediction. SHAP values quantify the marginal contribution of each input feature to the final score — expressed in terms of score points above or below the base value.</w:t>
      </w:r>
    </w:p>
    <w:p>
      <w:pPr>
        <w:spacing w:after="60" w:before="60"/>
      </w:pPr>
      <w:r>
        <w:t xml:space="preserve"/>
      </w:r>
    </w:p>
    <w:p>
      <w:pPr>
        <w:spacing w:after="60" w:before="60"/>
      </w:pPr>
      <w:r>
        <w:rPr>
          <w:rFonts w:ascii="Arial" w:cs="Arial" w:eastAsia="Arial" w:hAnsi="Arial"/>
          <w:sz w:val="22"/>
          <w:szCs w:val="22"/>
        </w:rPr>
        <w:t xml:space="preserve">For a customer scored 580 (approved), SHAP output might show: bureau score contributed +140 points, transaction history contributed +85 points, postcode contributed -35 points, employment status contributed +20 points. This decomposition exists technically and is logged for each prediction.</w:t>
      </w:r>
    </w:p>
    <w:p>
      <w:pPr>
        <w:spacing w:after="60" w:before="60"/>
      </w:pPr>
      <w:r>
        <w:t xml:space="preserve"/>
      </w:r>
    </w:p>
    <w:p>
      <w:pPr>
        <w:pStyle w:val="Heading2"/>
        <w:spacing w:after="80" w:before="240"/>
      </w:pPr>
      <w:r>
        <w:rPr>
          <w:rFonts w:ascii="Arial" w:cs="Arial" w:eastAsia="Arial" w:hAnsi="Arial"/>
          <w:b/>
          <w:bCs/>
          <w:color w:val="2E5FA3"/>
          <w:sz w:val="24"/>
          <w:szCs w:val="24"/>
        </w:rPr>
        <w:t xml:space="preserve">4.2 Explainability Gap</w:t>
      </w:r>
    </w:p>
    <w:p>
      <w:pPr>
        <w:spacing w:after="60" w:before="60"/>
      </w:pPr>
      <w:r>
        <w:rPr>
          <w:rFonts w:ascii="Arial" w:cs="Arial" w:eastAsia="Arial" w:hAnsi="Arial"/>
          <w:sz w:val="22"/>
          <w:szCs w:val="22"/>
        </w:rPr>
        <w:t xml:space="preserve">The SHAP implementation exists. The documentation and deployment of SHAP as a customer-facing explanation mechanism does not. Three specific gaps were identified in the Q1 2026 review:</w:t>
      </w:r>
    </w:p>
    <w:p>
      <w:pPr>
        <w:pStyle w:val="ListParagraph"/>
        <w:numPr>
          <w:ilvl w:val="0"/>
          <w:numId w:val="2"/>
        </w:numPr>
        <w:spacing w:after="40" w:before="40"/>
      </w:pPr>
      <w:r>
        <w:rPr>
          <w:rFonts w:ascii="Arial" w:cs="Arial" w:eastAsia="Arial" w:hAnsi="Arial"/>
          <w:sz w:val="22"/>
          <w:szCs w:val="22"/>
        </w:rPr>
        <w:t xml:space="preserve">Gap 1 — SHAP outputs are not currently translated into plain-language explanations suitable for communicating to a declined applicant. The raw SHAP values are not consumer-facing.</w:t>
      </w:r>
    </w:p>
    <w:p>
      <w:pPr>
        <w:pStyle w:val="ListParagraph"/>
        <w:numPr>
          <w:ilvl w:val="0"/>
          <w:numId w:val="2"/>
        </w:numPr>
        <w:spacing w:after="40" w:before="40"/>
      </w:pPr>
      <w:r>
        <w:rPr>
          <w:rFonts w:ascii="Arial" w:cs="Arial" w:eastAsia="Arial" w:hAnsi="Arial"/>
          <w:sz w:val="22"/>
          <w:szCs w:val="22"/>
        </w:rPr>
        <w:t xml:space="preserve">Gap 2 — Loan officers who use CreditScore Pro output have not been trained on how to interpret SHAP values or communicate them to customers.</w:t>
      </w:r>
    </w:p>
    <w:p>
      <w:pPr>
        <w:pStyle w:val="ListParagraph"/>
        <w:numPr>
          <w:ilvl w:val="0"/>
          <w:numId w:val="2"/>
        </w:numPr>
        <w:spacing w:after="40" w:before="40"/>
      </w:pPr>
      <w:r>
        <w:rPr>
          <w:rFonts w:ascii="Arial" w:cs="Arial" w:eastAsia="Arial" w:hAnsi="Arial"/>
          <w:sz w:val="22"/>
          <w:szCs w:val="22"/>
        </w:rPr>
        <w:t xml:space="preserve">Gap 3 — NorthStar has not defined the process by which a declined applicant can request and receive an explanation of the factors that influenced their decision — as required under Article 13 and GDPR Article 22.</w:t>
      </w:r>
    </w:p>
    <w:p>
      <w:pPr>
        <w:spacing w:after="60" w:before="60"/>
      </w:pPr>
      <w:r>
        <w:t xml:space="preserve"/>
      </w:r>
    </w:p>
    <w:p>
      <w:pPr>
        <w:spacing w:after="60" w:before="60"/>
      </w:pPr>
      <w:r>
        <w:rPr>
          <w:rFonts w:ascii="Arial" w:cs="Arial" w:eastAsia="Arial" w:hAnsi="Arial"/>
          <w:sz w:val="22"/>
          <w:szCs w:val="22"/>
        </w:rPr>
        <w:t xml:space="preserve">Remediation of all three gaps is captured in NS-ACT-003 of the Policy Implementation Roadmap, with completion deadline 15 May 2026.</w:t>
      </w:r>
    </w:p>
    <w:p>
      <w:r>
        <w:br w:type="page"/>
      </w:r>
    </w:p>
    <w:p>
      <w:pPr>
        <w:pStyle w:val="Heading1"/>
        <w:pBdr>
          <w:bottom w:val="single" w:color="2E5FA3" w:sz="6" w:space="4"/>
        </w:pBdr>
        <w:spacing w:after="120" w:before="360"/>
      </w:pPr>
      <w:r>
        <w:rPr>
          <w:rFonts w:ascii="Arial" w:cs="Arial" w:eastAsia="Arial" w:hAnsi="Arial"/>
          <w:b/>
          <w:bCs/>
          <w:color w:val="1F3864"/>
          <w:sz w:val="28"/>
          <w:szCs w:val="28"/>
        </w:rPr>
        <w:t xml:space="preserve">5. Human Oversight — Article 14</w:t>
      </w:r>
    </w:p>
    <w:p>
      <w:pPr>
        <w:pStyle w:val="Heading2"/>
        <w:spacing w:after="80" w:before="240"/>
      </w:pPr>
      <w:r>
        <w:rPr>
          <w:rFonts w:ascii="Arial" w:cs="Arial" w:eastAsia="Arial" w:hAnsi="Arial"/>
          <w:b/>
          <w:bCs/>
          <w:color w:val="2E5FA3"/>
          <w:sz w:val="24"/>
          <w:szCs w:val="24"/>
        </w:rPr>
        <w:t xml:space="preserve">5.1 Human Oversight Design</w:t>
      </w:r>
    </w:p>
    <w:p>
      <w:pPr>
        <w:spacing w:after="60" w:before="60"/>
      </w:pPr>
      <w:r>
        <w:rPr>
          <w:rFonts w:ascii="Arial" w:cs="Arial" w:eastAsia="Arial" w:hAnsi="Arial"/>
          <w:sz w:val="22"/>
          <w:szCs w:val="22"/>
        </w:rPr>
        <w:t xml:space="preserve">CreditScore Pro is not a fully automated decision system. Every application that receives an approve or decline recommendation is reviewed by a loan officer before the decision is communicated to the applicant. The loan officer has the technical authority to override the AI recommendation in either direction — approving an application the model declined, or declining an application the model approved.</w:t>
      </w:r>
    </w:p>
    <w:p>
      <w:pPr>
        <w:spacing w:after="60" w:before="60"/>
      </w:pPr>
      <w:r>
        <w:t xml:space="preserve"/>
      </w:r>
    </w:p>
    <w:p>
      <w:pPr>
        <w:pStyle w:val="Heading2"/>
        <w:spacing w:after="80" w:before="240"/>
      </w:pPr>
      <w:r>
        <w:rPr>
          <w:rFonts w:ascii="Arial" w:cs="Arial" w:eastAsia="Arial" w:hAnsi="Arial"/>
          <w:b/>
          <w:bCs/>
          <w:color w:val="2E5FA3"/>
          <w:sz w:val="24"/>
          <w:szCs w:val="24"/>
        </w:rPr>
        <w:t xml:space="preserve">5.2 Override Rate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Period</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Total Applications</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Human Overrides</w:t>
            </w:r>
          </w:p>
        </w:tc>
        <w:tc>
          <w:tcPr>
            <w:tcW w:type="dxa" w:w="23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Override Rate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Q1 2025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7,320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89</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Q2 2025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7,180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Q3 2025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7,440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Q4 2025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7,290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65</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0.9%</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Q1 2026 (Jan-Mar)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5,810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43</w:t>
            </w:r>
          </w:p>
        </w:tc>
        <w:tc>
          <w:tcPr>
            <w:tcW w:type="dxa" w:w="23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0.7%</w:t>
            </w:r>
          </w:p>
        </w:tc>
      </w:tr>
    </w:tbl>
    <w:p>
      <w:pPr>
        <w:spacing w:after="60" w:before="60"/>
      </w:pPr>
      <w:r>
        <w:t xml:space="preserve"/>
      </w:r>
    </w:p>
    <w:p>
      <w:pPr>
        <w:spacing w:after="60" w:before="60"/>
      </w:pPr>
      <w:r>
        <w:rPr>
          <w:rFonts w:ascii="Arial" w:cs="Arial" w:eastAsia="Arial" w:hAnsi="Arial"/>
          <w:sz w:val="22"/>
          <w:szCs w:val="22"/>
        </w:rPr>
        <w:t xml:space="preserve">The declining override rate is a significant concern. A loan officer override rate falling from 1.2% to 0.7% over five quarters — without any corresponding improvement in model performance that would justify fewer overrides — is a strong indicator of automation bias. Loan officers appear to be progressively deferring to the model rather than exercising independent judgment. This trajectory, if it continues, will undermine the genuineness of human oversight as required by Article 14.</w:t>
      </w:r>
    </w:p>
    <w:p>
      <w:pPr>
        <w:spacing w:after="60" w:before="60"/>
      </w:pPr>
      <w:r>
        <w:t xml:space="preserve"/>
      </w:r>
    </w:p>
    <w:p>
      <w:pPr>
        <w:spacing w:after="60" w:before="60"/>
      </w:pPr>
      <w:r>
        <w:rPr>
          <w:rFonts w:ascii="Arial" w:cs="Arial" w:eastAsia="Arial" w:hAnsi="Arial"/>
          <w:sz w:val="22"/>
          <w:szCs w:val="22"/>
        </w:rPr>
        <w:t xml:space="preserve">This finding has been escalated to the Head of Credit Risk and the AI Risk Committee. A loan officer training programme on the obligation and methodology of genuine AI oversight is included in the Policy Implementation Roadmap as NS-ACT-009.</w:t>
      </w:r>
    </w:p>
    <w:p>
      <w:r>
        <w:br w:type="page"/>
      </w:r>
    </w:p>
    <w:p>
      <w:pPr>
        <w:pStyle w:val="Heading1"/>
        <w:pBdr>
          <w:bottom w:val="single" w:color="2E5FA3" w:sz="6" w:space="4"/>
        </w:pBdr>
        <w:spacing w:after="120" w:before="360"/>
      </w:pPr>
      <w:r>
        <w:rPr>
          <w:rFonts w:ascii="Arial" w:cs="Arial" w:eastAsia="Arial" w:hAnsi="Arial"/>
          <w:b/>
          <w:bCs/>
          <w:color w:val="1F3864"/>
          <w:sz w:val="28"/>
          <w:szCs w:val="28"/>
        </w:rPr>
        <w:t xml:space="preserve">6. Risk Management System — Article 9</w:t>
      </w:r>
    </w:p>
    <w:p>
      <w:pPr>
        <w:pStyle w:val="Heading2"/>
        <w:spacing w:after="80" w:before="240"/>
      </w:pPr>
      <w:r>
        <w:rPr>
          <w:rFonts w:ascii="Arial" w:cs="Arial" w:eastAsia="Arial" w:hAnsi="Arial"/>
          <w:b/>
          <w:bCs/>
          <w:color w:val="2E5FA3"/>
          <w:sz w:val="24"/>
          <w:szCs w:val="24"/>
        </w:rPr>
        <w:t xml:space="preserve">6.1 Risk Management Process</w:t>
      </w:r>
    </w:p>
    <w:p>
      <w:pPr>
        <w:spacing w:after="60" w:before="60"/>
      </w:pPr>
      <w:r>
        <w:rPr>
          <w:rFonts w:ascii="Arial" w:cs="Arial" w:eastAsia="Arial" w:hAnsi="Arial"/>
          <w:sz w:val="22"/>
          <w:szCs w:val="22"/>
        </w:rPr>
        <w:t xml:space="preserve">NorthStar operates a risk management process for CreditScore Pro covering identification, evaluation, and mitigation of risks throughout the system lifecycle. This process is documented in the NorthStar AI Risk Register (NS-RISK-AI-001) which was completed as part of the Q1 2026 AI governance review programme.</w:t>
      </w:r>
    </w:p>
    <w:p>
      <w:pPr>
        <w:spacing w:after="60" w:before="60"/>
      </w:pPr>
      <w:r>
        <w:t xml:space="preserve"/>
      </w:r>
    </w:p>
    <w:p>
      <w:pPr>
        <w:pStyle w:val="Heading2"/>
        <w:spacing w:after="80" w:before="240"/>
      </w:pPr>
      <w:r>
        <w:rPr>
          <w:rFonts w:ascii="Arial" w:cs="Arial" w:eastAsia="Arial" w:hAnsi="Arial"/>
          <w:b/>
          <w:bCs/>
          <w:color w:val="2E5FA3"/>
          <w:sz w:val="24"/>
          <w:szCs w:val="24"/>
        </w:rPr>
        <w:t xml:space="preserve">6.2 Key Risks and Mitigation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600"/>
        <w:gridCol w:w="1600"/>
        <w:gridCol w:w="3160"/>
      </w:tblGrid>
      <w:tr>
        <w:tc>
          <w:tcPr>
            <w:tcW w:type="dxa" w:w="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Risk ID</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Risk</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Score</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Priority</w:t>
            </w:r>
          </w:p>
        </w:tc>
        <w:tc>
          <w:tcPr>
            <w:tcW w:type="dxa" w:w="31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Mitigation Status</w:t>
            </w:r>
          </w:p>
        </w:tc>
      </w:tr>
      <w:tr>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NS-RISK-001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Proxy bias — postcode encoding ethnicity and socioeconomic status</w:t>
            </w:r>
          </w:p>
        </w:tc>
        <w:tc>
          <w:tcPr>
            <w:tcW w:type="dxa" w:w="16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20/25</w:t>
            </w:r>
          </w:p>
        </w:tc>
        <w:tc>
          <w:tcPr>
            <w:tcW w:type="dxa" w:w="16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Critical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Bias audit commissioned. Postcode feature under review. Remediation deadline April 2026.</w:t>
            </w:r>
          </w:p>
        </w:tc>
      </w:tr>
      <w:tr>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NS-RISK-002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Explainability gap — SHAP not documented to Article 13 standard</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16/25</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High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SHAP documentation programme underway. Customer-facing explanation process to be designed. Deadline May 2026.</w:t>
            </w:r>
          </w:p>
        </w:tc>
      </w:tr>
      <w:tr>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NS-RISK-007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Model drift — training data pre-2022, post-pandemic economic conditions not represented</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16/25</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High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Monthly drift monitoring in place. Thresholds defined. Retraining pipeline ready. No threshold breach detected to date.</w:t>
            </w:r>
          </w:p>
        </w:tc>
      </w:tr>
    </w:tbl>
    <w:p>
      <w:r>
        <w:br w:type="page"/>
      </w:r>
    </w:p>
    <w:p>
      <w:pPr>
        <w:pStyle w:val="Heading1"/>
        <w:pBdr>
          <w:bottom w:val="single" w:color="2E5FA3" w:sz="6" w:space="4"/>
        </w:pBdr>
        <w:spacing w:after="120" w:before="360"/>
      </w:pPr>
      <w:r>
        <w:rPr>
          <w:rFonts w:ascii="Arial" w:cs="Arial" w:eastAsia="Arial" w:hAnsi="Arial"/>
          <w:b/>
          <w:bCs/>
          <w:color w:val="1F3864"/>
          <w:sz w:val="28"/>
          <w:szCs w:val="28"/>
        </w:rPr>
        <w:t xml:space="preserve">7. Logging and Record Keeping — Article 12</w:t>
      </w:r>
    </w:p>
    <w:p>
      <w:pPr>
        <w:pStyle w:val="Heading2"/>
        <w:spacing w:after="80" w:before="240"/>
      </w:pPr>
      <w:r>
        <w:rPr>
          <w:rFonts w:ascii="Arial" w:cs="Arial" w:eastAsia="Arial" w:hAnsi="Arial"/>
          <w:b/>
          <w:bCs/>
          <w:color w:val="2E5FA3"/>
          <w:sz w:val="24"/>
          <w:szCs w:val="24"/>
        </w:rPr>
        <w:t xml:space="preserve">7.1 Logging Implementation</w:t>
      </w:r>
    </w:p>
    <w:p>
      <w:pPr>
        <w:spacing w:after="60" w:before="60"/>
      </w:pPr>
      <w:r>
        <w:rPr>
          <w:rFonts w:ascii="Arial" w:cs="Arial" w:eastAsia="Arial" w:hAnsi="Arial"/>
          <w:sz w:val="22"/>
          <w:szCs w:val="22"/>
        </w:rPr>
        <w:t xml:space="preserve">CreditScore Pro generates an automated log entry for every prediction. Logs are written to NorthStar's centralised data platform in append-only format — entries cannot be modified or deleted. Log retention period: five years from date of prediction, in compliance with Article 12 requirements.</w:t>
      </w:r>
    </w:p>
    <w:p>
      <w:pPr>
        <w:spacing w:after="60" w:before="60"/>
      </w:pPr>
      <w:r>
        <w:t xml:space="preserve"/>
      </w:r>
    </w:p>
    <w:p>
      <w:pPr>
        <w:pStyle w:val="Heading2"/>
        <w:spacing w:after="80" w:before="240"/>
      </w:pPr>
      <w:r>
        <w:rPr>
          <w:rFonts w:ascii="Arial" w:cs="Arial" w:eastAsia="Arial" w:hAnsi="Arial"/>
          <w:b/>
          <w:bCs/>
          <w:color w:val="2E5FA3"/>
          <w:sz w:val="24"/>
          <w:szCs w:val="24"/>
        </w:rPr>
        <w:t xml:space="preserve">7.2 Log Contents</w:t>
      </w:r>
    </w:p>
    <w:p>
      <w:pPr>
        <w:pStyle w:val="ListParagraph"/>
        <w:numPr>
          <w:ilvl w:val="0"/>
          <w:numId w:val="2"/>
        </w:numPr>
        <w:spacing w:after="40" w:before="40"/>
      </w:pPr>
      <w:r>
        <w:rPr>
          <w:rFonts w:ascii="Arial" w:cs="Arial" w:eastAsia="Arial" w:hAnsi="Arial"/>
          <w:sz w:val="22"/>
          <w:szCs w:val="22"/>
        </w:rPr>
        <w:t xml:space="preserve">Prediction timestamp — UTC timestamp to millisecond precision</w:t>
      </w:r>
    </w:p>
    <w:p>
      <w:pPr>
        <w:pStyle w:val="ListParagraph"/>
        <w:numPr>
          <w:ilvl w:val="0"/>
          <w:numId w:val="2"/>
        </w:numPr>
        <w:spacing w:after="40" w:before="40"/>
      </w:pPr>
      <w:r>
        <w:rPr>
          <w:rFonts w:ascii="Arial" w:cs="Arial" w:eastAsia="Arial" w:hAnsi="Arial"/>
          <w:sz w:val="22"/>
          <w:szCs w:val="22"/>
        </w:rPr>
        <w:t xml:space="preserve">Application reference — unique NorthStar application ID linking log to the customer application record</w:t>
      </w:r>
    </w:p>
    <w:p>
      <w:pPr>
        <w:pStyle w:val="ListParagraph"/>
        <w:numPr>
          <w:ilvl w:val="0"/>
          <w:numId w:val="2"/>
        </w:numPr>
        <w:spacing w:after="40" w:before="40"/>
      </w:pPr>
      <w:r>
        <w:rPr>
          <w:rFonts w:ascii="Arial" w:cs="Arial" w:eastAsia="Arial" w:hAnsi="Arial"/>
          <w:sz w:val="22"/>
          <w:szCs w:val="22"/>
        </w:rPr>
        <w:t xml:space="preserve">Input feature hash — SHA-256 hash of the input feature vector (not the raw values, to protect personal data)</w:t>
      </w:r>
    </w:p>
    <w:p>
      <w:pPr>
        <w:pStyle w:val="ListParagraph"/>
        <w:numPr>
          <w:ilvl w:val="0"/>
          <w:numId w:val="2"/>
        </w:numPr>
        <w:spacing w:after="40" w:before="40"/>
      </w:pPr>
      <w:r>
        <w:rPr>
          <w:rFonts w:ascii="Arial" w:cs="Arial" w:eastAsia="Arial" w:hAnsi="Arial"/>
          <w:sz w:val="22"/>
          <w:szCs w:val="22"/>
        </w:rPr>
        <w:t xml:space="preserve">Credit score output — numerical score 0 to 1,000</w:t>
      </w:r>
    </w:p>
    <w:p>
      <w:pPr>
        <w:pStyle w:val="ListParagraph"/>
        <w:numPr>
          <w:ilvl w:val="0"/>
          <w:numId w:val="2"/>
        </w:numPr>
        <w:spacing w:after="40" w:before="40"/>
      </w:pPr>
      <w:r>
        <w:rPr>
          <w:rFonts w:ascii="Arial" w:cs="Arial" w:eastAsia="Arial" w:hAnsi="Arial"/>
          <w:sz w:val="22"/>
          <w:szCs w:val="22"/>
        </w:rPr>
        <w:t xml:space="preserve">Model recommendation — approve or decline</w:t>
      </w:r>
    </w:p>
    <w:p>
      <w:pPr>
        <w:pStyle w:val="ListParagraph"/>
        <w:numPr>
          <w:ilvl w:val="0"/>
          <w:numId w:val="2"/>
        </w:numPr>
        <w:spacing w:after="40" w:before="40"/>
      </w:pPr>
      <w:r>
        <w:rPr>
          <w:rFonts w:ascii="Arial" w:cs="Arial" w:eastAsia="Arial" w:hAnsi="Arial"/>
          <w:sz w:val="22"/>
          <w:szCs w:val="22"/>
        </w:rPr>
        <w:t xml:space="preserve">Model version — version identifier of the model that produced the prediction</w:t>
      </w:r>
    </w:p>
    <w:p>
      <w:pPr>
        <w:pStyle w:val="ListParagraph"/>
        <w:numPr>
          <w:ilvl w:val="0"/>
          <w:numId w:val="2"/>
        </w:numPr>
        <w:spacing w:after="40" w:before="40"/>
      </w:pPr>
      <w:r>
        <w:rPr>
          <w:rFonts w:ascii="Arial" w:cs="Arial" w:eastAsia="Arial" w:hAnsi="Arial"/>
          <w:sz w:val="22"/>
          <w:szCs w:val="22"/>
        </w:rPr>
        <w:t xml:space="preserve">SHAP values — full SHAP feature attribution vector for each prediction</w:t>
      </w:r>
    </w:p>
    <w:p>
      <w:pPr>
        <w:pStyle w:val="ListParagraph"/>
        <w:numPr>
          <w:ilvl w:val="0"/>
          <w:numId w:val="2"/>
        </w:numPr>
        <w:spacing w:after="40" w:before="40"/>
      </w:pPr>
      <w:r>
        <w:rPr>
          <w:rFonts w:ascii="Arial" w:cs="Arial" w:eastAsia="Arial" w:hAnsi="Arial"/>
          <w:sz w:val="22"/>
          <w:szCs w:val="22"/>
        </w:rPr>
        <w:t xml:space="preserve">Loan officer ID — identifier of the loan officer who reviewed the prediction</w:t>
      </w:r>
    </w:p>
    <w:p>
      <w:pPr>
        <w:pStyle w:val="ListParagraph"/>
        <w:numPr>
          <w:ilvl w:val="0"/>
          <w:numId w:val="2"/>
        </w:numPr>
        <w:spacing w:after="40" w:before="40"/>
      </w:pPr>
      <w:r>
        <w:rPr>
          <w:rFonts w:ascii="Arial" w:cs="Arial" w:eastAsia="Arial" w:hAnsi="Arial"/>
          <w:sz w:val="22"/>
          <w:szCs w:val="22"/>
        </w:rPr>
        <w:t xml:space="preserve">Final decision — the actual decision communicated to the applicant, which may differ from the model recommendation if the loan officer overrode it</w:t>
      </w:r>
    </w:p>
    <w:p>
      <w:pPr>
        <w:pStyle w:val="ListParagraph"/>
        <w:numPr>
          <w:ilvl w:val="0"/>
          <w:numId w:val="2"/>
        </w:numPr>
        <w:spacing w:after="40" w:before="40"/>
      </w:pPr>
      <w:r>
        <w:rPr>
          <w:rFonts w:ascii="Arial" w:cs="Arial" w:eastAsia="Arial" w:hAnsi="Arial"/>
          <w:sz w:val="22"/>
          <w:szCs w:val="22"/>
        </w:rPr>
        <w:t xml:space="preserve">Override flag — boolean indicating whether the loan officer overrode the model recommendation</w:t>
      </w:r>
    </w:p>
    <w:p>
      <w:pPr>
        <w:spacing w:after="60" w:before="60"/>
      </w:pPr>
      <w:r>
        <w:t xml:space="preserve"/>
      </w:r>
    </w:p>
    <w:p>
      <w:pPr>
        <w:spacing w:after="60" w:before="60"/>
      </w:pPr>
      <w:r>
        <w:rPr>
          <w:rFonts w:ascii="Arial" w:cs="Arial" w:eastAsia="Arial" w:hAnsi="Arial"/>
          <w:sz w:val="22"/>
          <w:szCs w:val="22"/>
        </w:rPr>
        <w:t xml:space="preserve">Log completeness: 100% of predictions logged. No gaps identified in log continuity audit conducted March 2026.</w:t>
      </w:r>
    </w:p>
    <w:p>
      <w:r>
        <w:br w:type="page"/>
      </w:r>
    </w:p>
    <w:p>
      <w:pPr>
        <w:pStyle w:val="Heading1"/>
        <w:pBdr>
          <w:bottom w:val="single" w:color="2E5FA3" w:sz="6" w:space="4"/>
        </w:pBdr>
        <w:spacing w:after="120" w:before="360"/>
      </w:pPr>
      <w:r>
        <w:rPr>
          <w:rFonts w:ascii="Arial" w:cs="Arial" w:eastAsia="Arial" w:hAnsi="Arial"/>
          <w:b/>
          <w:bCs/>
          <w:color w:val="1F3864"/>
          <w:sz w:val="28"/>
          <w:szCs w:val="28"/>
        </w:rPr>
        <w:t xml:space="preserve">8. Compliance Gaps Summary</w:t>
      </w:r>
    </w:p>
    <w:p>
      <w:pPr>
        <w:spacing w:after="60" w:before="60"/>
      </w:pPr>
      <w:r>
        <w:rPr>
          <w:rFonts w:ascii="Arial" w:cs="Arial" w:eastAsia="Arial" w:hAnsi="Arial"/>
          <w:sz w:val="22"/>
          <w:szCs w:val="22"/>
        </w:rPr>
        <w:t xml:space="preserve">This technical file documents CreditScore Pro as it currently operates. The following gaps exist between the current state and full Article 9-15 compliance. These gaps do not prevent continued operation during the remediation period — they are active items in NorthStar's AI governance remediation programme.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400"/>
        <w:gridCol w:w="2400"/>
        <w:gridCol w:w="2160"/>
      </w:tblGrid>
      <w:tr>
        <w:tc>
          <w:tcPr>
            <w:tcW w:type="dxa" w:w="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Article</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Gap</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Action</w:t>
            </w:r>
          </w:p>
        </w:tc>
        <w:tc>
          <w:tcPr>
            <w:tcW w:type="dxa" w:w="21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Deadline</w:t>
            </w:r>
          </w:p>
        </w:tc>
      </w:tr>
      <w:tr>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Article 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No bias audit completed against protected characteristics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Commission independent bias audit — NS-ACT-002</w:t>
            </w:r>
          </w:p>
        </w:tc>
        <w:tc>
          <w:tcPr>
            <w:tcW w:type="dxa" w:w="21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30 Apr 2026</w:t>
            </w:r>
          </w:p>
        </w:tc>
      </w:tr>
      <w:tr>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Article 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SHAP not documented or deployed to customer-facing explanation standard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Document SHAP and design customer explanation process — NS-ACT-003</w:t>
            </w:r>
          </w:p>
        </w:tc>
        <w:tc>
          <w:tcPr>
            <w:tcW w:type="dxa" w:w="21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15 May 2026</w:t>
            </w:r>
          </w:p>
        </w:tc>
      </w:tr>
      <w:tr>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Article 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Loan officer override rate declining — automation bias risk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Deliver genuine oversight training to all loan officers</w:t>
            </w:r>
          </w:p>
        </w:tc>
        <w:tc>
          <w:tcPr>
            <w:tcW w:type="dxa" w:w="2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30 May 2026</w:t>
            </w:r>
          </w:p>
        </w:tc>
      </w:tr>
      <w:tr>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Article 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Demographic parity gap not measured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Implement demographic outcome tracking in monitoring dashboard</w:t>
            </w:r>
          </w:p>
        </w:tc>
        <w:tc>
          <w:tcPr>
            <w:tcW w:type="dxa" w:w="2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30 Apr 2026</w:t>
            </w:r>
          </w:p>
        </w:tc>
      </w:tr>
      <w:tr>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Article 71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System not registered in EU AI 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Register upon completion of conformity assessment — NS-ACT-007</w:t>
            </w:r>
          </w:p>
        </w:tc>
        <w:tc>
          <w:tcPr>
            <w:tcW w:type="dxa" w:w="2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30 May 2026</w:t>
            </w:r>
          </w:p>
        </w:tc>
      </w:tr>
    </w:tbl>
    <w:p>
      <w:pPr>
        <w:spacing w:after="60" w:before="60"/>
      </w:pPr>
      <w:r>
        <w:t xml:space="preserve"/>
      </w:r>
    </w:p>
    <w:p>
      <w:pPr>
        <w:pStyle w:val="Heading2"/>
        <w:spacing w:after="80" w:before="240"/>
      </w:pPr>
      <w:r>
        <w:rPr>
          <w:rFonts w:ascii="Arial" w:cs="Arial" w:eastAsia="Arial" w:hAnsi="Arial"/>
          <w:b/>
          <w:bCs/>
          <w:color w:val="2E5FA3"/>
          <w:sz w:val="24"/>
          <w:szCs w:val="24"/>
        </w:rPr>
        <w:t xml:space="preserve">8.1 Conformity Assessment Status</w:t>
      </w:r>
    </w:p>
    <w:p>
      <w:pPr>
        <w:spacing w:after="60" w:before="60"/>
      </w:pPr>
      <w:r>
        <w:rPr>
          <w:rFonts w:ascii="Arial" w:cs="Arial" w:eastAsia="Arial" w:hAnsi="Arial"/>
          <w:sz w:val="22"/>
          <w:szCs w:val="22"/>
        </w:rPr>
        <w:t xml:space="preserve">This technical documentation file constitutes the first element of NorthStar's conformity assessment process for CreditScore Pro under Article 43. The full conformity assessment — covering Articles 9 through 17 systematically — will be completed upon resolution of the bias audit gap (Item 1 above). The Declaration of Conformity will be issued and the system registered in the EU AI database upon AI Risk Committee approval of the completed assessment.</w:t>
      </w:r>
    </w:p>
    <w:p>
      <w:pPr>
        <w:spacing w:after="60" w:before="60"/>
      </w:pPr>
      <w:r>
        <w:t xml:space="preserve"/>
      </w:r>
    </w:p>
    <w:p>
      <w:pPr>
        <w:spacing w:after="60" w:before="60"/>
      </w:pPr>
      <w:r>
        <w:rPr>
          <w:rFonts w:ascii="Arial" w:cs="Arial" w:eastAsia="Arial" w:hAnsi="Arial"/>
          <w:sz w:val="22"/>
          <w:szCs w:val="22"/>
        </w:rPr>
        <w:t xml:space="preserve">Target conformity assessment completion: 30 May 2026.</w:t>
      </w:r>
    </w:p>
    <w:p>
      <w:r>
        <w:br w:type="page"/>
      </w:r>
    </w:p>
    <w:p>
      <w:pPr>
        <w:pStyle w:val="Heading1"/>
        <w:pBdr>
          <w:bottom w:val="single" w:color="2E5FA3" w:sz="6" w:space="4"/>
        </w:pBdr>
        <w:spacing w:after="120" w:before="360"/>
      </w:pPr>
      <w:r>
        <w:rPr>
          <w:rFonts w:ascii="Arial" w:cs="Arial" w:eastAsia="Arial" w:hAnsi="Arial"/>
          <w:b/>
          <w:bCs/>
          <w:color w:val="1F3864"/>
          <w:sz w:val="28"/>
          <w:szCs w:val="28"/>
        </w:rPr>
        <w:t xml:space="preserve">9.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560"/>
        <w:gridCol w:w="2600"/>
      </w:tblGrid>
      <w:tr>
        <w:tc>
          <w:tcPr>
            <w:tcW w:type="dxa" w:w="1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Version</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Date</w:t>
            </w:r>
          </w:p>
        </w:tc>
        <w:tc>
          <w:tcPr>
            <w:tcW w:type="dxa" w:w="35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Changes</w:t>
            </w:r>
          </w:p>
        </w:tc>
        <w:tc>
          <w:tcPr>
            <w:tcW w:type="dxa" w:w="2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Author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April 2026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Initial release — created as part of Q1 2026 AI governance review and conformity assessment programme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Governance Programme Office</w:t>
            </w:r>
          </w:p>
        </w:tc>
      </w:tr>
    </w:tbl>
    <w:p>
      <w:pPr>
        <w:spacing w:after="60" w:before="60"/>
      </w:pPr>
      <w:r>
        <w:t xml:space="preserve"/>
      </w:r>
    </w:p>
    <w:p>
      <w:pPr>
        <w:spacing w:after="60" w:before="60"/>
      </w:pPr>
      <w:r>
        <w:rPr>
          <w:rFonts w:ascii="Arial" w:cs="Arial" w:eastAsia="Arial" w:hAnsi="Arial"/>
          <w:sz w:val="22"/>
          <w:szCs w:val="22"/>
        </w:rPr>
        <w:t xml:space="preserve">This document is reviewed annually and updated upon any material change to system design, training data, performance thresholds, or applicable regulatory requirements. Updates require CRO approval before publication.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spacing w:after="0" w:before="120"/>
    </w:pPr>
    <w:r>
      <w:rPr>
        <w:rFonts w:ascii="Arial" w:cs="Arial" w:eastAsia="Arial" w:hAnsi="Arial"/>
        <w:color w:val="666666"/>
        <w:sz w:val="16"/>
        <w:szCs w:val="16"/>
      </w:rPr>
      <w:t xml:space="preserve">CONFIDENTIAL — Regulatory Use   |   EU AI Act Article 11 + Annex IV   |   Version 1.0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after="120" w:before="0"/>
    </w:pPr>
    <w:r>
      <w:rPr>
        <w:rFonts w:ascii="Arial" w:cs="Arial" w:eastAsia="Arial" w:hAnsi="Arial"/>
        <w:color w:val="666666"/>
        <w:sz w:val="18"/>
        <w:szCs w:val="18"/>
      </w:rPr>
      <w:t xml:space="preserve">NorthStar Financial Services   |   Technical Documentation File — CreditScore Pro   |   NS-TDF-AI-001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Arial" w:cs="Arial" w:eastAsia="Arial" w:hAnsi="Arial"/>
      <w:b/>
      <w:bCs/>
      <w:color w:val="1F3864"/>
      <w:sz w:val="28"/>
      <w:szCs w:val="28"/>
    </w:rPr>
  </w:style>
  <w:style w:type="paragraph" w:styleId="Heading2">
    <w:name w:val="Heading 2"/>
    <w:basedOn w:val="Normal"/>
    <w:next w:val="Normal"/>
    <w:pPr>
      <w:spacing w:after="80" w:before="24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2026-04-25T14:07:56.558Z</dcterms:created>
  <dcterms:modified xsi:type="dcterms:W3CDTF">2026-04-25T14:07:56.559Z</dcterms:modified>
</cp:coreProperties>
</file>

<file path=docProps/custom.xml><?xml version="1.0" encoding="utf-8"?>
<Properties xmlns="http://schemas.openxmlformats.org/officeDocument/2006/custom-properties" xmlns:vt="http://schemas.openxmlformats.org/officeDocument/2006/docPropsVTypes"/>
</file>