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400"/>
              <w:left w:type="dxa" w:w="400"/>
              <w:bottom w:type="dxa" w:w="300"/>
              <w:right w:type="dxa" w:w="400"/>
            </w:tcMar>
          </w:tcPr>
          <w:p>
            <w:r>
              <w:rPr>
                <w:rFonts w:ascii="Arial" w:cs="Arial" w:eastAsia="Arial" w:hAnsi="Arial"/>
                <w:b/>
                <w:bCs/>
                <w:color w:val="FFFFFF"/>
                <w:sz w:val="20"/>
                <w:szCs w:val="20"/>
              </w:rPr>
              <w:t xml:space="preserve">NORTHSTAR FINANCIAL SERVICES</w:t>
            </w:r>
          </w:p>
          <w:p>
            <w:pPr>
              <w:spacing w:before="100"/>
            </w:pPr>
            <w:r>
              <w:rPr>
                <w:rFonts w:ascii="Arial" w:cs="Arial" w:eastAsia="Arial" w:hAnsi="Arial"/>
                <w:b/>
                <w:bCs/>
                <w:color w:val="FFFFFF"/>
                <w:sz w:val="40"/>
                <w:szCs w:val="40"/>
              </w:rPr>
              <w:t xml:space="preserve">AI Incident Response Playbook</w:t>
            </w:r>
          </w:p>
          <w:p>
            <w:pPr>
              <w:spacing w:before="100"/>
            </w:pPr>
            <w:r>
              <w:rPr>
                <w:rFonts w:ascii="Arial" w:cs="Arial" w:eastAsia="Arial" w:hAnsi="Arial"/>
                <w:color w:val="A8C4E8"/>
                <w:sz w:val="18"/>
                <w:szCs w:val="18"/>
              </w:rPr>
              <w:t xml:space="preserve">Document Reference: NS-IRP-AI-001  |  Version 1.0  |  April 2024</w:t>
            </w:r>
          </w:p>
          <w:p>
            <w:pPr>
              <w:spacing w:before="60"/>
            </w:pPr>
            <w:r>
              <w:rPr>
                <w:rFonts w:ascii="Arial" w:cs="Arial" w:eastAsia="Arial" w:hAnsi="Arial"/>
                <w:b/>
                <w:bCs/>
                <w:color w:val="A8C4E8"/>
                <w:sz w:val="16"/>
                <w:szCs w:val="16"/>
              </w:rPr>
              <w:t xml:space="preserve">CONFIDENTIAL — AI GOVERNANCE FUNCTION</w:t>
            </w:r>
          </w:p>
        </w:tc>
      </w:tr>
      <w:tr>
        <w:tc>
          <w:tcPr>
            <w:tcBorders>
              <w:top w:val="none" w:color="FFFFFF" w:sz="0"/>
              <w:left w:val="none" w:color="FFFFFF" w:sz="0"/>
              <w:bottom w:val="none" w:color="FFFFFF" w:sz="0"/>
              <w:right w:val="none" w:color="FFFFFF" w:sz="0"/>
            </w:tcBorders>
            <w:shd w:fill="2E5FA3" w:val="clear"/>
            <w:tcMar>
              <w:top w:type="dxa" w:w="140"/>
              <w:left w:type="dxa" w:w="400"/>
              <w:bottom w:type="dxa" w:w="140"/>
              <w:right w:type="dxa" w:w="400"/>
            </w:tcMar>
          </w:tcPr>
          <w:p>
            <w:r>
              <w:rPr>
                <w:rFonts w:ascii="Arial" w:cs="Arial" w:eastAsia="Arial" w:hAnsi="Arial"/>
                <w:color w:val="FFFFFF"/>
                <w:sz w:val="18"/>
                <w:szCs w:val="18"/>
              </w:rPr>
              <w:t xml:space="preserve">EU AI Act Compliant  |  NIST AI RMF Aligned  |  Covers All High Risk Systems</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NS-IRP-AI-001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1.0 — Initial Release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Confidential — AI Governance Function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Chief Risk Officer, NorthStar Financial Services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AI Governance Team</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April 2024</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NS-POL-AI-001 (Responsible AI Policy)  |  NS-OM-AI-001 (Operating Model)  |  NS-ISL-AI-001 (Incident Scenarios)</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2E5FA3" w:sz="16"/>
              <w:bottom w:val="single" w:color="2E5FA3" w:sz="1"/>
              <w:right w:val="single" w:color="2E5FA3" w:sz="1"/>
            </w:tcBorders>
            <w:shd w:fill="D6E4F7"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Purpose of This Playbook</w:t>
            </w:r>
          </w:p>
          <w:p>
            <w:r>
              <w:rPr>
                <w:rFonts w:ascii="Arial" w:cs="Arial" w:eastAsia="Arial" w:hAnsi="Arial"/>
                <w:color w:val="2C2C2C"/>
                <w:sz w:val="20"/>
                <w:szCs w:val="20"/>
              </w:rPr>
              <w:t xml:space="preserve">This playbook defines how NorthStar Financial Services identifies, classifies, escalates, investigates, and learns from AI incidents. It applies to all AI systems in the NorthStar portfolio, with specific guidance for the three High Risk systems: CreditScore Pro (NS-AI-001), TalentMatch AI (NS-AI-003), and DocIntel Underwriting (NS-AI-006). Every member of the AI Governance function, Risk team, Legal, and senior leadership must understand this document before an incident occurs — not during one.</w:t>
            </w:r>
          </w:p>
        </w:tc>
      </w:tr>
    </w:tbl>
    <w:p>
      <w:pPr>
        <w:spacing w:after="200" w:before="0"/>
      </w:pPr>
    </w:p>
    <w:p>
      <w:pPr>
        <w:pStyle w:val="Heading1"/>
        <w:pBdr>
          <w:bottom w:val="single" w:color="1B3A6B" w:sz="8" w:space="6"/>
        </w:pBdr>
        <w:spacing w:after="120" w:before="360"/>
      </w:pPr>
      <w:r>
        <w:rPr>
          <w:rFonts w:ascii="Arial" w:cs="Arial" w:eastAsia="Arial" w:hAnsi="Arial"/>
          <w:b/>
          <w:bCs/>
          <w:color w:val="1B3A6B"/>
          <w:sz w:val="28"/>
          <w:szCs w:val="28"/>
        </w:rPr>
        <w:t xml:space="preserve">1.  Scope and Applicability</w:t>
      </w:r>
    </w:p>
    <w:p>
      <w:pPr>
        <w:spacing w:after="120" w:before="60"/>
      </w:pPr>
      <w:r>
        <w:rPr>
          <w:rFonts w:ascii="Arial" w:cs="Arial" w:eastAsia="Arial" w:hAnsi="Arial"/>
          <w:color w:val="2C2C2C"/>
          <w:sz w:val="22"/>
          <w:szCs w:val="22"/>
        </w:rPr>
        <w:t xml:space="preserve">This playbook applies to every AI system NorthStar operates or procures, across all business units and geographies. It is not optional. When an AI incident is detected — or suspected — this document governs the response.</w:t>
      </w:r>
    </w:p>
    <w:p>
      <w:pPr>
        <w:spacing w:after="120" w:before="60"/>
      </w:pPr>
      <w:r>
        <w:rPr>
          <w:rFonts w:ascii="Arial" w:cs="Arial" w:eastAsia="Arial" w:hAnsi="Arial"/>
          <w:color w:val="2C2C2C"/>
          <w:sz w:val="22"/>
          <w:szCs w:val="22"/>
        </w:rPr>
        <w:t xml:space="preserve">Seven AI systems are currently in scope:</w:t>
      </w:r>
    </w:p>
    <w:p>
      <w:pPr>
        <w:pStyle w:val="ListParagraph"/>
        <w:numPr>
          <w:ilvl w:val="0"/>
          <w:numId w:val="2"/>
        </w:numPr>
        <w:spacing w:after="60" w:before="40"/>
      </w:pPr>
      <w:r>
        <w:rPr>
          <w:rFonts w:ascii="Arial" w:cs="Arial" w:eastAsia="Arial" w:hAnsi="Arial"/>
          <w:color w:val="2C2C2C"/>
          <w:sz w:val="22"/>
          <w:szCs w:val="22"/>
        </w:rPr>
        <w:t xml:space="preserve">NS-AI-001 CreditScore Pro — High Risk, credit decisioning</w:t>
      </w:r>
    </w:p>
    <w:p>
      <w:pPr>
        <w:pStyle w:val="ListParagraph"/>
        <w:numPr>
          <w:ilvl w:val="0"/>
          <w:numId w:val="2"/>
        </w:numPr>
        <w:spacing w:after="60" w:before="40"/>
      </w:pPr>
      <w:r>
        <w:rPr>
          <w:rFonts w:ascii="Arial" w:cs="Arial" w:eastAsia="Arial" w:hAnsi="Arial"/>
          <w:color w:val="2C2C2C"/>
          <w:sz w:val="22"/>
          <w:szCs w:val="22"/>
        </w:rPr>
        <w:t xml:space="preserve">NS-AI-002 FraudGuard 360 — Limited Risk, transaction fraud detection</w:t>
      </w:r>
    </w:p>
    <w:p>
      <w:pPr>
        <w:pStyle w:val="ListParagraph"/>
        <w:numPr>
          <w:ilvl w:val="0"/>
          <w:numId w:val="2"/>
        </w:numPr>
        <w:spacing w:after="60" w:before="40"/>
      </w:pPr>
      <w:r>
        <w:rPr>
          <w:rFonts w:ascii="Arial" w:cs="Arial" w:eastAsia="Arial" w:hAnsi="Arial"/>
          <w:color w:val="2C2C2C"/>
          <w:sz w:val="22"/>
          <w:szCs w:val="22"/>
        </w:rPr>
        <w:t xml:space="preserve">NS-AI-003 TalentMatch AI — High Risk, employment screening</w:t>
      </w:r>
    </w:p>
    <w:p>
      <w:pPr>
        <w:pStyle w:val="ListParagraph"/>
        <w:numPr>
          <w:ilvl w:val="0"/>
          <w:numId w:val="2"/>
        </w:numPr>
        <w:spacing w:after="60" w:before="40"/>
      </w:pPr>
      <w:r>
        <w:rPr>
          <w:rFonts w:ascii="Arial" w:cs="Arial" w:eastAsia="Arial" w:hAnsi="Arial"/>
          <w:color w:val="2C2C2C"/>
          <w:sz w:val="22"/>
          <w:szCs w:val="22"/>
        </w:rPr>
        <w:t xml:space="preserve">NS-AI-004 SupportBot Aria — Limited Risk, customer service</w:t>
      </w:r>
    </w:p>
    <w:p>
      <w:pPr>
        <w:pStyle w:val="ListParagraph"/>
        <w:numPr>
          <w:ilvl w:val="0"/>
          <w:numId w:val="2"/>
        </w:numPr>
        <w:spacing w:after="60" w:before="40"/>
      </w:pPr>
      <w:r>
        <w:rPr>
          <w:rFonts w:ascii="Arial" w:cs="Arial" w:eastAsia="Arial" w:hAnsi="Arial"/>
          <w:color w:val="2C2C2C"/>
          <w:sz w:val="22"/>
          <w:szCs w:val="22"/>
        </w:rPr>
        <w:t xml:space="preserve">NS-AI-005 MarketSense — Minimal Risk, investment insight</w:t>
      </w:r>
    </w:p>
    <w:p>
      <w:pPr>
        <w:pStyle w:val="ListParagraph"/>
        <w:numPr>
          <w:ilvl w:val="0"/>
          <w:numId w:val="2"/>
        </w:numPr>
        <w:spacing w:after="60" w:before="40"/>
      </w:pPr>
      <w:r>
        <w:rPr>
          <w:rFonts w:ascii="Arial" w:cs="Arial" w:eastAsia="Arial" w:hAnsi="Arial"/>
          <w:color w:val="2C2C2C"/>
          <w:sz w:val="22"/>
          <w:szCs w:val="22"/>
        </w:rPr>
        <w:t xml:space="preserve">NS-AI-006 DocIntel Underwriting — High Risk, document classification (provisional pilot)</w:t>
      </w:r>
    </w:p>
    <w:p>
      <w:pPr>
        <w:pStyle w:val="ListParagraph"/>
        <w:numPr>
          <w:ilvl w:val="0"/>
          <w:numId w:val="2"/>
        </w:numPr>
        <w:spacing w:after="60" w:before="40"/>
      </w:pPr>
      <w:r>
        <w:rPr>
          <w:rFonts w:ascii="Arial" w:cs="Arial" w:eastAsia="Arial" w:hAnsi="Arial"/>
          <w:color w:val="2C2C2C"/>
          <w:sz w:val="22"/>
          <w:szCs w:val="22"/>
        </w:rPr>
        <w:t xml:space="preserve">NS-AI-007 RegulatoryRadar — Minimal Risk, compliance monitoring</w:t>
      </w:r>
    </w:p>
    <w:p>
      <w:pPr>
        <w:spacing w:after="120" w:before="60"/>
      </w:pPr>
      <w:r>
        <w:rPr>
          <w:rFonts w:ascii="Arial" w:cs="Arial" w:eastAsia="Arial" w:hAnsi="Arial"/>
          <w:color w:val="2C2C2C"/>
          <w:sz w:val="22"/>
          <w:szCs w:val="22"/>
        </w:rPr>
        <w:t xml:space="preserve">System-specific response guidance for the three High Risk systems is provided in Section 8. For Limited and Minimal Risk systems, the standard response phases in Section 5 apply in full.</w:t>
      </w:r>
    </w:p>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2.  What Constitutes an AI Incident</w:t>
      </w:r>
    </w:p>
    <w:p>
      <w:pPr>
        <w:spacing w:after="120" w:before="60"/>
      </w:pPr>
      <w:r>
        <w:rPr>
          <w:rFonts w:ascii="Arial" w:cs="Arial" w:eastAsia="Arial" w:hAnsi="Arial"/>
          <w:color w:val="2C2C2C"/>
          <w:sz w:val="22"/>
          <w:szCs w:val="22"/>
        </w:rPr>
        <w:t xml:space="preserve">An AI incident is any event where an AI system produces an output — or fails to produce one — that causes, or has the realistic potential to cause, harm to a customer, employee, third party, or NorthStar itself.</w:t>
      </w:r>
    </w:p>
    <w:p>
      <w:pPr>
        <w:spacing w:after="120" w:before="60"/>
      </w:pPr>
      <w:r>
        <w:rPr>
          <w:rFonts w:ascii="Arial" w:cs="Arial" w:eastAsia="Arial" w:hAnsi="Arial"/>
          <w:color w:val="2C2C2C"/>
          <w:sz w:val="22"/>
          <w:szCs w:val="22"/>
        </w:rPr>
        <w:t xml:space="preserve">This definition is intentionally broad. It is better to triage ten non-incidents than to miss one real one. The following events always trigger the incident process:</w:t>
      </w:r>
    </w:p>
    <w:p>
      <w:pPr>
        <w:pStyle w:val="ListParagraph"/>
        <w:numPr>
          <w:ilvl w:val="0"/>
          <w:numId w:val="2"/>
        </w:numPr>
        <w:spacing w:after="60" w:before="40"/>
      </w:pPr>
      <w:r>
        <w:rPr>
          <w:rFonts w:ascii="Arial" w:cs="Arial" w:eastAsia="Arial" w:hAnsi="Arial"/>
          <w:color w:val="2C2C2C"/>
          <w:sz w:val="22"/>
          <w:szCs w:val="22"/>
        </w:rPr>
        <w:t xml:space="preserve">A High Risk system produces an output that is later identified as incorrect, biased, or discriminatory in a way that affected a consequential decision.</w:t>
      </w:r>
    </w:p>
    <w:p>
      <w:pPr>
        <w:pStyle w:val="ListParagraph"/>
        <w:numPr>
          <w:ilvl w:val="0"/>
          <w:numId w:val="2"/>
        </w:numPr>
        <w:spacing w:after="60" w:before="40"/>
      </w:pPr>
      <w:r>
        <w:rPr>
          <w:rFonts w:ascii="Arial" w:cs="Arial" w:eastAsia="Arial" w:hAnsi="Arial"/>
          <w:color w:val="2C2C2C"/>
          <w:sz w:val="22"/>
          <w:szCs w:val="22"/>
        </w:rPr>
        <w:t xml:space="preserve">A monitoring alert fires on any AI system and cannot be explained within 24 hours.</w:t>
      </w:r>
    </w:p>
    <w:p>
      <w:pPr>
        <w:pStyle w:val="ListParagraph"/>
        <w:numPr>
          <w:ilvl w:val="0"/>
          <w:numId w:val="2"/>
        </w:numPr>
        <w:spacing w:after="60" w:before="40"/>
      </w:pPr>
      <w:r>
        <w:rPr>
          <w:rFonts w:ascii="Arial" w:cs="Arial" w:eastAsia="Arial" w:hAnsi="Arial"/>
          <w:color w:val="2C2C2C"/>
          <w:sz w:val="22"/>
          <w:szCs w:val="22"/>
        </w:rPr>
        <w:t xml:space="preserve">A customer, employee, or third party files a complaint that references an AI system by name or by behaviour.</w:t>
      </w:r>
    </w:p>
    <w:p>
      <w:pPr>
        <w:pStyle w:val="ListParagraph"/>
        <w:numPr>
          <w:ilvl w:val="0"/>
          <w:numId w:val="2"/>
        </w:numPr>
        <w:spacing w:after="60" w:before="40"/>
      </w:pPr>
      <w:r>
        <w:rPr>
          <w:rFonts w:ascii="Arial" w:cs="Arial" w:eastAsia="Arial" w:hAnsi="Arial"/>
          <w:color w:val="2C2C2C"/>
          <w:sz w:val="22"/>
          <w:szCs w:val="22"/>
        </w:rPr>
        <w:t xml:space="preserve">A regulator (BaFin, AFM, or any other competent authority) contacts NorthStar with questions about an AI system.</w:t>
      </w:r>
    </w:p>
    <w:p>
      <w:pPr>
        <w:pStyle w:val="ListParagraph"/>
        <w:numPr>
          <w:ilvl w:val="0"/>
          <w:numId w:val="2"/>
        </w:numPr>
        <w:spacing w:after="60" w:before="40"/>
      </w:pPr>
      <w:r>
        <w:rPr>
          <w:rFonts w:ascii="Arial" w:cs="Arial" w:eastAsia="Arial" w:hAnsi="Arial"/>
          <w:color w:val="2C2C2C"/>
          <w:sz w:val="22"/>
          <w:szCs w:val="22"/>
        </w:rPr>
        <w:t xml:space="preserve">A system produces outputs that deviate materially from expected performance benchmarks.</w:t>
      </w:r>
    </w:p>
    <w:p>
      <w:pPr>
        <w:pStyle w:val="ListParagraph"/>
        <w:numPr>
          <w:ilvl w:val="0"/>
          <w:numId w:val="2"/>
        </w:numPr>
        <w:spacing w:after="60" w:before="40"/>
      </w:pPr>
      <w:r>
        <w:rPr>
          <w:rFonts w:ascii="Arial" w:cs="Arial" w:eastAsia="Arial" w:hAnsi="Arial"/>
          <w:color w:val="2C2C2C"/>
          <w:sz w:val="22"/>
          <w:szCs w:val="22"/>
        </w:rPr>
        <w:t xml:space="preserve">An AI system makes a decision that a human reviewer determines is clearly wrong — particularly on a High Risk system.</w:t>
      </w:r>
    </w:p>
    <w:p>
      <w:pPr>
        <w:pStyle w:val="ListParagraph"/>
        <w:numPr>
          <w:ilvl w:val="0"/>
          <w:numId w:val="2"/>
        </w:numPr>
        <w:spacing w:after="60" w:before="40"/>
      </w:pPr>
      <w:r>
        <w:rPr>
          <w:rFonts w:ascii="Arial" w:cs="Arial" w:eastAsia="Arial" w:hAnsi="Arial"/>
          <w:color w:val="2C2C2C"/>
          <w:sz w:val="22"/>
          <w:szCs w:val="22"/>
        </w:rPr>
        <w:t xml:space="preserve">A third-party vendor notifies NorthStar of a defect, bias finding, or compliance issue in a supplied model.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1E8449" w:sz="16"/>
              <w:bottom w:val="single" w:color="2E5FA3" w:sz="1"/>
              <w:right w:val="single" w:color="2E5FA3" w:sz="1"/>
            </w:tcBorders>
            <w:shd w:fill="F4F6FA"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What Is NOT an AI Incident</w:t>
            </w:r>
          </w:p>
          <w:p>
            <w:r>
              <w:rPr>
                <w:rFonts w:ascii="Arial" w:cs="Arial" w:eastAsia="Arial" w:hAnsi="Arial"/>
                <w:color w:val="2C2C2C"/>
                <w:sz w:val="20"/>
                <w:szCs w:val="20"/>
              </w:rPr>
              <w:t xml:space="preserve">Routine model monitoring reviews that find no anomaly. Planned system downtime or maintenance. Minor UI changes to AI-facing interfaces. Performance variations within pre-agreed tolerance bands documented in the system's monitoring specification. If you are unsure whether something is an incident, treat it as one and let the triage process make the call.</w:t>
            </w:r>
          </w:p>
        </w:tc>
      </w:tr>
    </w:tbl>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3.  Severity Framework</w:t>
      </w:r>
    </w:p>
    <w:p>
      <w:pPr>
        <w:spacing w:after="120" w:before="60"/>
      </w:pPr>
      <w:r>
        <w:rPr>
          <w:rFonts w:ascii="Arial" w:cs="Arial" w:eastAsia="Arial" w:hAnsi="Arial"/>
          <w:color w:val="2C2C2C"/>
          <w:sz w:val="22"/>
          <w:szCs w:val="22"/>
        </w:rPr>
        <w:t xml:space="preserve">Every incident is classified into one of four severity levels within two hours of detection. The classification determines the speed of response, the escalation path, and the regulatory notification obligations. Do not skip the classification step — acting on an unclassified incident is the fastest way to make it worse.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P1</w:t>
            </w:r>
          </w:p>
          <w:p>
            <w:pPr>
              <w:jc w:val="center"/>
            </w:pPr>
            <w:r>
              <w:rPr>
                <w:rFonts w:ascii="Arial" w:cs="Arial" w:eastAsia="Arial" w:hAnsi="Arial"/>
                <w:color w:val="FFFFFF"/>
                <w:sz w:val="18"/>
                <w:szCs w:val="18"/>
              </w:rPr>
              <w:t xml:space="preserve">CRITICAL</w:t>
            </w:r>
          </w:p>
        </w:tc>
        <w:tc>
          <w:tcPr>
            <w:tcW w:type="dxa" w:w="75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tcPr>
          <w:p>
            <w:r>
              <w:rPr>
                <w:rFonts w:ascii="Arial" w:cs="Arial" w:eastAsia="Arial" w:hAnsi="Arial"/>
                <w:color w:val="2C2C2C"/>
                <w:sz w:val="20"/>
                <w:szCs w:val="20"/>
              </w:rPr>
              <w:t xml:space="preserve">Confirmed harm or bias in a High Risk system affecting real individuals. Active regulatory threat. System-wide failure. Immediate suspension of affected system required. CEO and Board notified within 2 hours. Article 73 notification clock starts immediately.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8910"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P2</w:t>
            </w:r>
          </w:p>
          <w:p>
            <w:pPr>
              <w:jc w:val="center"/>
            </w:pPr>
            <w:r>
              <w:rPr>
                <w:rFonts w:ascii="Arial" w:cs="Arial" w:eastAsia="Arial" w:hAnsi="Arial"/>
                <w:color w:val="FFFFFF"/>
                <w:sz w:val="18"/>
                <w:szCs w:val="18"/>
              </w:rPr>
              <w:t xml:space="preserve">HIGH</w:t>
            </w:r>
          </w:p>
        </w:tc>
        <w:tc>
          <w:tcPr>
            <w:tcW w:type="dxa" w:w="75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tcPr>
          <w:p>
            <w:r>
              <w:rPr>
                <w:rFonts w:ascii="Arial" w:cs="Arial" w:eastAsia="Arial" w:hAnsi="Arial"/>
                <w:color w:val="2C2C2C"/>
                <w:sz w:val="20"/>
                <w:szCs w:val="20"/>
              </w:rPr>
              <w:t xml:space="preserve">Significant anomaly confirmed in a High Risk system. Root cause under investigation. Potential regulatory exposure identified. No confirmed harm yet but trajectory is serious. CRO and Legal notified within 4 hours. Article 73 assessment required within 24 hours.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A90D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P3</w:t>
            </w:r>
          </w:p>
          <w:p>
            <w:pPr>
              <w:jc w:val="center"/>
            </w:pPr>
            <w:r>
              <w:rPr>
                <w:rFonts w:ascii="Arial" w:cs="Arial" w:eastAsia="Arial" w:hAnsi="Arial"/>
                <w:color w:val="FFFFFF"/>
                <w:sz w:val="18"/>
                <w:szCs w:val="18"/>
              </w:rPr>
              <w:t xml:space="preserve">MEDIUM</w:t>
            </w:r>
          </w:p>
        </w:tc>
        <w:tc>
          <w:tcPr>
            <w:tcW w:type="dxa" w:w="75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tcPr>
          <w:p>
            <w:r>
              <w:rPr>
                <w:rFonts w:ascii="Arial" w:cs="Arial" w:eastAsia="Arial" w:hAnsi="Arial"/>
                <w:color w:val="2C2C2C"/>
                <w:sz w:val="20"/>
                <w:szCs w:val="20"/>
              </w:rPr>
              <w:t xml:space="preserve">Anomaly detected in any system. Root cause unclear. No confirmed harm. Monitoring enhanced. Head of AI Governance leads investigation. Weekly update to CRO until resolved.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center"/>
            </w:pPr>
            <w:r>
              <w:rPr>
                <w:rFonts w:ascii="Arial" w:cs="Arial" w:eastAsia="Arial" w:hAnsi="Arial"/>
                <w:b/>
                <w:bCs/>
                <w:color w:val="2C2C2C"/>
                <w:sz w:val="22"/>
                <w:szCs w:val="22"/>
              </w:rPr>
              <w:t xml:space="preserve">P4</w:t>
            </w:r>
          </w:p>
          <w:p>
            <w:pPr>
              <w:jc w:val="center"/>
            </w:pPr>
            <w:r>
              <w:rPr>
                <w:rFonts w:ascii="Arial" w:cs="Arial" w:eastAsia="Arial" w:hAnsi="Arial"/>
                <w:color w:val="2C2C2C"/>
                <w:sz w:val="18"/>
                <w:szCs w:val="18"/>
              </w:rPr>
              <w:t xml:space="preserve">LOW</w:t>
            </w:r>
          </w:p>
        </w:tc>
        <w:tc>
          <w:tcPr>
            <w:tcW w:type="dxa" w:w="75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tcPr>
          <w:p>
            <w:r>
              <w:rPr>
                <w:rFonts w:ascii="Arial" w:cs="Arial" w:eastAsia="Arial" w:hAnsi="Arial"/>
                <w:color w:val="2C2C2C"/>
                <w:sz w:val="20"/>
                <w:szCs w:val="20"/>
              </w:rPr>
              <w:t xml:space="preserve">Minor deviation from expected behaviour. No customer impact. Contained within technical team. Logged and monitored. No formal escalation required unless severity changes.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D68910" w:sz="16"/>
              <w:bottom w:val="single" w:color="2E5FA3" w:sz="1"/>
              <w:right w:val="single" w:color="2E5FA3" w:sz="1"/>
            </w:tcBorders>
            <w:shd w:fill="FFF8EC"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Classification Rule: When In Doubt, Go Higher</w:t>
            </w:r>
          </w:p>
          <w:p>
            <w:r>
              <w:rPr>
                <w:rFonts w:ascii="Arial" w:cs="Arial" w:eastAsia="Arial" w:hAnsi="Arial"/>
                <w:color w:val="2C2C2C"/>
                <w:sz w:val="20"/>
                <w:szCs w:val="20"/>
              </w:rPr>
              <w:t xml:space="preserve">If an incident could plausibly be P1 or P2, classify it P1 and step down if the investigation confirms lower severity. Classifying a P1 as P2 to avoid escalation is a governance failure. The Article 73 clock does not pause while you gather evidence — if it turns out to be P1, the clock started at the moment you first detected the event.</w:t>
            </w:r>
          </w:p>
        </w:tc>
      </w:tr>
    </w:tbl>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4.  Roles and Responsibilities</w:t>
      </w:r>
    </w:p>
    <w:p>
      <w:pPr>
        <w:spacing w:after="120" w:before="60"/>
      </w:pPr>
      <w:r>
        <w:rPr>
          <w:rFonts w:ascii="Arial" w:cs="Arial" w:eastAsia="Arial" w:hAnsi="Arial"/>
          <w:color w:val="2C2C2C"/>
          <w:sz w:val="22"/>
          <w:szCs w:val="22"/>
        </w:rPr>
        <w:t xml:space="preserve">Every person named in this section must know their role before an incident occurs. The incident response process fails when people are reading their responsibilities for the first time during a crisis.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RESPONSIBILITIES IN INCIDENT RESPONSE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9"/>
                <w:szCs w:val="19"/>
              </w:rPr>
              <w:t xml:space="preserve">Head of AI Governance</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Incident Commander for all P1 and P2 incidents. Owns the investigation timeline. Assigns team roles within one hour of classification. Responsible for Article 73 notification decisions. Reports to CRO throughout.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Chief Risk Officer (CRO)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Executive sponsor for all P1 incidents. Notified within 2 hours of P1 classification. Approves regulatory notifications before submission. Briefs CEO and Board. Named as Regulatory Notification Lead at point of P1 classification.</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9"/>
                <w:szCs w:val="19"/>
              </w:rPr>
              <w:t xml:space="preserve">Legal Counsel</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Article 73 notification assessment. Drafts all regulatory correspondence. Advises on individual notification obligations to affected persons. Manages external legal risk.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Head of Model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Technical lead for model-level investigations — drift analysis, bias testing, output review. Owns retraining decisions and redeployment validation for CreditScore Pro and TalentMatch AI.</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9"/>
                <w:szCs w:val="19"/>
              </w:rPr>
              <w:t xml:space="preserve">Head of HR</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Incident lead for TalentMatch AI incidents. Manages affected candidate communications. Coordinates with hiring managers to suspend or review AI-generated shortlists.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Head of Retail Lending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Incident lead for CreditScore Pro incidents. Manages affected applicant outreach. Coordinates loan officer review of flagged decisions.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9"/>
                <w:szCs w:val="19"/>
              </w:rPr>
              <w:t xml:space="preserve">Head of Digital Products</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Incident lead for SupportBot Aria and FraudGuard 360 incidents. Owns technical remediation for customer-facing AI systems.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Chief Executive Officer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Notified for all P1 incidents. Approves public statements if required. Engages Board Risk Committee for incidents with systemic or reputational implications.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3A6B"/>
                <w:sz w:val="19"/>
                <w:szCs w:val="19"/>
              </w:rPr>
              <w:t xml:space="preserve">Vendor Contacts</w:t>
            </w:r>
          </w:p>
        </w:tc>
        <w:tc>
          <w:tcPr>
            <w:tcW w:type="dxa" w:w="63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Third-party model suppliers notified where the incident root cause may involve vendor-supplied components. SLA response times apply. NorthStar retains right to suspend vendor systems pending investigation.</w:t>
            </w:r>
          </w:p>
        </w:tc>
      </w:tr>
    </w:tbl>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5.  Five-Phase Incident Response</w:t>
      </w:r>
    </w:p>
    <w:p>
      <w:pPr>
        <w:spacing w:after="120" w:before="60"/>
      </w:pPr>
      <w:r>
        <w:rPr>
          <w:rFonts w:ascii="Arial" w:cs="Arial" w:eastAsia="Arial" w:hAnsi="Arial"/>
          <w:color w:val="2C2C2C"/>
          <w:sz w:val="22"/>
          <w:szCs w:val="22"/>
        </w:rPr>
        <w:t xml:space="preserve">Every AI incident — regardless of severity — follows five phases. P4 incidents may compress phases 2 and 3. P1 incidents must complete all phases in full with documented outputs at each stage.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TIMEFRAME</w:t>
            </w:r>
          </w:p>
        </w:tc>
        <w:tc>
          <w:tcPr>
            <w:tcW w:type="dxa" w:w="6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PHASE 1
DETECT</w:t>
            </w:r>
          </w:p>
        </w:tc>
        <w:tc>
          <w:tcPr>
            <w:tcW w:type="dxa" w:w="14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0–2 hrs</w:t>
            </w:r>
          </w:p>
        </w:tc>
        <w:tc>
          <w:tcPr>
            <w:tcW w:type="dxa" w:w="64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Incident detected via monitoring alert, complaint, regulator contact, or internal review. Incident ticket opened in NorthStar's GRC system. Initial severity assessment completed. Incident Commander assigned. For P1 and P2: CRO notified. For P1: CEO notified. Article 73 clock assessment begins.</w:t>
            </w:r>
          </w:p>
        </w:tc>
      </w:tr>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PHASE 2
CONTAIN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2–8 hrs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Immediate containment action taken: system suspended (P1), outputs flagged for human review (P2), monitoring enhanced (P3/P4). Scope of potential harm assessed — how many individuals, which decisions, what time period. Vendor notified if third-party system involved. No further AI-generated decisions issued on affected system without human sign-off.</w:t>
            </w:r>
          </w:p>
        </w:tc>
      </w:tr>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PHASE 3
INVESTIGATE</w:t>
            </w:r>
          </w:p>
        </w:tc>
        <w:tc>
          <w:tcPr>
            <w:tcW w:type="dxa" w:w="14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8–72 hrs</w:t>
            </w:r>
          </w:p>
        </w:tc>
        <w:tc>
          <w:tcPr>
            <w:tcW w:type="dxa" w:w="64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Root cause investigation conducted by Head of Model Risk and AI Governance team. Evidence collected: model logs, scoring outputs, monitoring reports, complaint records. Three hypotheses tested: (1) genuine external change, (2) data quality failure, (3) model error or drift. Article 73 notification decision finalised before 72-hour deadline. Affected individuals identified.</w:t>
            </w:r>
          </w:p>
        </w:tc>
      </w:tr>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PHASE 4
RECOVER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72 hrs–
30 days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9"/>
                <w:szCs w:val="19"/>
              </w:rPr>
              <w:t xml:space="preserve">Remediation actions implemented: model retrained or suspended, human review processes activated, affected individuals notified, regulatory correspondence filed. System only reinstated after independent validation by Head of Model Risk. Redeployment requires sign-off from CRO and Head of AI Governance.</w:t>
            </w:r>
          </w:p>
        </w:tc>
      </w:tr>
      <w:tr>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PHASE 5
LEARN</w:t>
            </w:r>
          </w:p>
        </w:tc>
        <w:tc>
          <w:tcPr>
            <w:tcW w:type="dxa" w:w="144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b/>
                <w:bCs/>
                <w:color w:val="1B3A6B"/>
                <w:sz w:val="19"/>
                <w:szCs w:val="19"/>
              </w:rPr>
              <w:t xml:space="preserve">30 days
post-close</w:t>
            </w:r>
          </w:p>
        </w:tc>
        <w:tc>
          <w:tcPr>
            <w:tcW w:type="dxa" w:w="648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r>
              <w:rPr>
                <w:rFonts w:ascii="Arial" w:cs="Arial" w:eastAsia="Arial" w:hAnsi="Arial"/>
                <w:color w:val="2C2C2C"/>
                <w:sz w:val="19"/>
                <w:szCs w:val="19"/>
              </w:rPr>
              <w:t xml:space="preserve">Post-Incident Review completed using NS-PIR-AI-001 template. Root cause documented. Control gaps identified. At least three specific lessons captured. Playbook updated if process failures identified. Board Risk Committee briefed for P1 and P2 incidents. Lessons shared with AI Governance function within 45 days of incident close.</w:t>
            </w:r>
          </w:p>
        </w:tc>
      </w:tr>
    </w:tbl>
    <w:p>
      <w:pPr>
        <w:spacing w:after="200" w:before="0"/>
      </w:pPr>
    </w:p>
    <w:p>
      <w:pPr>
        <w:pStyle w:val="Heading1"/>
        <w:pBdr>
          <w:bottom w:val="single" w:color="1B3A6B" w:sz="8" w:space="6"/>
        </w:pBdr>
        <w:spacing w:after="120" w:before="360"/>
      </w:pPr>
      <w:r>
        <w:rPr>
          <w:rFonts w:ascii="Arial" w:cs="Arial" w:eastAsia="Arial" w:hAnsi="Arial"/>
          <w:b/>
          <w:bCs/>
          <w:color w:val="1B3A6B"/>
          <w:sz w:val="28"/>
          <w:szCs w:val="28"/>
        </w:rPr>
        <w:t xml:space="preserve">6.  Escalation Paths</w:t>
      </w:r>
    </w:p>
    <w:p>
      <w:pPr>
        <w:pStyle w:val="Heading2"/>
        <w:spacing w:after="100" w:before="280"/>
      </w:pPr>
      <w:r>
        <w:rPr>
          <w:rFonts w:ascii="Arial" w:cs="Arial" w:eastAsia="Arial" w:hAnsi="Arial"/>
          <w:b/>
          <w:bCs/>
          <w:color w:val="2E5FA3"/>
          <w:sz w:val="24"/>
          <w:szCs w:val="24"/>
        </w:rPr>
        <w:t xml:space="preserve">6.1  P1 Critical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C0392B" w:sz="16"/>
              <w:bottom w:val="single" w:color="2E5FA3" w:sz="1"/>
              <w:right w:val="single" w:color="2E5FA3" w:sz="1"/>
            </w:tcBorders>
            <w:shd w:fill="FFF0EE"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P1 Escalation — Immediate Actions Required</w:t>
            </w:r>
          </w:p>
          <w:p>
            <w:r>
              <w:rPr>
                <w:rFonts w:ascii="Arial" w:cs="Arial" w:eastAsia="Arial" w:hAnsi="Arial"/>
                <w:color w:val="2C2C2C"/>
                <w:sz w:val="20"/>
                <w:szCs w:val="20"/>
              </w:rPr>
              <w:t xml:space="preserve">The following sequence is mandatory for all P1 incidents. Each step has a hard deadline. Missing any step is itself a governance failure that must be logged.</w:t>
            </w:r>
          </w:p>
        </w:tc>
      </w:tr>
    </w:tbl>
    <w:p>
      <w:pPr>
        <w:spacing w:after="120" w:before="0"/>
      </w:pPr>
    </w:p>
    <w:p>
      <w:pPr>
        <w:spacing w:after="120" w:before="60"/>
      </w:pPr>
      <w:r>
        <w:rPr>
          <w:rFonts w:ascii="Arial" w:cs="Arial" w:eastAsia="Arial" w:hAnsi="Arial"/>
          <w:color w:val="2C2C2C"/>
          <w:sz w:val="22"/>
          <w:szCs w:val="22"/>
        </w:rPr>
        <w:t xml:space="preserve">Step 1 — 0 to 30 minutes: Head of AI Governance classifies P1 and opens incident ticket. CRO notified by direct call — not email.</w:t>
      </w:r>
    </w:p>
    <w:p>
      <w:pPr>
        <w:spacing w:after="120" w:before="60"/>
      </w:pPr>
      <w:r>
        <w:rPr>
          <w:rFonts w:ascii="Arial" w:cs="Arial" w:eastAsia="Arial" w:hAnsi="Arial"/>
          <w:color w:val="2C2C2C"/>
          <w:sz w:val="22"/>
          <w:szCs w:val="22"/>
        </w:rPr>
        <w:t xml:space="preserve">Step 2 — 30 minutes: CRO formally accepts role of Regulatory Notification Lead. Calendar reminder set for 72-hour Article 73 deadline.</w:t>
      </w:r>
    </w:p>
    <w:p>
      <w:pPr>
        <w:spacing w:after="120" w:before="60"/>
      </w:pPr>
      <w:r>
        <w:rPr>
          <w:rFonts w:ascii="Arial" w:cs="Arial" w:eastAsia="Arial" w:hAnsi="Arial"/>
          <w:color w:val="2C2C2C"/>
          <w:sz w:val="22"/>
          <w:szCs w:val="22"/>
        </w:rPr>
        <w:t xml:space="preserve">Step 3 — 1 hour: Affected system suspended pending investigation. Head of AI Governance confirms suspension in writing to CRO.</w:t>
      </w:r>
    </w:p>
    <w:p>
      <w:pPr>
        <w:spacing w:after="120" w:before="60"/>
      </w:pPr>
      <w:r>
        <w:rPr>
          <w:rFonts w:ascii="Arial" w:cs="Arial" w:eastAsia="Arial" w:hAnsi="Arial"/>
          <w:color w:val="2C2C2C"/>
          <w:sz w:val="22"/>
          <w:szCs w:val="22"/>
        </w:rPr>
        <w:t xml:space="preserve">Step 4 — 2 hours: CEO notified by CRO. Brief factual summary provided — what system, what happened, what action taken, what is unknown.</w:t>
      </w:r>
    </w:p>
    <w:p>
      <w:pPr>
        <w:spacing w:after="120" w:before="60"/>
      </w:pPr>
      <w:r>
        <w:rPr>
          <w:rFonts w:ascii="Arial" w:cs="Arial" w:eastAsia="Arial" w:hAnsi="Arial"/>
          <w:color w:val="2C2C2C"/>
          <w:sz w:val="22"/>
          <w:szCs w:val="22"/>
        </w:rPr>
        <w:t xml:space="preserve">Step 5 — 4 hours: Legal Counsel begins Article 73 notification assessment. Evidence package prepared.</w:t>
      </w:r>
    </w:p>
    <w:p>
      <w:pPr>
        <w:spacing w:after="120" w:before="60"/>
      </w:pPr>
      <w:r>
        <w:rPr>
          <w:rFonts w:ascii="Arial" w:cs="Arial" w:eastAsia="Arial" w:hAnsi="Arial"/>
          <w:color w:val="2C2C2C"/>
          <w:sz w:val="22"/>
          <w:szCs w:val="22"/>
        </w:rPr>
        <w:t xml:space="preserve">Step 6 — 24 hours: First written situation report issued to CRO and CEO. Covers: confirmed facts, active unknowns, investigation plan, estimated resolution timeline.</w:t>
      </w:r>
    </w:p>
    <w:p>
      <w:pPr>
        <w:spacing w:after="120" w:before="60"/>
      </w:pPr>
      <w:r>
        <w:rPr>
          <w:rFonts w:ascii="Arial" w:cs="Arial" w:eastAsia="Arial" w:hAnsi="Arial"/>
          <w:color w:val="2C2C2C"/>
          <w:sz w:val="22"/>
          <w:szCs w:val="22"/>
        </w:rPr>
        <w:t xml:space="preserve">Step 7 — 72 hours: Article 73 notification submitted to competent authority (BaFin for Germany, AFM for Netherlands) if threshold is met. If threshold is not met, the assessment rationale is documented and filed.</w:t>
      </w:r>
    </w:p>
    <w:p>
      <w:pPr>
        <w:spacing w:after="120" w:before="60"/>
      </w:pPr>
      <w:r>
        <w:rPr>
          <w:rFonts w:ascii="Arial" w:cs="Arial" w:eastAsia="Arial" w:hAnsi="Arial"/>
          <w:color w:val="2C2C2C"/>
          <w:sz w:val="22"/>
          <w:szCs w:val="22"/>
        </w:rPr>
        <w:t xml:space="preserve">Step 8 — 7 days: Board Risk Committee briefed. Written summary provided.</w:t>
      </w:r>
    </w:p>
    <w:p>
      <w:pPr>
        <w:spacing w:after="160" w:before="0"/>
      </w:pPr>
    </w:p>
    <w:p>
      <w:pPr>
        <w:pStyle w:val="Heading2"/>
        <w:spacing w:after="100" w:before="280"/>
      </w:pPr>
      <w:r>
        <w:rPr>
          <w:rFonts w:ascii="Arial" w:cs="Arial" w:eastAsia="Arial" w:hAnsi="Arial"/>
          <w:b/>
          <w:bCs/>
          <w:color w:val="2E5FA3"/>
          <w:sz w:val="24"/>
          <w:szCs w:val="24"/>
        </w:rPr>
        <w:t xml:space="preserve">6.2  P2 High Escalation Path</w:t>
      </w:r>
    </w:p>
    <w:p>
      <w:pPr>
        <w:spacing w:after="120" w:before="60"/>
      </w:pPr>
      <w:r>
        <w:rPr>
          <w:rFonts w:ascii="Arial" w:cs="Arial" w:eastAsia="Arial" w:hAnsi="Arial"/>
          <w:color w:val="2C2C2C"/>
          <w:sz w:val="22"/>
          <w:szCs w:val="22"/>
        </w:rPr>
        <w:t xml:space="preserve">P2 incidents follow the same sequence but with extended timeframes. CRO notified within 4 hours. CEO notified only if P2 escalates to P1 during investigation. Article 73 assessment completed within 24 hours. Board notified at next scheduled Risk Committee meeting unless incident escalates.</w:t>
      </w:r>
    </w:p>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7.  Article 73 — Regulatory Notification</w:t>
      </w:r>
    </w:p>
    <w:p>
      <w:pPr>
        <w:spacing w:after="120" w:before="60"/>
      </w:pPr>
      <w:r>
        <w:rPr>
          <w:rFonts w:ascii="Arial" w:cs="Arial" w:eastAsia="Arial" w:hAnsi="Arial"/>
          <w:color w:val="2C2C2C"/>
          <w:sz w:val="22"/>
          <w:szCs w:val="22"/>
        </w:rPr>
        <w:t xml:space="preserve">Article 73 of the EU AI Act requires providers of High Risk AI systems to notify the relevant competent authority when a serious incident occurs. NorthStar operates under dual jurisdiction: BaFin (Federal Financial Supervisory Authority, Germany) and AFM (Authority for the Financial Markets, Netherlands).</w:t>
      </w:r>
    </w:p>
    <w:p>
      <w:pPr>
        <w:spacing w:after="120" w:before="0"/>
      </w:pPr>
    </w:p>
    <w:p>
      <w:pPr>
        <w:pStyle w:val="Heading2"/>
        <w:spacing w:after="100" w:before="280"/>
      </w:pPr>
      <w:r>
        <w:rPr>
          <w:rFonts w:ascii="Arial" w:cs="Arial" w:eastAsia="Arial" w:hAnsi="Arial"/>
          <w:b/>
          <w:bCs/>
          <w:color w:val="2E5FA3"/>
          <w:sz w:val="24"/>
          <w:szCs w:val="24"/>
        </w:rPr>
        <w:t xml:space="preserve">7.1  The 72-Hour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
              <w:left w:val="single" w:color="C0392B" w:sz="16"/>
              <w:bottom w:val="single" w:color="2E5FA3" w:sz="1"/>
              <w:right w:val="single" w:color="2E5FA3" w:sz="1"/>
            </w:tcBorders>
            <w:shd w:fill="FFF0EE" w:val="clear"/>
            <w:tcMar>
              <w:top w:type="dxa" w:w="120"/>
              <w:left w:type="dxa" w:w="200"/>
              <w:bottom w:type="dxa" w:w="120"/>
              <w:right w:type="dxa" w:w="200"/>
            </w:tcMar>
          </w:tcPr>
          <w:p>
            <w:pPr>
              <w:spacing w:after="60"/>
            </w:pPr>
            <w:r>
              <w:rPr>
                <w:rFonts w:ascii="Arial" w:cs="Arial" w:eastAsia="Arial" w:hAnsi="Arial"/>
                <w:b/>
                <w:bCs/>
                <w:color w:val="1B3A6B"/>
                <w:sz w:val="20"/>
                <w:szCs w:val="20"/>
              </w:rPr>
              <w:t xml:space="preserve">72-Hour Notification Window</w:t>
            </w:r>
          </w:p>
          <w:p>
            <w:r>
              <w:rPr>
                <w:rFonts w:ascii="Arial" w:cs="Arial" w:eastAsia="Arial" w:hAnsi="Arial"/>
                <w:color w:val="2C2C2C"/>
                <w:sz w:val="20"/>
                <w:szCs w:val="20"/>
              </w:rPr>
              <w:t xml:space="preserve">The clock starts the moment a P1 incident is classified — not when the investigation is complete, not when root cause is confirmed. NorthStar must submit an initial notification within 72 hours even if the investigation is ongoing. The notification can be updated as facts develop. Missing the window is a regulatory breach in its own right.</w:t>
            </w:r>
          </w:p>
        </w:tc>
      </w:tr>
    </w:tbl>
    <w:p>
      <w:pPr>
        <w:spacing w:after="160" w:before="0"/>
      </w:pPr>
    </w:p>
    <w:p>
      <w:pPr>
        <w:pStyle w:val="Heading2"/>
        <w:spacing w:after="100" w:before="280"/>
      </w:pPr>
      <w:r>
        <w:rPr>
          <w:rFonts w:ascii="Arial" w:cs="Arial" w:eastAsia="Arial" w:hAnsi="Arial"/>
          <w:b/>
          <w:bCs/>
          <w:color w:val="2E5FA3"/>
          <w:sz w:val="24"/>
          <w:szCs w:val="24"/>
        </w:rPr>
        <w:t xml:space="preserve">7.2  Notification Decision Framework</w:t>
      </w:r>
    </w:p>
    <w:p>
      <w:pPr>
        <w:spacing w:after="120" w:before="60"/>
      </w:pPr>
      <w:r>
        <w:rPr>
          <w:rFonts w:ascii="Arial" w:cs="Arial" w:eastAsia="Arial" w:hAnsi="Arial"/>
          <w:color w:val="2C2C2C"/>
          <w:sz w:val="22"/>
          <w:szCs w:val="22"/>
        </w:rPr>
        <w:t xml:space="preserve">Three questions determine whether Article 73 notification is required:</w:t>
      </w:r>
    </w:p>
    <w:p>
      <w:pPr>
        <w:spacing w:after="120" w:before="60"/>
      </w:pPr>
      <w:r>
        <w:rPr>
          <w:rFonts w:ascii="Arial" w:cs="Arial" w:eastAsia="Arial" w:hAnsi="Arial"/>
          <w:color w:val="2C2C2C"/>
          <w:sz w:val="22"/>
          <w:szCs w:val="22"/>
        </w:rPr>
        <w:t xml:space="preserve">Question 1: Is the affected system classified High Risk under Annex III? If no — Article 73 does not apply. If yes — proceed to Question 2.</w:t>
      </w:r>
    </w:p>
    <w:p>
      <w:pPr>
        <w:spacing w:after="120" w:before="60"/>
      </w:pPr>
      <w:r>
        <w:rPr>
          <w:rFonts w:ascii="Arial" w:cs="Arial" w:eastAsia="Arial" w:hAnsi="Arial"/>
          <w:color w:val="2C2C2C"/>
          <w:sz w:val="22"/>
          <w:szCs w:val="22"/>
        </w:rPr>
        <w:t xml:space="preserve">Question 2: Has a serious incident occurred? A serious incident means: a malfunction causing risk of death or serious harm to health, property or environment; an infringement of fundamental rights obligations; a breach that causes significant harm to an individual (financial, discriminatory, or reputational). If no — document the assessment and close. If yes — proceed to Question 3.</w:t>
      </w:r>
    </w:p>
    <w:p>
      <w:pPr>
        <w:spacing w:after="120" w:before="60"/>
      </w:pPr>
      <w:r>
        <w:rPr>
          <w:rFonts w:ascii="Arial" w:cs="Arial" w:eastAsia="Arial" w:hAnsi="Arial"/>
          <w:color w:val="2C2C2C"/>
          <w:sz w:val="22"/>
          <w:szCs w:val="22"/>
        </w:rPr>
        <w:t xml:space="preserve">Question 3: Is NorthStar the provider (deployer) of the system for this use case? If yes — notification is mandatory. If the vendor is the provider — NorthStar must notify the vendor immediately and confirm vendor notification to the competent authority.</w:t>
      </w:r>
    </w:p>
    <w:p>
      <w:pPr>
        <w:spacing w:after="160" w:before="0"/>
      </w:pPr>
    </w:p>
    <w:p>
      <w:pPr>
        <w:pStyle w:val="Heading2"/>
        <w:spacing w:after="100" w:before="280"/>
      </w:pPr>
      <w:r>
        <w:rPr>
          <w:rFonts w:ascii="Arial" w:cs="Arial" w:eastAsia="Arial" w:hAnsi="Arial"/>
          <w:b/>
          <w:bCs/>
          <w:color w:val="2E5FA3"/>
          <w:sz w:val="24"/>
          <w:szCs w:val="24"/>
        </w:rPr>
        <w:t xml:space="preserve">7.3  Competent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Germany — BaFin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Bundesanstalt für Finanzdienstleistungsaufsicht. Notification via BaFin's secure digital portal. NorthStar's designated BaFin contact is maintained by Legal Counsel. Notification language: English or German.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Netherlands — AFM</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Autoriteit Financiële Markten. Notification via AFM's incident reporting portal. NorthStar's designated AFM contact is maintained by Legal Counsel. Notification language: English or Dutch.</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Notification Content</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System name and reference, description of incident, date and time of detection, affected population estimate, actions taken to date, ongoing investigation status, contact details for follow-up enquiries.</w:t>
            </w:r>
          </w:p>
        </w:tc>
      </w:tr>
    </w:tbl>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8.  System-Specific Guidance</w:t>
      </w:r>
    </w:p>
    <w:p>
      <w:pPr>
        <w:pStyle w:val="Heading2"/>
        <w:spacing w:after="100" w:before="280"/>
      </w:pPr>
      <w:r>
        <w:rPr>
          <w:rFonts w:ascii="Arial" w:cs="Arial" w:eastAsia="Arial" w:hAnsi="Arial"/>
          <w:b/>
          <w:bCs/>
          <w:color w:val="2E5FA3"/>
          <w:sz w:val="24"/>
          <w:szCs w:val="24"/>
        </w:rPr>
        <w:t xml:space="preserve">8.1  NS-AI-001 CreditScore Pro</w:t>
      </w:r>
    </w:p>
    <w:p>
      <w:pPr>
        <w:spacing w:after="120" w:before="60"/>
      </w:pPr>
      <w:r>
        <w:rPr>
          <w:rFonts w:ascii="Arial" w:cs="Arial" w:eastAsia="Arial" w:hAnsi="Arial"/>
          <w:color w:val="2C2C2C"/>
          <w:sz w:val="22"/>
          <w:szCs w:val="22"/>
        </w:rPr>
        <w:t xml:space="preserve">CreditScore Pro is the highest-volume High Risk system in the portfolio — approximately 2,400 decisions per month. Any incident involving this system has immediate customer impact. The primary incident risks are model drift, proxy discrimination, and data quality failure.</w:t>
      </w:r>
    </w:p>
    <w:p>
      <w:pPr>
        <w:spacing w:after="120" w:before="60"/>
      </w:pPr>
      <w:r>
        <w:rPr>
          <w:rFonts w:ascii="Arial" w:cs="Arial" w:eastAsia="Arial" w:hAnsi="Arial"/>
          <w:color w:val="2C2C2C"/>
          <w:sz w:val="22"/>
          <w:szCs w:val="22"/>
        </w:rPr>
        <w:t xml:space="preserve">When an incident is suspected on CreditScore Pro, the Head of Model Risk leads the technical investigation. The Head of Retail Lending manages customer impact assessment and outreach. All rejected applications from the affected period must be treated as provisional until the investigation concludes.</w:t>
      </w:r>
    </w:p>
    <w:p>
      <w:pPr>
        <w:pStyle w:val="ListParagraph"/>
        <w:numPr>
          <w:ilvl w:val="0"/>
          <w:numId w:val="2"/>
        </w:numPr>
        <w:spacing w:after="60" w:before="40"/>
      </w:pPr>
      <w:r>
        <w:rPr>
          <w:rFonts w:ascii="Arial" w:cs="Arial" w:eastAsia="Arial" w:hAnsi="Arial"/>
          <w:color w:val="2C2C2C"/>
          <w:sz w:val="22"/>
          <w:szCs w:val="22"/>
        </w:rPr>
        <w:t xml:space="preserve">Immediate containment: flag all outputs from the affected period for human review before any rejection decision is communicated to customers.</w:t>
      </w:r>
    </w:p>
    <w:p>
      <w:pPr>
        <w:pStyle w:val="ListParagraph"/>
        <w:numPr>
          <w:ilvl w:val="0"/>
          <w:numId w:val="2"/>
        </w:numPr>
        <w:spacing w:after="60" w:before="40"/>
      </w:pPr>
      <w:r>
        <w:rPr>
          <w:rFonts w:ascii="Arial" w:cs="Arial" w:eastAsia="Arial" w:hAnsi="Arial"/>
          <w:color w:val="2C2C2C"/>
          <w:sz w:val="22"/>
          <w:szCs w:val="22"/>
        </w:rPr>
        <w:t xml:space="preserve">Investigation priority: pull geographic and demographic breakdowns of rejection rates before and during the incident period. Drift does not always appear in aggregate statistics — it hides in population segments.</w:t>
      </w:r>
    </w:p>
    <w:p>
      <w:pPr>
        <w:pStyle w:val="ListParagraph"/>
        <w:numPr>
          <w:ilvl w:val="0"/>
          <w:numId w:val="2"/>
        </w:numPr>
        <w:spacing w:after="60" w:before="40"/>
      </w:pPr>
      <w:r>
        <w:rPr>
          <w:rFonts w:ascii="Arial" w:cs="Arial" w:eastAsia="Arial" w:hAnsi="Arial"/>
          <w:color w:val="2C2C2C"/>
          <w:sz w:val="22"/>
          <w:szCs w:val="22"/>
        </w:rPr>
        <w:t xml:space="preserve">Redeployment gate: independent validation by Head of Model Risk plus sign-off from CRO before any reinstatement.</w:t>
      </w:r>
    </w:p>
    <w:p>
      <w:pPr>
        <w:spacing w:after="160" w:before="0"/>
      </w:pPr>
    </w:p>
    <w:p>
      <w:pPr>
        <w:pStyle w:val="Heading2"/>
        <w:spacing w:after="100" w:before="280"/>
      </w:pPr>
      <w:r>
        <w:rPr>
          <w:rFonts w:ascii="Arial" w:cs="Arial" w:eastAsia="Arial" w:hAnsi="Arial"/>
          <w:b/>
          <w:bCs/>
          <w:color w:val="2E5FA3"/>
          <w:sz w:val="24"/>
          <w:szCs w:val="24"/>
        </w:rPr>
        <w:t xml:space="preserve">8.2  NS-AI-003 TalentMatch AI</w:t>
      </w:r>
    </w:p>
    <w:p>
      <w:pPr>
        <w:spacing w:after="120" w:before="60"/>
      </w:pPr>
      <w:r>
        <w:rPr>
          <w:rFonts w:ascii="Arial" w:cs="Arial" w:eastAsia="Arial" w:hAnsi="Arial"/>
          <w:color w:val="2C2C2C"/>
          <w:sz w:val="22"/>
          <w:szCs w:val="22"/>
        </w:rPr>
        <w:t xml:space="preserve">TalentMatch AI has the most serious regulatory exposure in the portfolio. It operates under Annex III Category 5b (employment) with no completed conformity assessment as of April 2024. The primary incident risks are gender bias, ethnicity bias, and proxy discrimination through postcode or educational institution variables.</w:t>
      </w:r>
    </w:p>
    <w:p>
      <w:pPr>
        <w:spacing w:after="120" w:before="60"/>
      </w:pPr>
      <w:r>
        <w:rPr>
          <w:rFonts w:ascii="Arial" w:cs="Arial" w:eastAsia="Arial" w:hAnsi="Arial"/>
          <w:color w:val="2C2C2C"/>
          <w:sz w:val="22"/>
          <w:szCs w:val="22"/>
        </w:rPr>
        <w:t xml:space="preserve">Any complaint from a rejected candidate that references fairness, comparison to other candidates, or demographic characteristics must be treated as a potential P1 incident and escalated to AI Governance immediately — not handled as a standard HR grievance.</w:t>
      </w:r>
    </w:p>
    <w:p>
      <w:pPr>
        <w:pStyle w:val="ListParagraph"/>
        <w:numPr>
          <w:ilvl w:val="0"/>
          <w:numId w:val="2"/>
        </w:numPr>
        <w:spacing w:after="60" w:before="40"/>
      </w:pPr>
      <w:r>
        <w:rPr>
          <w:rFonts w:ascii="Arial" w:cs="Arial" w:eastAsia="Arial" w:hAnsi="Arial"/>
          <w:color w:val="2C2C2C"/>
          <w:sz w:val="22"/>
          <w:szCs w:val="22"/>
        </w:rPr>
        <w:t xml:space="preserve">Immediate containment: suspend shortlisting outputs for affected roles. No AI-generated shortlist to be used without full manual review by HR Director.</w:t>
      </w:r>
    </w:p>
    <w:p>
      <w:pPr>
        <w:pStyle w:val="ListParagraph"/>
        <w:numPr>
          <w:ilvl w:val="0"/>
          <w:numId w:val="2"/>
        </w:numPr>
        <w:spacing w:after="60" w:before="40"/>
      </w:pPr>
      <w:r>
        <w:rPr>
          <w:rFonts w:ascii="Arial" w:cs="Arial" w:eastAsia="Arial" w:hAnsi="Arial"/>
          <w:color w:val="2C2C2C"/>
          <w:sz w:val="22"/>
          <w:szCs w:val="22"/>
        </w:rPr>
        <w:t xml:space="preserve">Investigation priority: pull scoring logs for the complainant and comparable candidates. Examine the re-ranking module outputs, not just raw scores.</w:t>
      </w:r>
    </w:p>
    <w:p>
      <w:pPr>
        <w:pStyle w:val="ListParagraph"/>
        <w:numPr>
          <w:ilvl w:val="0"/>
          <w:numId w:val="2"/>
        </w:numPr>
        <w:spacing w:after="60" w:before="40"/>
      </w:pPr>
      <w:r>
        <w:rPr>
          <w:rFonts w:ascii="Arial" w:cs="Arial" w:eastAsia="Arial" w:hAnsi="Arial"/>
          <w:color w:val="2C2C2C"/>
          <w:sz w:val="22"/>
          <w:szCs w:val="22"/>
        </w:rPr>
        <w:t xml:space="preserve">Historical review: any confirmed bias finding triggers a review of all shortlists generated in the preceding 12 months minimum.</w:t>
      </w:r>
    </w:p>
    <w:p>
      <w:pPr>
        <w:pStyle w:val="ListParagraph"/>
        <w:numPr>
          <w:ilvl w:val="0"/>
          <w:numId w:val="2"/>
        </w:numPr>
        <w:spacing w:after="60" w:before="40"/>
      </w:pPr>
      <w:r>
        <w:rPr>
          <w:rFonts w:ascii="Arial" w:cs="Arial" w:eastAsia="Arial" w:hAnsi="Arial"/>
          <w:color w:val="2C2C2C"/>
          <w:sz w:val="22"/>
          <w:szCs w:val="22"/>
        </w:rPr>
        <w:t xml:space="preserve">Redeployment gate: Article 43 conformity assessment completed, independent bias audit passed, CRO sign-off. No exceptions.</w:t>
      </w:r>
    </w:p>
    <w:p>
      <w:pPr>
        <w:spacing w:after="160" w:before="0"/>
      </w:pPr>
    </w:p>
    <w:p>
      <w:pPr>
        <w:pStyle w:val="Heading2"/>
        <w:spacing w:after="100" w:before="280"/>
      </w:pPr>
      <w:r>
        <w:rPr>
          <w:rFonts w:ascii="Arial" w:cs="Arial" w:eastAsia="Arial" w:hAnsi="Arial"/>
          <w:b/>
          <w:bCs/>
          <w:color w:val="2E5FA3"/>
          <w:sz w:val="24"/>
          <w:szCs w:val="24"/>
        </w:rPr>
        <w:t xml:space="preserve">8.3  NS-AI-006 DocIntel Underwriting</w:t>
      </w:r>
    </w:p>
    <w:p>
      <w:pPr>
        <w:spacing w:after="120" w:before="60"/>
      </w:pPr>
      <w:r>
        <w:rPr>
          <w:rFonts w:ascii="Arial" w:cs="Arial" w:eastAsia="Arial" w:hAnsi="Arial"/>
          <w:color w:val="2C2C2C"/>
          <w:sz w:val="22"/>
          <w:szCs w:val="22"/>
        </w:rPr>
        <w:t xml:space="preserve">DocIntel is in provisional pilot status — it has not been fully deployed. Any incident during the pilot phase must be treated with the same severity framework as a fully deployed High Risk system. The pilot does not reduce the regulatory obligation.</w:t>
      </w:r>
    </w:p>
    <w:p>
      <w:pPr>
        <w:spacing w:after="120" w:before="60"/>
      </w:pPr>
      <w:r>
        <w:rPr>
          <w:rFonts w:ascii="Arial" w:cs="Arial" w:eastAsia="Arial" w:hAnsi="Arial"/>
          <w:color w:val="2C2C2C"/>
          <w:sz w:val="22"/>
          <w:szCs w:val="22"/>
        </w:rPr>
        <w:t xml:space="preserve">The primary risk during pilot is document misclassification leading to incorrect underwriting decisions. Any misclassification flagged by underwriters during the pilot must be logged as a P3 incident minimum and investigated within 48 hours.</w:t>
      </w:r>
    </w:p>
    <w:p>
      <w:pPr>
        <w:pStyle w:val="ListParagraph"/>
        <w:numPr>
          <w:ilvl w:val="0"/>
          <w:numId w:val="2"/>
        </w:numPr>
        <w:spacing w:after="60" w:before="40"/>
      </w:pPr>
      <w:r>
        <w:rPr>
          <w:rFonts w:ascii="Arial" w:cs="Arial" w:eastAsia="Arial" w:hAnsi="Arial"/>
          <w:color w:val="2C2C2C"/>
          <w:sz w:val="22"/>
          <w:szCs w:val="22"/>
        </w:rPr>
        <w:t xml:space="preserve">Pilot containment: all DocIntel outputs reviewed by a qualified underwriter before any underwriting decision is recorded. Human sign-off is mandatory throughout the pilot period.</w:t>
      </w:r>
    </w:p>
    <w:p>
      <w:pPr>
        <w:pStyle w:val="ListParagraph"/>
        <w:numPr>
          <w:ilvl w:val="0"/>
          <w:numId w:val="2"/>
        </w:numPr>
        <w:spacing w:after="60" w:before="40"/>
      </w:pPr>
      <w:r>
        <w:rPr>
          <w:rFonts w:ascii="Arial" w:cs="Arial" w:eastAsia="Arial" w:hAnsi="Arial"/>
          <w:color w:val="2C2C2C"/>
          <w:sz w:val="22"/>
          <w:szCs w:val="22"/>
        </w:rPr>
        <w:t xml:space="preserve">Pilot exit gate: misclassification rate must be below 2% across a statistically significant sample before full deployment is approved.</w:t>
      </w:r>
    </w:p>
    <w:p>
      <w:pPr>
        <w:spacing w:after="160" w:before="0"/>
      </w:pPr>
    </w:p>
    <w:p>
      <w:pPr>
        <w:pStyle w:val="Heading1"/>
        <w:pBdr>
          <w:bottom w:val="single" w:color="1B3A6B" w:sz="8" w:space="6"/>
        </w:pBdr>
        <w:spacing w:after="120" w:before="360"/>
      </w:pPr>
      <w:r>
        <w:rPr>
          <w:rFonts w:ascii="Arial" w:cs="Arial" w:eastAsia="Arial" w:hAnsi="Arial"/>
          <w:b/>
          <w:bCs/>
          <w:color w:val="1B3A6B"/>
          <w:sz w:val="28"/>
          <w:szCs w:val="28"/>
        </w:rPr>
        <w:t xml:space="preserve">9.  Incident Log Requirements</w:t>
      </w:r>
    </w:p>
    <w:p>
      <w:pPr>
        <w:spacing w:after="120" w:before="60"/>
      </w:pPr>
      <w:r>
        <w:rPr>
          <w:rFonts w:ascii="Arial" w:cs="Arial" w:eastAsia="Arial" w:hAnsi="Arial"/>
          <w:color w:val="2C2C2C"/>
          <w:sz w:val="22"/>
          <w:szCs w:val="22"/>
        </w:rPr>
        <w:t xml:space="preserve">Every AI incident — from P4 to P1 — must be recorded in NorthStar's AI Incident Log. The log is maintained by the Head of AI Governance and reviewed monthly by the CRO. It is a regulatory record and must be retained for a minimum of seven years.</w:t>
      </w:r>
    </w:p>
    <w:p>
      <w:pPr>
        <w:spacing w:after="120" w:before="60"/>
      </w:pPr>
      <w:r>
        <w:rPr>
          <w:rFonts w:ascii="Arial" w:cs="Arial" w:eastAsia="Arial" w:hAnsi="Arial"/>
          <w:color w:val="2C2C2C"/>
          <w:sz w:val="22"/>
          <w:szCs w:val="22"/>
        </w:rPr>
        <w:t xml:space="preserve">Each incident log entry must contain:</w:t>
      </w:r>
    </w:p>
    <w:p>
      <w:pPr>
        <w:pStyle w:val="ListParagraph"/>
        <w:numPr>
          <w:ilvl w:val="0"/>
          <w:numId w:val="2"/>
        </w:numPr>
        <w:spacing w:after="60" w:before="40"/>
      </w:pPr>
      <w:r>
        <w:rPr>
          <w:rFonts w:ascii="Arial" w:cs="Arial" w:eastAsia="Arial" w:hAnsi="Arial"/>
          <w:color w:val="2C2C2C"/>
          <w:sz w:val="22"/>
          <w:szCs w:val="22"/>
        </w:rPr>
        <w:t xml:space="preserve">Incident ID (format: NS-INC-YYYY-NNN)</w:t>
      </w:r>
    </w:p>
    <w:p>
      <w:pPr>
        <w:pStyle w:val="ListParagraph"/>
        <w:numPr>
          <w:ilvl w:val="0"/>
          <w:numId w:val="2"/>
        </w:numPr>
        <w:spacing w:after="60" w:before="40"/>
      </w:pPr>
      <w:r>
        <w:rPr>
          <w:rFonts w:ascii="Arial" w:cs="Arial" w:eastAsia="Arial" w:hAnsi="Arial"/>
          <w:color w:val="2C2C2C"/>
          <w:sz w:val="22"/>
          <w:szCs w:val="22"/>
        </w:rPr>
        <w:t xml:space="preserve">Date and time of detection</w:t>
      </w:r>
    </w:p>
    <w:p>
      <w:pPr>
        <w:pStyle w:val="ListParagraph"/>
        <w:numPr>
          <w:ilvl w:val="0"/>
          <w:numId w:val="2"/>
        </w:numPr>
        <w:spacing w:after="60" w:before="40"/>
      </w:pPr>
      <w:r>
        <w:rPr>
          <w:rFonts w:ascii="Arial" w:cs="Arial" w:eastAsia="Arial" w:hAnsi="Arial"/>
          <w:color w:val="2C2C2C"/>
          <w:sz w:val="22"/>
          <w:szCs w:val="22"/>
        </w:rPr>
        <w:t xml:space="preserve">System affected (name and reference number)</w:t>
      </w:r>
    </w:p>
    <w:p>
      <w:pPr>
        <w:pStyle w:val="ListParagraph"/>
        <w:numPr>
          <w:ilvl w:val="0"/>
          <w:numId w:val="2"/>
        </w:numPr>
        <w:spacing w:after="60" w:before="40"/>
      </w:pPr>
      <w:r>
        <w:rPr>
          <w:rFonts w:ascii="Arial" w:cs="Arial" w:eastAsia="Arial" w:hAnsi="Arial"/>
          <w:color w:val="2C2C2C"/>
          <w:sz w:val="22"/>
          <w:szCs w:val="22"/>
        </w:rPr>
        <w:t xml:space="preserve">Initial severity classification and final severity classification if changed</w:t>
      </w:r>
    </w:p>
    <w:p>
      <w:pPr>
        <w:pStyle w:val="ListParagraph"/>
        <w:numPr>
          <w:ilvl w:val="0"/>
          <w:numId w:val="2"/>
        </w:numPr>
        <w:spacing w:after="60" w:before="40"/>
      </w:pPr>
      <w:r>
        <w:rPr>
          <w:rFonts w:ascii="Arial" w:cs="Arial" w:eastAsia="Arial" w:hAnsi="Arial"/>
          <w:color w:val="2C2C2C"/>
          <w:sz w:val="22"/>
          <w:szCs w:val="22"/>
        </w:rPr>
        <w:t xml:space="preserve">Incident Commander name</w:t>
      </w:r>
    </w:p>
    <w:p>
      <w:pPr>
        <w:pStyle w:val="ListParagraph"/>
        <w:numPr>
          <w:ilvl w:val="0"/>
          <w:numId w:val="2"/>
        </w:numPr>
        <w:spacing w:after="60" w:before="40"/>
      </w:pPr>
      <w:r>
        <w:rPr>
          <w:rFonts w:ascii="Arial" w:cs="Arial" w:eastAsia="Arial" w:hAnsi="Arial"/>
          <w:color w:val="2C2C2C"/>
          <w:sz w:val="22"/>
          <w:szCs w:val="22"/>
        </w:rPr>
        <w:t xml:space="preserve">Summary of detection method — how was this found?</w:t>
      </w:r>
    </w:p>
    <w:p>
      <w:pPr>
        <w:pStyle w:val="ListParagraph"/>
        <w:numPr>
          <w:ilvl w:val="0"/>
          <w:numId w:val="2"/>
        </w:numPr>
        <w:spacing w:after="60" w:before="40"/>
      </w:pPr>
      <w:r>
        <w:rPr>
          <w:rFonts w:ascii="Arial" w:cs="Arial" w:eastAsia="Arial" w:hAnsi="Arial"/>
          <w:color w:val="2C2C2C"/>
          <w:sz w:val="22"/>
          <w:szCs w:val="22"/>
        </w:rPr>
        <w:t xml:space="preserve">Containment actions taken and timestamp</w:t>
      </w:r>
    </w:p>
    <w:p>
      <w:pPr>
        <w:pStyle w:val="ListParagraph"/>
        <w:numPr>
          <w:ilvl w:val="0"/>
          <w:numId w:val="2"/>
        </w:numPr>
        <w:spacing w:after="60" w:before="40"/>
      </w:pPr>
      <w:r>
        <w:rPr>
          <w:rFonts w:ascii="Arial" w:cs="Arial" w:eastAsia="Arial" w:hAnsi="Arial"/>
          <w:color w:val="2C2C2C"/>
          <w:sz w:val="22"/>
          <w:szCs w:val="22"/>
        </w:rPr>
        <w:t xml:space="preserve">Root cause — confirmed or assessed</w:t>
      </w:r>
    </w:p>
    <w:p>
      <w:pPr>
        <w:pStyle w:val="ListParagraph"/>
        <w:numPr>
          <w:ilvl w:val="0"/>
          <w:numId w:val="2"/>
        </w:numPr>
        <w:spacing w:after="60" w:before="40"/>
      </w:pPr>
      <w:r>
        <w:rPr>
          <w:rFonts w:ascii="Arial" w:cs="Arial" w:eastAsia="Arial" w:hAnsi="Arial"/>
          <w:color w:val="2C2C2C"/>
          <w:sz w:val="22"/>
          <w:szCs w:val="22"/>
        </w:rPr>
        <w:t xml:space="preserve">Number of individuals potentially affected</w:t>
      </w:r>
    </w:p>
    <w:p>
      <w:pPr>
        <w:pStyle w:val="ListParagraph"/>
        <w:numPr>
          <w:ilvl w:val="0"/>
          <w:numId w:val="2"/>
        </w:numPr>
        <w:spacing w:after="60" w:before="40"/>
      </w:pPr>
      <w:r>
        <w:rPr>
          <w:rFonts w:ascii="Arial" w:cs="Arial" w:eastAsia="Arial" w:hAnsi="Arial"/>
          <w:color w:val="2C2C2C"/>
          <w:sz w:val="22"/>
          <w:szCs w:val="22"/>
        </w:rPr>
        <w:t xml:space="preserve">Article 73 notification decision and rationale — even if notification was not required</w:t>
      </w:r>
    </w:p>
    <w:p>
      <w:pPr>
        <w:pStyle w:val="ListParagraph"/>
        <w:numPr>
          <w:ilvl w:val="0"/>
          <w:numId w:val="2"/>
        </w:numPr>
        <w:spacing w:after="60" w:before="40"/>
      </w:pPr>
      <w:r>
        <w:rPr>
          <w:rFonts w:ascii="Arial" w:cs="Arial" w:eastAsia="Arial" w:hAnsi="Arial"/>
          <w:color w:val="2C2C2C"/>
          <w:sz w:val="22"/>
          <w:szCs w:val="22"/>
        </w:rPr>
        <w:t xml:space="preserve">Remediation actions and completion dates</w:t>
      </w:r>
    </w:p>
    <w:p>
      <w:pPr>
        <w:pStyle w:val="ListParagraph"/>
        <w:numPr>
          <w:ilvl w:val="0"/>
          <w:numId w:val="2"/>
        </w:numPr>
        <w:spacing w:after="60" w:before="40"/>
      </w:pPr>
      <w:r>
        <w:rPr>
          <w:rFonts w:ascii="Arial" w:cs="Arial" w:eastAsia="Arial" w:hAnsi="Arial"/>
          <w:color w:val="2C2C2C"/>
          <w:sz w:val="22"/>
          <w:szCs w:val="22"/>
        </w:rPr>
        <w:t xml:space="preserve">Post-Incident Review completion date</w:t>
      </w:r>
    </w:p>
    <w:p>
      <w:pPr>
        <w:pStyle w:val="ListParagraph"/>
        <w:numPr>
          <w:ilvl w:val="0"/>
          <w:numId w:val="2"/>
        </w:numPr>
        <w:spacing w:after="60" w:before="40"/>
      </w:pPr>
      <w:r>
        <w:rPr>
          <w:rFonts w:ascii="Arial" w:cs="Arial" w:eastAsia="Arial" w:hAnsi="Arial"/>
          <w:color w:val="2C2C2C"/>
          <w:sz w:val="22"/>
          <w:szCs w:val="22"/>
        </w:rPr>
        <w:t xml:space="preserve">Lessons learned — minimum three specific points</w:t>
      </w:r>
    </w:p>
    <w:p>
      <w:pPr>
        <w:spacing w:after="160" w:before="0"/>
      </w:pPr>
    </w:p>
    <w:p>
      <w:r>
        <w:br w:type="page"/>
      </w:r>
    </w:p>
    <w:p>
      <w:pPr>
        <w:pStyle w:val="Heading1"/>
        <w:pBdr>
          <w:bottom w:val="single" w:color="1B3A6B" w:sz="8" w:space="6"/>
        </w:pBdr>
        <w:spacing w:after="120" w:before="360"/>
      </w:pPr>
      <w:r>
        <w:rPr>
          <w:rFonts w:ascii="Arial" w:cs="Arial" w:eastAsia="Arial" w:hAnsi="Arial"/>
          <w:b/>
          <w:bCs/>
          <w:color w:val="1B3A6B"/>
          <w:sz w:val="28"/>
          <w:szCs w:val="28"/>
        </w:rPr>
        <w:t xml:space="preserve">10.  Document Control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Document ID</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NS-IRP-AI-001</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1.0</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Final</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Confidential — AI Governance Function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Owner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Chief Risk Officer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Next Review</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October 2024 — or immediately following any P1 incident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bCs/>
                <w:color w:val="1B3A6B"/>
                <w:sz w:val="20"/>
                <w:szCs w:val="20"/>
              </w:rPr>
              <w:t xml:space="preserve">Distribution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C2C2C"/>
                <w:sz w:val="20"/>
                <w:szCs w:val="20"/>
              </w:rPr>
              <w:t xml:space="preserve">CRO, CEO, Head of AI Governance, Legal Counsel, Head of Model Risk, Head of HR, Head of Retail Lending, Head of Digital Products, Board Risk Committee</w:t>
            </w:r>
          </w:p>
        </w:tc>
      </w:tr>
    </w:tbl>
    <w:p>
      <w:pPr>
        <w:spacing w:after="200" w:before="0"/>
      </w:pPr>
    </w:p>
    <w:p>
      <w:pPr>
        <w:spacing w:after="120" w:before="60"/>
      </w:pPr>
      <w:r>
        <w:rPr>
          <w:rFonts w:ascii="Arial" w:cs="Arial" w:eastAsia="Arial" w:hAnsi="Arial"/>
          <w:i/>
          <w:iCs/>
          <w:color w:val="5D5D5D"/>
          <w:sz w:val="22"/>
          <w:szCs w:val="22"/>
        </w:rPr>
        <w:t xml:space="preserve">This playbook must be reviewed following every P1 incident and annually at minimum. If a process failure is identified during an incident — a step not followed, a role misunderstood, a deadline missed — the playbook must be updated before the next incident occurs.</w:t>
      </w:r>
    </w:p>
    <w:p>
      <w:pPr>
        <w:spacing w:after="120" w:before="60"/>
      </w:pPr>
      <w:r>
        <w:rPr>
          <w:rFonts w:ascii="Arial" w:cs="Arial" w:eastAsia="Arial" w:hAnsi="Arial"/>
          <w:i/>
          <w:iCs/>
          <w:color w:val="5D5D5D"/>
          <w:sz w:val="22"/>
          <w:szCs w:val="22"/>
        </w:rPr>
        <w:t xml:space="preserve">Version 1.0 represents NorthStar's baseline incident response capability as at April 2024. It is a starting point, not a ceiling.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6"/>
      </w:pBdr>
      <w:tabs>
        <w:tab w:val="right" w:pos="9360"/>
      </w:tabs>
    </w:pPr>
    <w:r>
      <w:rPr>
        <w:rFonts w:ascii="Arial" w:cs="Arial" w:eastAsia="Arial" w:hAnsi="Arial"/>
        <w:color w:val="5D5D5D"/>
        <w:sz w:val="16"/>
        <w:szCs w:val="16"/>
      </w:rPr>
      <w:t xml:space="preserve">Version 1.0  |  April 2024  |  AI Governance Function</w:t>
    </w:r>
    <w:r>
      <w:rPr>
        <w:rFonts w:ascii="Arial" w:cs="Arial" w:eastAsia="Arial" w:hAnsi="Arial"/>
        <w:color w:val="5D5D5D"/>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6"/>
      </w:pBdr>
      <w:tabs>
        <w:tab w:val="right" w:pos="9360"/>
      </w:tabs>
    </w:pPr>
    <w:r>
      <w:rPr>
        <w:rFonts w:ascii="Arial" w:cs="Arial" w:eastAsia="Arial" w:hAnsi="Arial"/>
        <w:color w:val="5D5D5D"/>
        <w:sz w:val="16"/>
        <w:szCs w:val="16"/>
      </w:rPr>
      <w:t xml:space="preserve">NorthStar Financial Services  |  AI Incident Response Playbook  |  NS-IRP-AI-001</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2026-04-27T05:42:03.268Z</dcterms:created>
  <dcterms:modified xsi:type="dcterms:W3CDTF">2026-04-27T05:42:03.269Z</dcterms:modified>
</cp:coreProperties>
</file>

<file path=docProps/custom.xml><?xml version="1.0" encoding="utf-8"?>
<Properties xmlns="http://schemas.openxmlformats.org/officeDocument/2006/custom-properties" xmlns:vt="http://schemas.openxmlformats.org/officeDocument/2006/docPropsVTypes"/>
</file>