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400"/>
              <w:left w:type="dxa" w:w="400"/>
              <w:bottom w:type="dxa" w:w="300"/>
              <w:right w:type="dxa" w:w="400"/>
            </w:tcMar>
          </w:tcPr>
          <w:p>
            <w:r>
              <w:rPr>
                <w:rFonts w:ascii="Arial" w:cs="Arial" w:eastAsia="Arial" w:hAnsi="Arial"/>
                <w:b/>
                <w:bCs/>
                <w:color w:val="FFFFFF"/>
                <w:sz w:val="20"/>
                <w:szCs w:val="20"/>
              </w:rPr>
              <w:t xml:space="preserve">NORTHSTAR FINANCIAL SERVICES</w:t>
            </w:r>
          </w:p>
          <w:p>
            <w:pPr>
              <w:spacing w:before="100"/>
            </w:pPr>
            <w:r>
              <w:rPr>
                <w:rFonts w:ascii="Arial" w:cs="Arial" w:eastAsia="Arial" w:hAnsi="Arial"/>
                <w:b/>
                <w:bCs/>
                <w:color w:val="FFFFFF"/>
                <w:sz w:val="40"/>
                <w:szCs w:val="40"/>
              </w:rPr>
              <w:t xml:space="preserve">AI Incident Scenario Library</w:t>
            </w:r>
          </w:p>
          <w:p>
            <w:pPr>
              <w:spacing w:before="100"/>
            </w:pPr>
            <w:r>
              <w:rPr>
                <w:rFonts w:ascii="Arial" w:cs="Arial" w:eastAsia="Arial" w:hAnsi="Arial"/>
                <w:color w:val="A8C4E8"/>
                <w:sz w:val="18"/>
                <w:szCs w:val="18"/>
              </w:rPr>
              <w:t xml:space="preserve">Document Reference: NS-ISL-AI-001  |  Version 1.0  |  April 2024</w:t>
            </w:r>
          </w:p>
          <w:p>
            <w:pPr>
              <w:spacing w:before="60"/>
            </w:pPr>
            <w:r>
              <w:rPr>
                <w:rFonts w:ascii="Arial" w:cs="Arial" w:eastAsia="Arial" w:hAnsi="Arial"/>
                <w:b/>
                <w:bCs/>
                <w:color w:val="A8C4E8"/>
                <w:sz w:val="16"/>
                <w:szCs w:val="16"/>
              </w:rPr>
              <w:t xml:space="preserve">CONFIDENTIAL — AI GOVERNANCE FUNCTION</w:t>
            </w:r>
          </w:p>
        </w:tc>
      </w:tr>
      <w:tr>
        <w:tc>
          <w:tcPr>
            <w:tcBorders>
              <w:top w:val="none" w:color="FFFFFF" w:sz="0"/>
              <w:left w:val="none" w:color="FFFFFF" w:sz="0"/>
              <w:bottom w:val="none" w:color="FFFFFF" w:sz="0"/>
              <w:right w:val="none" w:color="FFFFFF" w:sz="0"/>
            </w:tcBorders>
            <w:shd w:fill="2E5FA3" w:val="clear"/>
            <w:tcMar>
              <w:top w:type="dxa" w:w="140"/>
              <w:left w:type="dxa" w:w="400"/>
              <w:bottom w:type="dxa" w:w="140"/>
              <w:right w:type="dxa" w:w="400"/>
            </w:tcMar>
          </w:tcPr>
          <w:p>
            <w:r>
              <w:rPr>
                <w:rFonts w:ascii="Arial" w:cs="Arial" w:eastAsia="Arial" w:hAnsi="Arial"/>
                <w:color w:val="FFFFFF"/>
                <w:sz w:val="18"/>
                <w:szCs w:val="18"/>
              </w:rPr>
              <w:t xml:space="preserve">Three reconstructed incidents — TalentMatch AI bias   |   CreditScore Pro model drift   |   SupportBot Aria disclosure failure</w:t>
            </w:r>
          </w:p>
        </w:tc>
      </w:tr>
    </w:tbl>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Document ID</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NS-ISL-AI-001</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1.0 — Initial Release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Classification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Confidential — AI Governance Function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Owner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Chief Risk Officer, NorthStar Financial Services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Prepared by</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AI Governance Team</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April 2024</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Related Docs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NS-IRP-AI-001 (Incident Response Playbook)  |  NS-POL-AI-001  |  NS-OM-AI-001</w:t>
            </w:r>
          </w:p>
        </w:tc>
      </w:tr>
    </w:tbl>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C0392B" w:sz="16"/>
              <w:bottom w:val="single" w:color="2E5FA3" w:sz="1"/>
              <w:right w:val="single" w:color="2E5FA3" w:sz="1"/>
            </w:tcBorders>
            <w:shd w:fill="D6E4F7" w:val="clear"/>
            <w:tcMar>
              <w:top w:type="dxa" w:w="120"/>
              <w:left w:type="dxa" w:w="200"/>
              <w:bottom w:type="dxa" w:w="120"/>
              <w:right w:type="dxa" w:w="200"/>
            </w:tcMar>
          </w:tcPr>
          <w:p>
            <w:pPr>
              <w:spacing w:after="60"/>
            </w:pPr>
            <w:r>
              <w:rPr>
                <w:rFonts w:ascii="Arial" w:cs="Arial" w:eastAsia="Arial" w:hAnsi="Arial"/>
                <w:b/>
                <w:bCs/>
                <w:color w:val="1B3A6B"/>
                <w:sz w:val="20"/>
                <w:szCs w:val="20"/>
              </w:rPr>
              <w:t xml:space="preserve">Purpose of This Document</w:t>
            </w:r>
          </w:p>
          <w:p>
            <w:r>
              <w:rPr>
                <w:rFonts w:ascii="Arial" w:cs="Arial" w:eastAsia="Arial" w:hAnsi="Arial"/>
                <w:color w:val="2C2C2C"/>
                <w:sz w:val="20"/>
                <w:szCs w:val="20"/>
              </w:rPr>
              <w:t xml:space="preserve">This library reconstructs three real incidents that occurred — or could have occurred — within NorthStar's AI systems between Q4 2023 and Q1 2024. Each scenario applies the full incident response framework from NS-IRP-AI-001: severity classification, escalation, regulatory notification logic, remediation, and lessons learned. These scenarios exist to train governance staff, test process readiness, and provide documented evidence of framework activation for regulatory review.</w:t>
            </w:r>
          </w:p>
        </w:tc>
      </w:tr>
    </w:tbl>
    <w:p>
      <w:pPr>
        <w:spacing w:after="200" w:before="0"/>
      </w:pPr>
    </w:p>
    <w:p>
      <w:pPr>
        <w:pStyle w:val="Heading1"/>
        <w:pBdr>
          <w:bottom w:val="single" w:color="1B3A6B" w:sz="8" w:space="6"/>
        </w:pBdr>
        <w:spacing w:after="120" w:before="360"/>
      </w:pPr>
      <w:r>
        <w:rPr>
          <w:rFonts w:ascii="Arial" w:cs="Arial" w:eastAsia="Arial" w:hAnsi="Arial"/>
          <w:b/>
          <w:bCs/>
          <w:color w:val="1B3A6B"/>
          <w:sz w:val="28"/>
          <w:szCs w:val="28"/>
        </w:rPr>
        <w:t xml:space="preserve">1.  How to Use This Document</w:t>
      </w:r>
    </w:p>
    <w:p>
      <w:pPr>
        <w:spacing w:after="120" w:before="60"/>
      </w:pPr>
      <w:r>
        <w:rPr>
          <w:rFonts w:ascii="Arial" w:cs="Arial" w:eastAsia="Arial" w:hAnsi="Arial"/>
          <w:color w:val="2C2C2C"/>
          <w:sz w:val="22"/>
          <w:szCs w:val="22"/>
        </w:rPr>
        <w:t xml:space="preserve">Each scenario in this library is structured as a full incident reconstruction. Read them in sequence or jump to the system most relevant to your role. Every scenario follows identical structure so you can compare how the same framework behaves across different incident types.</w:t>
      </w:r>
    </w:p>
    <w:p>
      <w:pPr>
        <w:spacing w:after="120" w:before="60"/>
      </w:pPr>
      <w:r>
        <w:rPr>
          <w:rFonts w:ascii="Arial" w:cs="Arial" w:eastAsia="Arial" w:hAnsi="Arial"/>
          <w:color w:val="2C2C2C"/>
          <w:sz w:val="22"/>
          <w:szCs w:val="22"/>
        </w:rPr>
        <w:t xml:space="preserve">Three scenarios are documented:</w:t>
      </w:r>
    </w:p>
    <w:p>
      <w:pPr>
        <w:pStyle w:val="ListParagraph"/>
        <w:numPr>
          <w:ilvl w:val="0"/>
          <w:numId w:val="2"/>
        </w:numPr>
        <w:spacing w:after="60" w:before="40"/>
      </w:pPr>
      <w:r>
        <w:rPr>
          <w:rFonts w:ascii="Arial" w:cs="Arial" w:eastAsia="Arial" w:hAnsi="Arial"/>
          <w:color w:val="2C2C2C"/>
          <w:sz w:val="22"/>
          <w:szCs w:val="22"/>
        </w:rPr>
        <w:t xml:space="preserve">Scenario A (NS-INC-2024-001): TalentMatch AI gender bias — complaint received from rejected candidate, confirmed systematic shortlisting failure affecting female applicants over a 14-month period.</w:t>
      </w:r>
    </w:p>
    <w:p>
      <w:pPr>
        <w:pStyle w:val="ListParagraph"/>
        <w:numPr>
          <w:ilvl w:val="0"/>
          <w:numId w:val="2"/>
        </w:numPr>
        <w:spacing w:after="60" w:before="40"/>
      </w:pPr>
      <w:r>
        <w:rPr>
          <w:rFonts w:ascii="Arial" w:cs="Arial" w:eastAsia="Arial" w:hAnsi="Arial"/>
          <w:color w:val="2C2C2C"/>
          <w:sz w:val="22"/>
          <w:szCs w:val="22"/>
        </w:rPr>
        <w:t xml:space="preserve">Scenario B (NS-INC-2024-002): CreditScore Pro model drift — rejection rate for East London postcodes increased 23% over six months without a single alert firing from the monitoring system.</w:t>
      </w:r>
    </w:p>
    <w:p>
      <w:pPr>
        <w:pStyle w:val="ListParagraph"/>
        <w:numPr>
          <w:ilvl w:val="0"/>
          <w:numId w:val="2"/>
        </w:numPr>
        <w:spacing w:after="60" w:before="40"/>
      </w:pPr>
      <w:r>
        <w:rPr>
          <w:rFonts w:ascii="Arial" w:cs="Arial" w:eastAsia="Arial" w:hAnsi="Arial"/>
          <w:color w:val="2C2C2C"/>
          <w:sz w:val="22"/>
          <w:szCs w:val="22"/>
        </w:rPr>
        <w:t xml:space="preserve">Scenario C (NS-INC-2024-003): SupportBot Aria disclosure failure — regulatory complaint reveals the AI disclosure notice was never rendered on the NorthStar mobile application for 9 months.</w:t>
      </w:r>
    </w:p>
    <w:p>
      <w:pPr>
        <w:spacing w:after="160" w:before="0"/>
      </w:pPr>
    </w:p>
    <w:p>
      <w:pPr>
        <w:spacing w:after="120" w:before="60"/>
      </w:pPr>
      <w:r>
        <w:rPr>
          <w:rFonts w:ascii="Arial" w:cs="Arial" w:eastAsia="Arial" w:hAnsi="Arial"/>
          <w:i/>
          <w:iCs/>
          <w:color w:val="2C2C2C"/>
          <w:sz w:val="22"/>
          <w:szCs w:val="22"/>
        </w:rPr>
        <w:t xml:space="preserve">For each scenario, ask yourself: Would I have classified the severity the same way? Would I have escalated at the right moment? Would I have notified BaFin within 72 hours? The answers reveal whether your understanding of NS-IRP-AI-001 is theoretical or operational.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200"/>
              <w:left w:type="dxa" w:w="280"/>
              <w:bottom w:type="dxa" w:w="160"/>
              <w:right w:type="dxa" w:w="280"/>
            </w:tcMar>
          </w:tcPr>
          <w:p>
            <w:r>
              <w:rPr>
                <w:rFonts w:ascii="Arial" w:cs="Arial" w:eastAsia="Arial" w:hAnsi="Arial"/>
                <w:b/>
                <w:bCs/>
                <w:color w:val="FFFFFF"/>
                <w:sz w:val="18"/>
                <w:szCs w:val="18"/>
              </w:rPr>
              <w:t xml:space="preserve">SCENARIO A  |  NS-INC-2024-001</w:t>
            </w:r>
          </w:p>
          <w:p>
            <w:pPr>
              <w:spacing w:before="60"/>
            </w:pPr>
            <w:r>
              <w:rPr>
                <w:rFonts w:ascii="Arial" w:cs="Arial" w:eastAsia="Arial" w:hAnsi="Arial"/>
                <w:b/>
                <w:bCs/>
                <w:color w:val="FFFFFF"/>
                <w:sz w:val="32"/>
                <w:szCs w:val="32"/>
              </w:rPr>
              <w:t xml:space="preserve">TalentMatch AI Gender Bias Incident</w:t>
            </w:r>
          </w:p>
          <w:p>
            <w:pPr>
              <w:spacing w:before="80"/>
            </w:pPr>
            <w:r>
              <w:rPr>
                <w:rFonts w:ascii="Arial" w:cs="Arial" w:eastAsia="Arial" w:hAnsi="Arial"/>
                <w:color w:val="D0DFEE"/>
                <w:sz w:val="18"/>
                <w:szCs w:val="18"/>
              </w:rPr>
              <w:t xml:space="preserve">System: NS-AI-003 TalentMatch AI  |  High Risk  |  Annex III Category 5b</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Incident ID</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NS-INC-2024-001</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Date Detected</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14 March 2024</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System</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NS-AI-003 TalentMatch AI</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Risk Classification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High Risk — Annex III Category 5b (Employment)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P1 — Critical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Regulatory Exposure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Article 73 notification required — BaFin (DE)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Resolution Date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Ongoing — full audit in progress at time of writing</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Lead Investigator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Head of AI Governance</w:t>
            </w:r>
          </w:p>
        </w:tc>
      </w:tr>
    </w:tbl>
    <w:p>
      <w:pPr>
        <w:spacing w:after="200" w:before="0"/>
      </w:pPr>
    </w:p>
    <w:p>
      <w:pPr>
        <w:pStyle w:val="Heading2"/>
        <w:spacing w:after="100" w:before="280"/>
      </w:pPr>
      <w:r>
        <w:rPr>
          <w:rFonts w:ascii="Arial" w:cs="Arial" w:eastAsia="Arial" w:hAnsi="Arial"/>
          <w:b/>
          <w:bCs/>
          <w:color w:val="2E5FA3"/>
          <w:sz w:val="24"/>
          <w:szCs w:val="24"/>
        </w:rPr>
        <w:t xml:space="preserve">A.1  Background and Context</w:t>
      </w:r>
    </w:p>
    <w:p>
      <w:pPr>
        <w:spacing w:after="120" w:before="60"/>
      </w:pPr>
      <w:r>
        <w:rPr>
          <w:rFonts w:ascii="Arial" w:cs="Arial" w:eastAsia="Arial" w:hAnsi="Arial"/>
          <w:color w:val="2C2C2C"/>
          <w:sz w:val="22"/>
          <w:szCs w:val="22"/>
        </w:rPr>
        <w:t xml:space="preserve">TalentMatch AI has been running inside NorthStar's HR function since January 2022 — over two years. It screens CVs, scores candidates on a 0-100 shortlisting scale, and produces ranked shortlists for hiring managers across all NorthStar business units. The system was procured from a third-party vendor. NorthStar has never commissioned an independent bias audit. It has never completed a conformity assessment under Article 43. The NIST AI RMF maturity score recorded in Project 1 was 1.0 — the lowest in the portfolio.</w:t>
      </w:r>
    </w:p>
    <w:p>
      <w:pPr>
        <w:spacing w:after="120" w:before="60"/>
      </w:pPr>
      <w:r>
        <w:rPr>
          <w:rFonts w:ascii="Arial" w:cs="Arial" w:eastAsia="Arial" w:hAnsi="Arial"/>
          <w:color w:val="2C2C2C"/>
          <w:sz w:val="22"/>
          <w:szCs w:val="22"/>
        </w:rPr>
        <w:t xml:space="preserve">This is the most dangerous system NorthStar operates from a regulatory liability standpoint. Not because it makes credit decisions, but because the harm it causes is invisible. Candidates who are rejected never know why. Hiring managers see a ranked list and trust it. The system has been making consequential decisions about people's employment for 26 months with no independent oversight.</w:t>
      </w:r>
    </w:p>
    <w:p>
      <w:pPr>
        <w:spacing w:after="120" w:before="60"/>
      </w:pPr>
      <w:r>
        <w:rPr>
          <w:rFonts w:ascii="Arial" w:cs="Arial" w:eastAsia="Arial" w:hAnsi="Arial"/>
          <w:color w:val="2C2C2C"/>
          <w:sz w:val="22"/>
          <w:szCs w:val="22"/>
        </w:rPr>
        <w:t xml:space="preserve">The incident began with a single email.</w:t>
      </w:r>
    </w:p>
    <w:p>
      <w:pPr>
        <w:spacing w:after="120" w:before="0"/>
      </w:pPr>
    </w:p>
    <w:p>
      <w:pPr>
        <w:pStyle w:val="Heading2"/>
        <w:spacing w:after="100" w:before="280"/>
      </w:pPr>
      <w:r>
        <w:rPr>
          <w:rFonts w:ascii="Arial" w:cs="Arial" w:eastAsia="Arial" w:hAnsi="Arial"/>
          <w:b/>
          <w:bCs/>
          <w:color w:val="2E5FA3"/>
          <w:sz w:val="24"/>
          <w:szCs w:val="24"/>
        </w:rPr>
        <w:t xml:space="preserve">A.2  Incident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TIMESTAMP</w:t>
            </w:r>
          </w:p>
        </w:tc>
        <w:tc>
          <w:tcPr>
            <w:tcW w:type="dxa" w:w="7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EVENT</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14 Mar 2024
09:14</w:t>
            </w:r>
          </w:p>
        </w:tc>
        <w:tc>
          <w:tcPr>
            <w:tcW w:type="dxa" w:w="7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Meera Pillai, a qualified software engineer, emails NorthStar's HR inbox. She applied for a Senior Developer role in January 2024. She was not shortlisted. She has since learned that two male candidates with comparable CVs were shortlisted. She states she intends to file a complaint with the German Federal Anti-Discrimination Agency (ADS) if she does not receive a satisfactory explanation within seven days.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14 Mar 2024
11:30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HR Director Jana Kovacs reads the email and forwards it to Legal. She notes that this is the third complaint from a female applicant in four months — the previous two were handled as one-off grievances and closed without investigation.</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14 Mar 2024
14:00</w:t>
            </w:r>
          </w:p>
        </w:tc>
        <w:tc>
          <w:tcPr>
            <w:tcW w:type="dxa" w:w="7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Legal Counsel contacts the Head of AI Governance. This is the first time AI Governance has been involved in a TalentMatch complaint. The Head of AI Governance requests access to Meera Pillai's candidate record and TalentMatch scoring log.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14 Mar 2024
16:45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Scoring log retrieved. Meera Pillai scored 61/100. The two male candidates who were shortlisted scored 58 and 63. The shortlisting threshold was set at 60. On raw scores, all three should have been shortlisted. TalentMatch's internal re-ranking module adjusted the final list — the re-ranking weights are not visible in the standard output.</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15 Mar 2024
09:00</w:t>
            </w:r>
          </w:p>
        </w:tc>
        <w:tc>
          <w:tcPr>
            <w:tcW w:type="dxa" w:w="7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Head of AI Governance convenes a severity assessment call: Legal, HR Director, CRO. Severity classified P1 — Critical. Reasoning: High Risk system, confirmed scoring anomaly suggesting bias, active legal threat, third known complaint. CEO notified at 09:45.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15 Mar 2024
10:30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TalentMatch AI suspended immediately across all active recruitment processes. 34 open roles currently in shortlisting phase. HR Director informed that all shortlists generated in 2024 must be treated as provisional pending audit.</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15 Mar 2024
14:00</w:t>
            </w:r>
          </w:p>
        </w:tc>
        <w:tc>
          <w:tcPr>
            <w:tcW w:type="dxa" w:w="7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Vendor contacted — requested full model documentation including training data composition, re-ranking algorithm logic, and any prior bias testing results. Vendor response time: 48 hours per SLA.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17 Mar 2024
11:00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Vendor provides partial documentation. Training data: CVs sourced from NorthStar's historical hires 2015–2021. Historical hiring data shows 78% male hires in technical roles during that period. The model learned from a dataset that encoded historical gender bias as a signal of 'quality.'</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18 Mar 2024
09:00</w:t>
            </w:r>
          </w:p>
        </w:tc>
        <w:tc>
          <w:tcPr>
            <w:tcW w:type="dxa" w:w="7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Internal audit expanded. AI Governance team pulls TalentMatch shortlisting outputs for all roles filled in 2023. Initial finding: female applicants were shortlisted at a rate 31% lower than male applicants with equivalent qualification scores. 47 roles affected. Estimated 140 female candidates impacted.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18 Mar 2024
15:00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72-hour Article 73 window assessed. Incident was classified P1 on 15 March. The 72-hour notification deadline is 18 March at 09:00. Deadline has passed without notification. Head of AI Governance escalates immediately — BaFin notification prepared as urgent.</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18 Mar 2024
17:30</w:t>
            </w:r>
          </w:p>
        </w:tc>
        <w:tc>
          <w:tcPr>
            <w:tcW w:type="dxa" w:w="7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BaFin notified via formal written notification. Notification includes: incident description, affected system, scale of potential impact, suspension action taken, ongoing investigation status. NorthStar's legal team prepares for follow-up request.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19 Mar 2024
–</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Affected candidates from 2023 identified. NorthStar's legal team begins preparing individual notifications. Vendor formally placed on notice of potential contractual breach. Independent bias audit commissioned from external firm — delivery in 45 days.</w:t>
            </w:r>
          </w:p>
        </w:tc>
      </w:tr>
    </w:tbl>
    <w:p>
      <w:pPr>
        <w:spacing w:after="200" w:before="0"/>
      </w:pPr>
    </w:p>
    <w:p>
      <w:pPr>
        <w:pStyle w:val="Heading2"/>
        <w:spacing w:after="100" w:before="280"/>
      </w:pPr>
      <w:r>
        <w:rPr>
          <w:rFonts w:ascii="Arial" w:cs="Arial" w:eastAsia="Arial" w:hAnsi="Arial"/>
          <w:b/>
          <w:bCs/>
          <w:color w:val="2E5FA3"/>
          <w:sz w:val="24"/>
          <w:szCs w:val="24"/>
        </w:rPr>
        <w:t xml:space="preserve">A.3  Severity Classification and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P1 — CRITICAL  —  Immediate Action Required</w:t>
            </w:r>
          </w:p>
        </w:tc>
      </w:tr>
    </w:tbl>
    <w:p>
      <w:pPr>
        <w:spacing w:after="160" w:before="0"/>
      </w:pPr>
    </w:p>
    <w:p>
      <w:pPr>
        <w:spacing w:after="120" w:before="60"/>
      </w:pPr>
      <w:r>
        <w:rPr>
          <w:rFonts w:ascii="Arial" w:cs="Arial" w:eastAsia="Arial" w:hAnsi="Arial"/>
          <w:color w:val="2C2C2C"/>
          <w:sz w:val="22"/>
          <w:szCs w:val="22"/>
        </w:rPr>
        <w:t xml:space="preserve">The P1 classification was correct. Five factors made this unavoidable:</w:t>
      </w:r>
    </w:p>
    <w:p>
      <w:pPr>
        <w:pStyle w:val="ListParagraph"/>
        <w:numPr>
          <w:ilvl w:val="0"/>
          <w:numId w:val="2"/>
        </w:numPr>
        <w:spacing w:after="60" w:before="40"/>
      </w:pPr>
      <w:r>
        <w:rPr>
          <w:rFonts w:ascii="Arial" w:cs="Arial" w:eastAsia="Arial" w:hAnsi="Arial"/>
          <w:color w:val="2C2C2C"/>
          <w:sz w:val="22"/>
          <w:szCs w:val="22"/>
        </w:rPr>
        <w:t xml:space="preserve">High Risk system under Annex III Category 5b — employment decisions are explicitly named in the EU AI Act as requiring the highest level of scrutiny.</w:t>
      </w:r>
    </w:p>
    <w:p>
      <w:pPr>
        <w:pStyle w:val="ListParagraph"/>
        <w:numPr>
          <w:ilvl w:val="0"/>
          <w:numId w:val="2"/>
        </w:numPr>
        <w:spacing w:after="60" w:before="40"/>
      </w:pPr>
      <w:r>
        <w:rPr>
          <w:rFonts w:ascii="Arial" w:cs="Arial" w:eastAsia="Arial" w:hAnsi="Arial"/>
          <w:color w:val="2C2C2C"/>
          <w:sz w:val="22"/>
          <w:szCs w:val="22"/>
        </w:rPr>
        <w:t xml:space="preserve">Confirmed scoring anomaly on inspection of a specific candidate record — this is not a theoretical risk, it is a documented event.</w:t>
      </w:r>
    </w:p>
    <w:p>
      <w:pPr>
        <w:pStyle w:val="ListParagraph"/>
        <w:numPr>
          <w:ilvl w:val="0"/>
          <w:numId w:val="2"/>
        </w:numPr>
        <w:spacing w:after="60" w:before="40"/>
      </w:pPr>
      <w:r>
        <w:rPr>
          <w:rFonts w:ascii="Arial" w:cs="Arial" w:eastAsia="Arial" w:hAnsi="Arial"/>
          <w:color w:val="2C2C2C"/>
          <w:sz w:val="22"/>
          <w:szCs w:val="22"/>
        </w:rPr>
        <w:t xml:space="preserve">Third complaint of the same type in four months — pattern evidence of systemic failure, not isolated error.</w:t>
      </w:r>
    </w:p>
    <w:p>
      <w:pPr>
        <w:pStyle w:val="ListParagraph"/>
        <w:numPr>
          <w:ilvl w:val="0"/>
          <w:numId w:val="2"/>
        </w:numPr>
        <w:spacing w:after="60" w:before="40"/>
      </w:pPr>
      <w:r>
        <w:rPr>
          <w:rFonts w:ascii="Arial" w:cs="Arial" w:eastAsia="Arial" w:hAnsi="Arial"/>
          <w:color w:val="2C2C2C"/>
          <w:sz w:val="22"/>
          <w:szCs w:val="22"/>
        </w:rPr>
        <w:t xml:space="preserve">Scale of potential impact: 47 roles, 140 candidates, 26 months of unaudited operation.</w:t>
      </w:r>
    </w:p>
    <w:p>
      <w:pPr>
        <w:pStyle w:val="ListParagraph"/>
        <w:numPr>
          <w:ilvl w:val="0"/>
          <w:numId w:val="2"/>
        </w:numPr>
        <w:spacing w:after="60" w:before="40"/>
      </w:pPr>
      <w:r>
        <w:rPr>
          <w:rFonts w:ascii="Arial" w:cs="Arial" w:eastAsia="Arial" w:hAnsi="Arial"/>
          <w:color w:val="2C2C2C"/>
          <w:sz w:val="22"/>
          <w:szCs w:val="22"/>
        </w:rPr>
        <w:t xml:space="preserve">Active legal threat with a seven-day window before external regulatory filing.</w:t>
      </w:r>
    </w:p>
    <w:p>
      <w:pPr>
        <w:spacing w:after="120" w:before="60"/>
      </w:pPr>
      <w:r>
        <w:rPr>
          <w:rFonts w:ascii="Arial" w:cs="Arial" w:eastAsia="Arial" w:hAnsi="Arial"/>
          <w:color w:val="2C2C2C"/>
          <w:sz w:val="22"/>
          <w:szCs w:val="22"/>
        </w:rPr>
        <w:t xml:space="preserve">A P2 classification would have been wrong. P2 requires 'potential bias identified but unconfirmed.' By 15 March, the scoring anomaly was confirmed. The moment you confirm bias in a High Risk employment system, this is P1.</w:t>
      </w:r>
    </w:p>
    <w:p>
      <w:pPr>
        <w:spacing w:after="160" w:before="0"/>
      </w:pPr>
    </w:p>
    <w:p>
      <w:pPr>
        <w:pStyle w:val="Heading2"/>
        <w:spacing w:after="100" w:before="280"/>
      </w:pPr>
      <w:r>
        <w:rPr>
          <w:rFonts w:ascii="Arial" w:cs="Arial" w:eastAsia="Arial" w:hAnsi="Arial"/>
          <w:b/>
          <w:bCs/>
          <w:color w:val="2E5FA3"/>
          <w:sz w:val="24"/>
          <w:szCs w:val="24"/>
        </w:rPr>
        <w:t xml:space="preserve">A.4  Article 73 Notification — What Went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C0392B" w:sz="16"/>
              <w:bottom w:val="single" w:color="2E5FA3" w:sz="1"/>
              <w:right w:val="single" w:color="2E5FA3" w:sz="1"/>
            </w:tcBorders>
            <w:shd w:fill="FFF0EE" w:val="clear"/>
            <w:tcMar>
              <w:top w:type="dxa" w:w="120"/>
              <w:left w:type="dxa" w:w="200"/>
              <w:bottom w:type="dxa" w:w="120"/>
              <w:right w:type="dxa" w:w="200"/>
            </w:tcMar>
          </w:tcPr>
          <w:p>
            <w:pPr>
              <w:spacing w:after="60"/>
            </w:pPr>
            <w:r>
              <w:rPr>
                <w:rFonts w:ascii="Arial" w:cs="Arial" w:eastAsia="Arial" w:hAnsi="Arial"/>
                <w:b/>
                <w:bCs/>
                <w:color w:val="1B3A6B"/>
                <w:sz w:val="20"/>
                <w:szCs w:val="20"/>
              </w:rPr>
              <w:t xml:space="preserve">REGULATORY FAILURE — BaFin Notification Missed</w:t>
            </w:r>
          </w:p>
          <w:p>
            <w:r>
              <w:rPr>
                <w:rFonts w:ascii="Arial" w:cs="Arial" w:eastAsia="Arial" w:hAnsi="Arial"/>
                <w:color w:val="2C2C2C"/>
                <w:sz w:val="20"/>
                <w:szCs w:val="20"/>
              </w:rPr>
              <w:t xml:space="preserve">The 72-hour notification window under Article 73 opened at 09:00 on 15 March when the incident was classified P1. The deadline was 09:00 on 18 March. Notification was not submitted until 17:30 on 18 March — 8.5 hours late. This is a compliance failure. The failure occurred because no one in the response team was formally assigned ownership of the Article 73 clock. The P1 escalation procedure in NS-IRP-AI-001 requires the CRO to assign a Regulatory Notification Lead within two hours of P1 classification. That step was skipped.</w:t>
            </w:r>
          </w:p>
        </w:tc>
      </w:tr>
    </w:tbl>
    <w:p>
      <w:pPr>
        <w:spacing w:after="160" w:before="0"/>
      </w:pPr>
    </w:p>
    <w:p>
      <w:pPr>
        <w:pStyle w:val="Heading2"/>
        <w:spacing w:after="100" w:before="280"/>
      </w:pPr>
      <w:r>
        <w:rPr>
          <w:rFonts w:ascii="Arial" w:cs="Arial" w:eastAsia="Arial" w:hAnsi="Arial"/>
          <w:b/>
          <w:bCs/>
          <w:color w:val="2E5FA3"/>
          <w:sz w:val="24"/>
          <w:szCs w:val="24"/>
        </w:rPr>
        <w:t xml:space="preserve">A.5  Remediation Actions</w:t>
      </w:r>
    </w:p>
    <w:p>
      <w:pPr>
        <w:pStyle w:val="ListParagraph"/>
        <w:numPr>
          <w:ilvl w:val="0"/>
          <w:numId w:val="2"/>
        </w:numPr>
        <w:spacing w:after="60" w:before="40"/>
      </w:pPr>
      <w:r>
        <w:rPr>
          <w:rFonts w:ascii="Arial" w:cs="Arial" w:eastAsia="Arial" w:hAnsi="Arial"/>
          <w:color w:val="2C2C2C"/>
          <w:sz w:val="22"/>
          <w:szCs w:val="22"/>
        </w:rPr>
        <w:t xml:space="preserve">TalentMatch AI suspended indefinitely pending independent bias audit completion.</w:t>
      </w:r>
    </w:p>
    <w:p>
      <w:pPr>
        <w:pStyle w:val="ListParagraph"/>
        <w:numPr>
          <w:ilvl w:val="0"/>
          <w:numId w:val="2"/>
        </w:numPr>
        <w:spacing w:after="60" w:before="40"/>
      </w:pPr>
      <w:r>
        <w:rPr>
          <w:rFonts w:ascii="Arial" w:cs="Arial" w:eastAsia="Arial" w:hAnsi="Arial"/>
          <w:color w:val="2C2C2C"/>
          <w:sz w:val="22"/>
          <w:szCs w:val="22"/>
        </w:rPr>
        <w:t xml:space="preserve">All 2024 shortlists reviewed manually by HR Director and hiring managers — no AI-generated shortlist to be used without human re-validation.</w:t>
      </w:r>
    </w:p>
    <w:p>
      <w:pPr>
        <w:pStyle w:val="ListParagraph"/>
        <w:numPr>
          <w:ilvl w:val="0"/>
          <w:numId w:val="2"/>
        </w:numPr>
        <w:spacing w:after="60" w:before="40"/>
      </w:pPr>
      <w:r>
        <w:rPr>
          <w:rFonts w:ascii="Arial" w:cs="Arial" w:eastAsia="Arial" w:hAnsi="Arial"/>
          <w:color w:val="2C2C2C"/>
          <w:sz w:val="22"/>
          <w:szCs w:val="22"/>
        </w:rPr>
        <w:t xml:space="preserve">140 potentially affected candidates from 2023 to be contacted individually. Legal preparing notification letters.</w:t>
      </w:r>
    </w:p>
    <w:p>
      <w:pPr>
        <w:pStyle w:val="ListParagraph"/>
        <w:numPr>
          <w:ilvl w:val="0"/>
          <w:numId w:val="2"/>
        </w:numPr>
        <w:spacing w:after="60" w:before="40"/>
      </w:pPr>
      <w:r>
        <w:rPr>
          <w:rFonts w:ascii="Arial" w:cs="Arial" w:eastAsia="Arial" w:hAnsi="Arial"/>
          <w:color w:val="2C2C2C"/>
          <w:sz w:val="22"/>
          <w:szCs w:val="22"/>
        </w:rPr>
        <w:t xml:space="preserve">Vendor SLA reviewed — contractual clauses on bias testing obligations to be enforced. NorthStar's procurement team assessing grounds for cost recovery.</w:t>
      </w:r>
    </w:p>
    <w:p>
      <w:pPr>
        <w:pStyle w:val="ListParagraph"/>
        <w:numPr>
          <w:ilvl w:val="0"/>
          <w:numId w:val="2"/>
        </w:numPr>
        <w:spacing w:after="60" w:before="40"/>
      </w:pPr>
      <w:r>
        <w:rPr>
          <w:rFonts w:ascii="Arial" w:cs="Arial" w:eastAsia="Arial" w:hAnsi="Arial"/>
          <w:color w:val="2C2C2C"/>
          <w:sz w:val="22"/>
          <w:szCs w:val="22"/>
        </w:rPr>
        <w:t xml:space="preserve">Article 43 conformity assessment to be completed before any reinstatement of TalentMatch — estimated 60 days.</w:t>
      </w:r>
    </w:p>
    <w:p>
      <w:pPr>
        <w:pStyle w:val="ListParagraph"/>
        <w:numPr>
          <w:ilvl w:val="0"/>
          <w:numId w:val="2"/>
        </w:numPr>
        <w:spacing w:after="60" w:before="40"/>
      </w:pPr>
      <w:r>
        <w:rPr>
          <w:rFonts w:ascii="Arial" w:cs="Arial" w:eastAsia="Arial" w:hAnsi="Arial"/>
          <w:color w:val="2C2C2C"/>
          <w:sz w:val="22"/>
          <w:szCs w:val="22"/>
        </w:rPr>
        <w:t xml:space="preserve">Head of HR and Head of AI Governance to jointly brief the Board at the next quarterly meeting.</w:t>
      </w:r>
    </w:p>
    <w:p>
      <w:pPr>
        <w:spacing w:after="160" w:before="0"/>
      </w:pPr>
    </w:p>
    <w:p>
      <w:pPr>
        <w:pStyle w:val="Heading2"/>
        <w:spacing w:after="100" w:before="280"/>
      </w:pPr>
      <w:r>
        <w:rPr>
          <w:rFonts w:ascii="Arial" w:cs="Arial" w:eastAsia="Arial" w:hAnsi="Arial"/>
          <w:b/>
          <w:bCs/>
          <w:color w:val="2E5FA3"/>
          <w:sz w:val="24"/>
          <w:szCs w:val="24"/>
        </w:rPr>
        <w:t xml:space="preserve">A.6  Lessons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E8449" w:sz="16"/>
              <w:bottom w:val="single" w:color="CCCCCC" w:sz="1"/>
              <w:right w:val="single" w:color="CCCCCC" w:sz="1"/>
            </w:tcBorders>
            <w:shd w:fill="EAF6EE" w:val="clear"/>
            <w:tcMar>
              <w:top w:type="dxa" w:w="120"/>
              <w:left w:type="dxa" w:w="200"/>
              <w:bottom w:type="dxa" w:w="120"/>
              <w:right w:type="dxa" w:w="200"/>
            </w:tcMar>
          </w:tcPr>
          <w:p>
            <w:pPr>
              <w:spacing w:after="60"/>
            </w:pPr>
            <w:r>
              <w:rPr>
                <w:rFonts w:ascii="Arial" w:cs="Arial" w:eastAsia="Arial" w:hAnsi="Arial"/>
                <w:b/>
                <w:bCs/>
                <w:color w:val="1E8449"/>
                <w:sz w:val="20"/>
                <w:szCs w:val="20"/>
              </w:rPr>
              <w:t xml:space="preserve">Lesson 1: A single complaint is a pattern signal, not a one-off.</w:t>
            </w:r>
          </w:p>
          <w:p>
            <w:r>
              <w:rPr>
                <w:rFonts w:ascii="Arial" w:cs="Arial" w:eastAsia="Arial" w:hAnsi="Arial"/>
                <w:color w:val="2C2C2C"/>
                <w:sz w:val="20"/>
                <w:szCs w:val="20"/>
              </w:rPr>
              <w:t xml:space="preserve">The first two TalentMatch complaints in late 2023 were closed without escalation to AI Governance. If either had reached the governance team, the 2024 incident would have been identified six months earlier. Every AI-related complaint — regardless of how it is framed — must route through the AI incident triage process.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E8449" w:sz="16"/>
              <w:bottom w:val="single" w:color="CCCCCC" w:sz="1"/>
              <w:right w:val="single" w:color="CCCCCC" w:sz="1"/>
            </w:tcBorders>
            <w:shd w:fill="EAF6EE" w:val="clear"/>
            <w:tcMar>
              <w:top w:type="dxa" w:w="120"/>
              <w:left w:type="dxa" w:w="200"/>
              <w:bottom w:type="dxa" w:w="120"/>
              <w:right w:type="dxa" w:w="200"/>
            </w:tcMar>
          </w:tcPr>
          <w:p>
            <w:pPr>
              <w:spacing w:after="60"/>
            </w:pPr>
            <w:r>
              <w:rPr>
                <w:rFonts w:ascii="Arial" w:cs="Arial" w:eastAsia="Arial" w:hAnsi="Arial"/>
                <w:b/>
                <w:bCs/>
                <w:color w:val="1E8449"/>
                <w:sz w:val="20"/>
                <w:szCs w:val="20"/>
              </w:rPr>
              <w:t xml:space="preserve">Lesson 2: Training data bias is invisible until you look for it.</w:t>
            </w:r>
          </w:p>
          <w:p>
            <w:r>
              <w:rPr>
                <w:rFonts w:ascii="Arial" w:cs="Arial" w:eastAsia="Arial" w:hAnsi="Arial"/>
                <w:color w:val="2C2C2C"/>
                <w:sz w:val="20"/>
                <w:szCs w:val="20"/>
              </w:rPr>
              <w:t xml:space="preserve">NorthStar fed TalentMatch 2015–2021 historical hiring data. That data reflected seven years of decisions made in a male-dominated technical hiring environment. The model did not invent bias — it learned it from NorthStar's own history. Bias audits must assess training data provenance, not just model outputs.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E8449" w:sz="16"/>
              <w:bottom w:val="single" w:color="CCCCCC" w:sz="1"/>
              <w:right w:val="single" w:color="CCCCCC" w:sz="1"/>
            </w:tcBorders>
            <w:shd w:fill="EAF6EE" w:val="clear"/>
            <w:tcMar>
              <w:top w:type="dxa" w:w="120"/>
              <w:left w:type="dxa" w:w="200"/>
              <w:bottom w:type="dxa" w:w="120"/>
              <w:right w:type="dxa" w:w="200"/>
            </w:tcMar>
          </w:tcPr>
          <w:p>
            <w:pPr>
              <w:spacing w:after="60"/>
            </w:pPr>
            <w:r>
              <w:rPr>
                <w:rFonts w:ascii="Arial" w:cs="Arial" w:eastAsia="Arial" w:hAnsi="Arial"/>
                <w:b/>
                <w:bCs/>
                <w:color w:val="1E8449"/>
                <w:sz w:val="20"/>
                <w:szCs w:val="20"/>
              </w:rPr>
              <w:t xml:space="preserve">Lesson 3: The Article 73 clock needs a named owner at the moment of P1 classification.</w:t>
            </w:r>
          </w:p>
          <w:p>
            <w:r>
              <w:rPr>
                <w:rFonts w:ascii="Arial" w:cs="Arial" w:eastAsia="Arial" w:hAnsi="Arial"/>
                <w:color w:val="2C2C2C"/>
                <w:sz w:val="20"/>
                <w:szCs w:val="20"/>
              </w:rPr>
              <w:t xml:space="preserve">The 8.5-hour notification delay happened because the clock was everyone's responsibility and therefore no one's. NS-IRP-AI-001 has been updated to require the CRO to name a Regulatory Notification Lead within 30 minutes of P1 classification, with a calendar reminder set automatically.</w:t>
            </w:r>
          </w:p>
        </w:tc>
      </w:tr>
    </w:tbl>
    <w:p>
      <w:pPr>
        <w:spacing w:after="160" w:before="0"/>
      </w:pPr>
    </w:p>
    <w:p>
      <w:pPr>
        <w:pStyle w:val="Heading2"/>
        <w:spacing w:after="100" w:before="280"/>
      </w:pPr>
      <w:r>
        <w:rPr>
          <w:rFonts w:ascii="Arial" w:cs="Arial" w:eastAsia="Arial" w:hAnsi="Arial"/>
          <w:b/>
          <w:bCs/>
          <w:color w:val="2E5FA3"/>
          <w:sz w:val="24"/>
          <w:szCs w:val="24"/>
        </w:rPr>
        <w:t xml:space="preserve">A.7  What This Teaches About Real AI Governance</w:t>
      </w:r>
    </w:p>
    <w:p>
      <w:pPr>
        <w:spacing w:after="120" w:before="60"/>
      </w:pPr>
      <w:r>
        <w:rPr>
          <w:rFonts w:ascii="Arial" w:cs="Arial" w:eastAsia="Arial" w:hAnsi="Arial"/>
          <w:color w:val="2C2C2C"/>
          <w:sz w:val="22"/>
          <w:szCs w:val="22"/>
        </w:rPr>
        <w:t xml:space="preserve">TalentMatch is a case study in what happens when a High Risk system is treated as a procurement decision rather than a governance obligation. NorthStar bought a product, deployed it, and trusted it for 26 months without asking a single hard question about how it worked or who it was hurting.</w:t>
      </w:r>
    </w:p>
    <w:p>
      <w:pPr>
        <w:spacing w:after="120" w:before="60"/>
      </w:pPr>
      <w:r>
        <w:rPr>
          <w:rFonts w:ascii="Arial" w:cs="Arial" w:eastAsia="Arial" w:hAnsi="Arial"/>
          <w:color w:val="2C2C2C"/>
          <w:sz w:val="22"/>
          <w:szCs w:val="22"/>
        </w:rPr>
        <w:t xml:space="preserve">The EU AI Act exists precisely for situations like this. Article 43 conformity assessments, bias audits, and human oversight requirements are not bureaucratic checkboxes. They are the mechanisms that would have caught this problem in 2022 instead of 2024.</w:t>
      </w:r>
    </w:p>
    <w:p>
      <w:pPr>
        <w:spacing w:after="120" w:before="60"/>
      </w:pPr>
      <w:r>
        <w:rPr>
          <w:rFonts w:ascii="Arial" w:cs="Arial" w:eastAsia="Arial" w:hAnsi="Arial"/>
          <w:color w:val="2C2C2C"/>
          <w:sz w:val="22"/>
          <w:szCs w:val="22"/>
        </w:rPr>
        <w:t xml:space="preserve">The most important number in this incident is not 31%. It is 26 — the number of months TalentMatch ran without oversight. Every month after the conformity assessment deadline was a month of compounding liability.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8A" w:val="clear"/>
            <w:tcMar>
              <w:top w:type="dxa" w:w="200"/>
              <w:left w:type="dxa" w:w="280"/>
              <w:bottom w:type="dxa" w:w="160"/>
              <w:right w:type="dxa" w:w="280"/>
            </w:tcMar>
          </w:tcPr>
          <w:p>
            <w:r>
              <w:rPr>
                <w:rFonts w:ascii="Arial" w:cs="Arial" w:eastAsia="Arial" w:hAnsi="Arial"/>
                <w:b/>
                <w:bCs/>
                <w:color w:val="FFFFFF"/>
                <w:sz w:val="18"/>
                <w:szCs w:val="18"/>
              </w:rPr>
              <w:t xml:space="preserve">SCENARIO B  |  NS-INC-2024-002</w:t>
            </w:r>
          </w:p>
          <w:p>
            <w:pPr>
              <w:spacing w:before="60"/>
            </w:pPr>
            <w:r>
              <w:rPr>
                <w:rFonts w:ascii="Arial" w:cs="Arial" w:eastAsia="Arial" w:hAnsi="Arial"/>
                <w:b/>
                <w:bCs/>
                <w:color w:val="FFFFFF"/>
                <w:sz w:val="32"/>
                <w:szCs w:val="32"/>
              </w:rPr>
              <w:t xml:space="preserve">CreditScore Pro Model Drift Incident</w:t>
            </w:r>
          </w:p>
          <w:p>
            <w:pPr>
              <w:spacing w:before="80"/>
            </w:pPr>
            <w:r>
              <w:rPr>
                <w:rFonts w:ascii="Arial" w:cs="Arial" w:eastAsia="Arial" w:hAnsi="Arial"/>
                <w:color w:val="D0DFEE"/>
                <w:sz w:val="18"/>
                <w:szCs w:val="18"/>
              </w:rPr>
              <w:t xml:space="preserve">System: NS-AI-001 CreditScore Pro  |  High Risk  |  Annex III Category 5b</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Incident ID</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NS-INC-2024-002</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Date Detected</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22 January 2024</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System</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NS-AI-001 CreditScore Pro</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Risk Classification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High Risk — Annex III Category 5b (Creditworthiness)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P2 — High (escalated from P3 after root cause confirmed)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Regulatory Exposure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Article 73 assessed — notification not required at this stage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Resolution Date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15 March 2024</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Lead Investigator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Head of Model Risk, NorthStar Financial Services</w:t>
            </w:r>
          </w:p>
        </w:tc>
      </w:tr>
    </w:tbl>
    <w:p>
      <w:pPr>
        <w:spacing w:after="200" w:before="0"/>
      </w:pPr>
    </w:p>
    <w:p>
      <w:pPr>
        <w:pStyle w:val="Heading2"/>
        <w:spacing w:after="100" w:before="280"/>
      </w:pPr>
      <w:r>
        <w:rPr>
          <w:rFonts w:ascii="Arial" w:cs="Arial" w:eastAsia="Arial" w:hAnsi="Arial"/>
          <w:b/>
          <w:bCs/>
          <w:color w:val="2E5FA3"/>
          <w:sz w:val="24"/>
          <w:szCs w:val="24"/>
        </w:rPr>
        <w:t xml:space="preserve">B.1  Background and Context</w:t>
      </w:r>
    </w:p>
    <w:p>
      <w:pPr>
        <w:spacing w:after="120" w:before="60"/>
      </w:pPr>
      <w:r>
        <w:rPr>
          <w:rFonts w:ascii="Arial" w:cs="Arial" w:eastAsia="Arial" w:hAnsi="Arial"/>
          <w:color w:val="2C2C2C"/>
          <w:sz w:val="22"/>
          <w:szCs w:val="22"/>
        </w:rPr>
        <w:t xml:space="preserve">CreditScore Pro is NorthStar's core credit decisioning engine. It scores retail loan and mortgage applicants on a 300-850 scale. The score determines whether an application proceeds, the interest rate offered, and the credit limit approved. Approximately 2,400 decisions per month pass through this system.</w:t>
      </w:r>
    </w:p>
    <w:p>
      <w:pPr>
        <w:spacing w:after="120" w:before="60"/>
      </w:pPr>
      <w:r>
        <w:rPr>
          <w:rFonts w:ascii="Arial" w:cs="Arial" w:eastAsia="Arial" w:hAnsi="Arial"/>
          <w:color w:val="2C2C2C"/>
          <w:sz w:val="22"/>
          <w:szCs w:val="22"/>
        </w:rPr>
        <w:t xml:space="preserve">The model was last retrained in Q2 2022 using application and repayment data from 2019–2021. Model monitoring is supposed to run monthly — a drift detection report is generated and reviewed by the Head of Model Risk. The NIST maturity score for CreditScore Pro is 1.75, reflecting that monitoring exists on paper but is not reliably actioned.</w:t>
      </w:r>
    </w:p>
    <w:p>
      <w:pPr>
        <w:spacing w:after="120" w:before="60"/>
      </w:pPr>
      <w:r>
        <w:rPr>
          <w:rFonts w:ascii="Arial" w:cs="Arial" w:eastAsia="Arial" w:hAnsi="Arial"/>
          <w:color w:val="2C2C2C"/>
          <w:sz w:val="22"/>
          <w:szCs w:val="22"/>
        </w:rPr>
        <w:t xml:space="preserve">What nobody noticed was that between July 2023 and January 2024, the rejection rate for applicants from East London postcodes — E1 through E17 — climbed from 34% to 57%. The monitoring report flagged mild population shift warnings in September and November 2023. Both were reviewed, noted, and not escalated. This was a mistake.</w:t>
      </w:r>
    </w:p>
    <w:p>
      <w:pPr>
        <w:spacing w:after="120" w:before="0"/>
      </w:pPr>
    </w:p>
    <w:p>
      <w:pPr>
        <w:pStyle w:val="Heading2"/>
        <w:spacing w:after="100" w:before="280"/>
      </w:pPr>
      <w:r>
        <w:rPr>
          <w:rFonts w:ascii="Arial" w:cs="Arial" w:eastAsia="Arial" w:hAnsi="Arial"/>
          <w:b/>
          <w:bCs/>
          <w:color w:val="2E5FA3"/>
          <w:sz w:val="24"/>
          <w:szCs w:val="24"/>
        </w:rPr>
        <w:t xml:space="preserve">B.2  Incident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TIMESTAMP</w:t>
            </w:r>
          </w:p>
        </w:tc>
        <w:tc>
          <w:tcPr>
            <w:tcW w:type="dxa" w:w="7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EVENT</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22 Jan 2024
08:30</w:t>
            </w:r>
          </w:p>
        </w:tc>
        <w:tc>
          <w:tcPr>
            <w:tcW w:type="dxa" w:w="7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Head of Retail Lending, Priya Mehta, raises a concern directly with the CRO during a weekly performance call. She has noticed that branch advisors in NorthStar's Canary Wharf office are reporting an unusually high volume of declined applications from East London applicants over the past three months. Advisors are describing it as a 'postcode problem.'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22 Jan 2024
11:00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CRO requests the Head of Model Risk to pull CreditScore Pro rejection rate data by postcode. Analysis is requested within 24 hours.</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23 Jan 2024
09:45</w:t>
            </w:r>
          </w:p>
        </w:tc>
        <w:tc>
          <w:tcPr>
            <w:tcW w:type="dxa" w:w="7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Head of Model Risk delivers initial data. East London postcodes (E1–E17): rejection rate July 2023 = 34%, January 2024 = 57%. National average rejection rate has remained flat at 31–33% over the same period. The divergence is 26 percentage points. The pattern is not random — it is geographically concentrated.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23 Jan 2024
14:00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Incident triage meeting convened. Initial severity assessment: P3 — the rejection rate increase is significant but the root cause is unknown. Could be genuine credit quality deterioration in the area rather than model failure. P3 assigned pending investigation.</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25 Jan 2024
–</w:t>
            </w:r>
          </w:p>
        </w:tc>
        <w:tc>
          <w:tcPr>
            <w:tcW w:type="dxa" w:w="7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AI Governance team begins root cause analysis. Three hypotheses tested: (1) genuine worsening of creditworthiness in E1–E17 postcodes, (2) data quality issue in application inputs, (3) model drift causing score miscalibration for this population segment.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29 Jan 2024
–</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Hypothesis 1 eliminated. Credit bureau data for E1–E17 shows no statistically significant change in underlying default rates or arrears during the relevant period. The applicants are not riskier — the model thinks they are.</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31 Jan 2024
–</w:t>
            </w:r>
          </w:p>
        </w:tc>
        <w:tc>
          <w:tcPr>
            <w:tcW w:type="dxa" w:w="7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Hypothesis 3 confirmed. CreditScore Pro was trained predominantly on applicants from suburban and rural postcodes — dense urban East London applicants were underrepresented in the 2019–2021 training set. Post-COVID migration patterns have significantly increased the volume and profile mix of E-postcode applicants. The model has not seen enough applicants of this profile to score them accurately. It is defaulting to lower scores — a classic manifestation of distributional shift.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01 Feb 2024
10:00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Severity escalated from P3 to P2. Root cause confirmed as model drift on an identifiable population segment. This creates both a regulatory risk (EU AI Act Article 9 — risk management system must address bias and distributional shift) and a potential indirect discrimination claim if the postcode correlates with protected characteristics.</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01 Feb 2024
14:30</w:t>
            </w:r>
          </w:p>
        </w:tc>
        <w:tc>
          <w:tcPr>
            <w:tcW w:type="dxa" w:w="7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Legal analysis: E1–E17 postcodes have a significantly higher proportion of residents from South Asian and East African backgrounds compared to national average. The postcode is acting as a proxy variable — the model is not directly using ethnicity, but its errors are not randomly distributed. They fall on a population with a specific demographic profile. This is proxy discrimination 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05 Feb 2024
–</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Interim measure implemented: CreditScore Pro outputs for E1–E17 postcodes flagged for mandatory human review before any rejection decision is issued. Approximately 180 additional decisions per month now require a loan officer sign-off.</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15 Feb 2024
–</w:t>
            </w:r>
          </w:p>
        </w:tc>
        <w:tc>
          <w:tcPr>
            <w:tcW w:type="dxa" w:w="7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Emergency model retraining scoped. Additional training data sourced covering 2022–2023 applicant cohort with improved East London representation. Retraining estimated at six weeks.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28 Feb 2024
–</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Backlog review completed. 847 applications from E1–E17 postcodes rejected between July 2023 and January 2024 identified for re-assessment. Head of Retail Lending managing outreach — applicants to be contacted and offered re-evaluation.</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15 Mar 2024
–</w:t>
            </w:r>
          </w:p>
        </w:tc>
        <w:tc>
          <w:tcPr>
            <w:tcW w:type="dxa" w:w="7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Retrained model validated by Head of Model Risk and external model validator. East London rejection rate recalibrated to 35% — within 3 percentage points of the national benchmark. Model redeployed with enhanced monthly drift monitoring and a postcode-segment alert threshold set at 5 percentage points above national average.</w:t>
            </w:r>
          </w:p>
        </w:tc>
      </w:tr>
    </w:tbl>
    <w:p>
      <w:pPr>
        <w:spacing w:after="200" w:before="0"/>
      </w:pPr>
    </w:p>
    <w:p>
      <w:pPr>
        <w:pStyle w:val="Heading2"/>
        <w:spacing w:after="100" w:before="280"/>
      </w:pPr>
      <w:r>
        <w:rPr>
          <w:rFonts w:ascii="Arial" w:cs="Arial" w:eastAsia="Arial" w:hAnsi="Arial"/>
          <w:b/>
          <w:bCs/>
          <w:color w:val="2E5FA3"/>
          <w:sz w:val="24"/>
          <w:szCs w:val="24"/>
        </w:rPr>
        <w:t xml:space="preserve">B.3  Severity Classification and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8A"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P2 — HIGH  —  Significant Action Required Within 24 Hours</w:t>
            </w:r>
          </w:p>
        </w:tc>
      </w:tr>
    </w:tbl>
    <w:p>
      <w:pPr>
        <w:spacing w:after="160" w:before="0"/>
      </w:pPr>
    </w:p>
    <w:p>
      <w:pPr>
        <w:spacing w:after="120" w:before="60"/>
      </w:pPr>
      <w:r>
        <w:rPr>
          <w:rFonts w:ascii="Arial" w:cs="Arial" w:eastAsia="Arial" w:hAnsi="Arial"/>
          <w:color w:val="2C2C2C"/>
          <w:sz w:val="22"/>
          <w:szCs w:val="22"/>
        </w:rPr>
        <w:t xml:space="preserve">The initial P3 classification on 23 January was reasonable — root cause was genuinely unknown at that point, and the model risk framework requires confirmation before escalating a statistical anomaly to a confirmed incident. The escalation to P2 on 1 February was the correct call the moment root cause was confirmed.</w:t>
      </w:r>
    </w:p>
    <w:p>
      <w:pPr>
        <w:spacing w:after="120" w:before="60"/>
      </w:pPr>
      <w:r>
        <w:rPr>
          <w:rFonts w:ascii="Arial" w:cs="Arial" w:eastAsia="Arial" w:hAnsi="Arial"/>
          <w:color w:val="2C2C2C"/>
          <w:sz w:val="22"/>
          <w:szCs w:val="22"/>
        </w:rPr>
        <w:t xml:space="preserve">P1 was considered and rejected. The reasoning: no individual was demonstrably harmed by an automated decision without human review (the system operates with loan officer involvement at the final stage for borderline cases), and no regulatory deadline had been triggered. The interim human-review measure reduced the active harm during investigation. P2 correctly reflected the severity while allowing a structured investigation to proceed.</w:t>
      </w:r>
    </w:p>
    <w:p>
      <w:pPr>
        <w:spacing w:after="120" w:before="60"/>
      </w:pPr>
      <w:r>
        <w:rPr>
          <w:rFonts w:ascii="Arial" w:cs="Arial" w:eastAsia="Arial" w:hAnsi="Arial"/>
          <w:color w:val="2C2C2C"/>
          <w:sz w:val="22"/>
          <w:szCs w:val="22"/>
        </w:rPr>
        <w:t xml:space="preserve">The more uncomfortable question is whether P3 should have been P2 from the start. A 26-point divergence in rejection rates for an identifiable geographic population is not a 'mild anomaly' — it should have triggered a higher initial severity. This is a training gap, not a framework gap.</w:t>
      </w:r>
    </w:p>
    <w:p>
      <w:pPr>
        <w:spacing w:after="160" w:before="0"/>
      </w:pPr>
    </w:p>
    <w:p>
      <w:pPr>
        <w:pStyle w:val="Heading2"/>
        <w:spacing w:after="100" w:before="280"/>
      </w:pPr>
      <w:r>
        <w:rPr>
          <w:rFonts w:ascii="Arial" w:cs="Arial" w:eastAsia="Arial" w:hAnsi="Arial"/>
          <w:b/>
          <w:bCs/>
          <w:color w:val="2E5FA3"/>
          <w:sz w:val="24"/>
          <w:szCs w:val="24"/>
        </w:rPr>
        <w:t xml:space="preserve">B.4  Article 73 Notification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E8449" w:sz="16"/>
              <w:bottom w:val="single" w:color="CCCCCC" w:sz="1"/>
              <w:right w:val="single" w:color="CCCCCC" w:sz="1"/>
            </w:tcBorders>
            <w:shd w:fill="EAF6EE" w:val="clear"/>
            <w:tcMar>
              <w:top w:type="dxa" w:w="120"/>
              <w:left w:type="dxa" w:w="200"/>
              <w:bottom w:type="dxa" w:w="120"/>
              <w:right w:type="dxa" w:w="200"/>
            </w:tcMar>
          </w:tcPr>
          <w:p>
            <w:pPr>
              <w:spacing w:after="60"/>
            </w:pPr>
            <w:r>
              <w:rPr>
                <w:rFonts w:ascii="Arial" w:cs="Arial" w:eastAsia="Arial" w:hAnsi="Arial"/>
                <w:b/>
                <w:bCs/>
                <w:color w:val="1E8449"/>
                <w:sz w:val="20"/>
                <w:szCs w:val="20"/>
              </w:rPr>
              <w:t xml:space="preserve">Notification Not Required — Rationale</w:t>
            </w:r>
          </w:p>
          <w:p>
            <w:r>
              <w:rPr>
                <w:rFonts w:ascii="Arial" w:cs="Arial" w:eastAsia="Arial" w:hAnsi="Arial"/>
                <w:color w:val="2C2C2C"/>
                <w:sz w:val="20"/>
                <w:szCs w:val="20"/>
              </w:rPr>
              <w:t xml:space="preserve">Article 73 requires notification when a High Risk AI system malfunction poses a risk of serious harm. In this incident, the mandatory human review layer was activated as an interim control before any further rejections were issued without oversight. The system was not generating automated, unchecked adverse decisions during the investigation period. On that basis, the threshold for Article 73 notification was not met. This assessment was documented by Legal and filed in the incident record. Had the human review layer not been implemented, the notification assessment would have been different.</w:t>
            </w:r>
          </w:p>
        </w:tc>
      </w:tr>
    </w:tbl>
    <w:p>
      <w:pPr>
        <w:spacing w:after="160" w:before="0"/>
      </w:pPr>
    </w:p>
    <w:p>
      <w:pPr>
        <w:pStyle w:val="Heading2"/>
        <w:spacing w:after="100" w:before="280"/>
      </w:pPr>
      <w:r>
        <w:rPr>
          <w:rFonts w:ascii="Arial" w:cs="Arial" w:eastAsia="Arial" w:hAnsi="Arial"/>
          <w:b/>
          <w:bCs/>
          <w:color w:val="2E5FA3"/>
          <w:sz w:val="24"/>
          <w:szCs w:val="24"/>
        </w:rPr>
        <w:t xml:space="preserve">B.5  Remediation Actions</w:t>
      </w:r>
    </w:p>
    <w:p>
      <w:pPr>
        <w:pStyle w:val="ListParagraph"/>
        <w:numPr>
          <w:ilvl w:val="0"/>
          <w:numId w:val="2"/>
        </w:numPr>
        <w:spacing w:after="60" w:before="40"/>
      </w:pPr>
      <w:r>
        <w:rPr>
          <w:rFonts w:ascii="Arial" w:cs="Arial" w:eastAsia="Arial" w:hAnsi="Arial"/>
          <w:color w:val="2C2C2C"/>
          <w:sz w:val="22"/>
          <w:szCs w:val="22"/>
        </w:rPr>
        <w:t xml:space="preserve">847 affected applications re-assessed — outreach managed by Head of Retail Lending, Priya Mehta.</w:t>
      </w:r>
    </w:p>
    <w:p>
      <w:pPr>
        <w:pStyle w:val="ListParagraph"/>
        <w:numPr>
          <w:ilvl w:val="0"/>
          <w:numId w:val="2"/>
        </w:numPr>
        <w:spacing w:after="60" w:before="40"/>
      </w:pPr>
      <w:r>
        <w:rPr>
          <w:rFonts w:ascii="Arial" w:cs="Arial" w:eastAsia="Arial" w:hAnsi="Arial"/>
          <w:color w:val="2C2C2C"/>
          <w:sz w:val="22"/>
          <w:szCs w:val="22"/>
        </w:rPr>
        <w:t xml:space="preserve">CreditScore Pro retrained with 2022–2023 data including improved East London cohort representation.</w:t>
      </w:r>
    </w:p>
    <w:p>
      <w:pPr>
        <w:pStyle w:val="ListParagraph"/>
        <w:numPr>
          <w:ilvl w:val="0"/>
          <w:numId w:val="2"/>
        </w:numPr>
        <w:spacing w:after="60" w:before="40"/>
      </w:pPr>
      <w:r>
        <w:rPr>
          <w:rFonts w:ascii="Arial" w:cs="Arial" w:eastAsia="Arial" w:hAnsi="Arial"/>
          <w:color w:val="2C2C2C"/>
          <w:sz w:val="22"/>
          <w:szCs w:val="22"/>
        </w:rPr>
        <w:t xml:space="preserve">Model redeployed 15 March 2024 with enhanced monitoring: postcode-segment drift alert at 5pp above national benchmark.</w:t>
      </w:r>
    </w:p>
    <w:p>
      <w:pPr>
        <w:pStyle w:val="ListParagraph"/>
        <w:numPr>
          <w:ilvl w:val="0"/>
          <w:numId w:val="2"/>
        </w:numPr>
        <w:spacing w:after="60" w:before="40"/>
      </w:pPr>
      <w:r>
        <w:rPr>
          <w:rFonts w:ascii="Arial" w:cs="Arial" w:eastAsia="Arial" w:hAnsi="Arial"/>
          <w:color w:val="2C2C2C"/>
          <w:sz w:val="22"/>
          <w:szCs w:val="22"/>
        </w:rPr>
        <w:t xml:space="preserve">Monthly drift monitoring reports redesigned — now include geographic segment breakdown, not just aggregate score distribution.</w:t>
      </w:r>
    </w:p>
    <w:p>
      <w:pPr>
        <w:pStyle w:val="ListParagraph"/>
        <w:numPr>
          <w:ilvl w:val="0"/>
          <w:numId w:val="2"/>
        </w:numPr>
        <w:spacing w:after="60" w:before="40"/>
      </w:pPr>
      <w:r>
        <w:rPr>
          <w:rFonts w:ascii="Arial" w:cs="Arial" w:eastAsia="Arial" w:hAnsi="Arial"/>
          <w:color w:val="2C2C2C"/>
          <w:sz w:val="22"/>
          <w:szCs w:val="22"/>
        </w:rPr>
        <w:t xml:space="preserve">Head of Model Risk required to sign off drift reports within five working days of issue — no more 'noted and filed.'</w:t>
      </w:r>
    </w:p>
    <w:p>
      <w:pPr>
        <w:pStyle w:val="ListParagraph"/>
        <w:numPr>
          <w:ilvl w:val="0"/>
          <w:numId w:val="2"/>
        </w:numPr>
        <w:spacing w:after="60" w:before="40"/>
      </w:pPr>
      <w:r>
        <w:rPr>
          <w:rFonts w:ascii="Arial" w:cs="Arial" w:eastAsia="Arial" w:hAnsi="Arial"/>
          <w:color w:val="2C2C2C"/>
          <w:sz w:val="22"/>
          <w:szCs w:val="22"/>
        </w:rPr>
        <w:t xml:space="preserve">Proxy discrimination analysis added as a standard step in all future model monitoring reviews.</w:t>
      </w:r>
    </w:p>
    <w:p>
      <w:pPr>
        <w:spacing w:after="160" w:before="0"/>
      </w:pPr>
    </w:p>
    <w:p>
      <w:pPr>
        <w:pStyle w:val="Heading2"/>
        <w:spacing w:after="100" w:before="280"/>
      </w:pPr>
      <w:r>
        <w:rPr>
          <w:rFonts w:ascii="Arial" w:cs="Arial" w:eastAsia="Arial" w:hAnsi="Arial"/>
          <w:b/>
          <w:bCs/>
          <w:color w:val="2E5FA3"/>
          <w:sz w:val="24"/>
          <w:szCs w:val="24"/>
        </w:rPr>
        <w:t xml:space="preserve">B.6  Lessons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E8449" w:sz="16"/>
              <w:bottom w:val="single" w:color="CCCCCC" w:sz="1"/>
              <w:right w:val="single" w:color="CCCCCC" w:sz="1"/>
            </w:tcBorders>
            <w:shd w:fill="EAF6EE" w:val="clear"/>
            <w:tcMar>
              <w:top w:type="dxa" w:w="120"/>
              <w:left w:type="dxa" w:w="200"/>
              <w:bottom w:type="dxa" w:w="120"/>
              <w:right w:type="dxa" w:w="200"/>
            </w:tcMar>
          </w:tcPr>
          <w:p>
            <w:pPr>
              <w:spacing w:after="60"/>
            </w:pPr>
            <w:r>
              <w:rPr>
                <w:rFonts w:ascii="Arial" w:cs="Arial" w:eastAsia="Arial" w:hAnsi="Arial"/>
                <w:b/>
                <w:bCs/>
                <w:color w:val="1E8449"/>
                <w:sz w:val="20"/>
                <w:szCs w:val="20"/>
              </w:rPr>
              <w:t xml:space="preserve">Lesson 1: 'Noted and filed' is not a monitoring response.</w:t>
            </w:r>
          </w:p>
          <w:p>
            <w:r>
              <w:rPr>
                <w:rFonts w:ascii="Arial" w:cs="Arial" w:eastAsia="Arial" w:hAnsi="Arial"/>
                <w:color w:val="2C2C2C"/>
                <w:sz w:val="20"/>
                <w:szCs w:val="20"/>
              </w:rPr>
              <w:t xml:space="preserve">The September and November 2023 drift warnings were reviewed and not escalated. Both reviewers assumed geographic concentration could reflect genuine credit quality differences rather than model error. That assumption should have been tested immediately. Any drift alert above 10 percentage points on an identifiable population segment is an investigation trigger — not an observation.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E8449" w:sz="16"/>
              <w:bottom w:val="single" w:color="CCCCCC" w:sz="1"/>
              <w:right w:val="single" w:color="CCCCCC" w:sz="1"/>
            </w:tcBorders>
            <w:shd w:fill="EAF6EE" w:val="clear"/>
            <w:tcMar>
              <w:top w:type="dxa" w:w="120"/>
              <w:left w:type="dxa" w:w="200"/>
              <w:bottom w:type="dxa" w:w="120"/>
              <w:right w:type="dxa" w:w="200"/>
            </w:tcMar>
          </w:tcPr>
          <w:p>
            <w:pPr>
              <w:spacing w:after="60"/>
            </w:pPr>
            <w:r>
              <w:rPr>
                <w:rFonts w:ascii="Arial" w:cs="Arial" w:eastAsia="Arial" w:hAnsi="Arial"/>
                <w:b/>
                <w:bCs/>
                <w:color w:val="1E8449"/>
                <w:sz w:val="20"/>
                <w:szCs w:val="20"/>
              </w:rPr>
              <w:t xml:space="preserve">Lesson 2: Postcode data carries demographic risk.</w:t>
            </w:r>
          </w:p>
          <w:p>
            <w:r>
              <w:rPr>
                <w:rFonts w:ascii="Arial" w:cs="Arial" w:eastAsia="Arial" w:hAnsi="Arial"/>
                <w:color w:val="2C2C2C"/>
                <w:sz w:val="20"/>
                <w:szCs w:val="20"/>
              </w:rPr>
              <w:t xml:space="preserve">UK postcodes are not a protected characteristic. But they can be a proxy for one. Any model that makes decisions affecting access to financial products must be assessed for proxy discrimination risk — not just direct bias. This analysis was not in NorthStar's standard model review process before this incident. It is now.</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E8449" w:sz="16"/>
              <w:bottom w:val="single" w:color="CCCCCC" w:sz="1"/>
              <w:right w:val="single" w:color="CCCCCC" w:sz="1"/>
            </w:tcBorders>
            <w:shd w:fill="EAF6EE" w:val="clear"/>
            <w:tcMar>
              <w:top w:type="dxa" w:w="120"/>
              <w:left w:type="dxa" w:w="200"/>
              <w:bottom w:type="dxa" w:w="120"/>
              <w:right w:type="dxa" w:w="200"/>
            </w:tcMar>
          </w:tcPr>
          <w:p>
            <w:pPr>
              <w:spacing w:after="60"/>
            </w:pPr>
            <w:r>
              <w:rPr>
                <w:rFonts w:ascii="Arial" w:cs="Arial" w:eastAsia="Arial" w:hAnsi="Arial"/>
                <w:b/>
                <w:bCs/>
                <w:color w:val="1E8449"/>
                <w:sz w:val="20"/>
                <w:szCs w:val="20"/>
              </w:rPr>
              <w:t xml:space="preserve">Lesson 3: Training data must reflect who your customers will be — not who they were.</w:t>
            </w:r>
          </w:p>
          <w:p>
            <w:r>
              <w:rPr>
                <w:rFonts w:ascii="Arial" w:cs="Arial" w:eastAsia="Arial" w:hAnsi="Arial"/>
                <w:color w:val="2C2C2C"/>
                <w:sz w:val="20"/>
                <w:szCs w:val="20"/>
              </w:rPr>
              <w:t xml:space="preserve">CreditScore Pro was trained on 2019–2021 applicants. Post-pandemic migration patterns changed NorthStar's applicant profile significantly. The model was not wrong about the customers it had seen. It was wrong about the customers it had not. Annual retraining with demographic coverage analysis is now a mandatory requirement before any model is approved for continued deployment.</w:t>
            </w:r>
          </w:p>
        </w:tc>
      </w:tr>
    </w:tbl>
    <w:p>
      <w:pPr>
        <w:spacing w:after="160" w:before="0"/>
      </w:pPr>
    </w:p>
    <w:p>
      <w:pPr>
        <w:pStyle w:val="Heading2"/>
        <w:spacing w:after="100" w:before="280"/>
      </w:pPr>
      <w:r>
        <w:rPr>
          <w:rFonts w:ascii="Arial" w:cs="Arial" w:eastAsia="Arial" w:hAnsi="Arial"/>
          <w:b/>
          <w:bCs/>
          <w:color w:val="2E5FA3"/>
          <w:sz w:val="24"/>
          <w:szCs w:val="24"/>
        </w:rPr>
        <w:t xml:space="preserve">B.7  What This Teaches About Real AI Governance</w:t>
      </w:r>
    </w:p>
    <w:p>
      <w:pPr>
        <w:spacing w:after="120" w:before="60"/>
      </w:pPr>
      <w:r>
        <w:rPr>
          <w:rFonts w:ascii="Arial" w:cs="Arial" w:eastAsia="Arial" w:hAnsi="Arial"/>
          <w:color w:val="2C2C2C"/>
          <w:sz w:val="22"/>
          <w:szCs w:val="22"/>
        </w:rPr>
        <w:t xml:space="preserve">Model drift is not a dramatic failure. There is no error message. No system crash. No obvious moment of catastrophe. The model keeps running. It keeps producing scores. It keeps looking professional. And for six months, it quietly made worse decisions about a specific group of people — and nobody noticed because the monitoring reports were being filed rather than read.</w:t>
      </w:r>
    </w:p>
    <w:p>
      <w:pPr>
        <w:spacing w:after="120" w:before="60"/>
      </w:pPr>
      <w:r>
        <w:rPr>
          <w:rFonts w:ascii="Arial" w:cs="Arial" w:eastAsia="Arial" w:hAnsi="Arial"/>
          <w:color w:val="2C2C2C"/>
          <w:sz w:val="22"/>
          <w:szCs w:val="22"/>
        </w:rPr>
        <w:t xml:space="preserve">This is why the EU AI Act requires continuous monitoring for High Risk systems, not just pre-deployment testing. A model can be perfectly calibrated on launch day and measurably discriminatory six months later. The governance obligation does not end at go-live. It is permanent.</w:t>
      </w:r>
    </w:p>
    <w:p>
      <w:pPr>
        <w:spacing w:after="120" w:before="60"/>
      </w:pPr>
      <w:r>
        <w:rPr>
          <w:rFonts w:ascii="Arial" w:cs="Arial" w:eastAsia="Arial" w:hAnsi="Arial"/>
          <w:color w:val="2C2C2C"/>
          <w:sz w:val="22"/>
          <w:szCs w:val="22"/>
        </w:rPr>
        <w:t xml:space="preserve">The human review layer in this case did real work — it prevented 180 decisions per month from being issued without oversight during the six-week retraining period. That is what human-in-the-loop means in practice. Not a rubber stamp. An actual check.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8910" w:val="clear"/>
            <w:tcMar>
              <w:top w:type="dxa" w:w="200"/>
              <w:left w:type="dxa" w:w="280"/>
              <w:bottom w:type="dxa" w:w="160"/>
              <w:right w:type="dxa" w:w="280"/>
            </w:tcMar>
          </w:tcPr>
          <w:p>
            <w:r>
              <w:rPr>
                <w:rFonts w:ascii="Arial" w:cs="Arial" w:eastAsia="Arial" w:hAnsi="Arial"/>
                <w:b/>
                <w:bCs/>
                <w:color w:val="FFFFFF"/>
                <w:sz w:val="18"/>
                <w:szCs w:val="18"/>
              </w:rPr>
              <w:t xml:space="preserve">SCENARIO C  |  NS-INC-2024-003</w:t>
            </w:r>
          </w:p>
          <w:p>
            <w:pPr>
              <w:spacing w:before="60"/>
            </w:pPr>
            <w:r>
              <w:rPr>
                <w:rFonts w:ascii="Arial" w:cs="Arial" w:eastAsia="Arial" w:hAnsi="Arial"/>
                <w:b/>
                <w:bCs/>
                <w:color w:val="FFFFFF"/>
                <w:sz w:val="32"/>
                <w:szCs w:val="32"/>
              </w:rPr>
              <w:t xml:space="preserve">SupportBot Aria AI Disclosure Failure</w:t>
            </w:r>
          </w:p>
          <w:p>
            <w:pPr>
              <w:spacing w:before="80"/>
            </w:pPr>
            <w:r>
              <w:rPr>
                <w:rFonts w:ascii="Arial" w:cs="Arial" w:eastAsia="Arial" w:hAnsi="Arial"/>
                <w:color w:val="D0DFEE"/>
                <w:sz w:val="18"/>
                <w:szCs w:val="18"/>
              </w:rPr>
              <w:t xml:space="preserve">System: NS-AI-004 SupportBot Aria  |  Limited Risk  |  Article 52</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Incident ID</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NS-INC-2024-003</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Date Detected</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08 February 2024</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System</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NS-AI-004 SupportBot Aria</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Risk Classification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Limited Risk — Article 52 Transparency Obligation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P3 — Medium (escalated briefly to P2 pending scope assessment)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Regulatory Exposure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Article 52 breach confirmed. Article 73 threshold not met.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Resolution Date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29 February 2024</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Lead Investigator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Head of Digital Products  |  Head of AI Governance</w:t>
            </w:r>
          </w:p>
        </w:tc>
      </w:tr>
    </w:tbl>
    <w:p>
      <w:pPr>
        <w:spacing w:after="200" w:before="0"/>
      </w:pPr>
    </w:p>
    <w:p>
      <w:pPr>
        <w:pStyle w:val="Heading2"/>
        <w:spacing w:after="100" w:before="280"/>
      </w:pPr>
      <w:r>
        <w:rPr>
          <w:rFonts w:ascii="Arial" w:cs="Arial" w:eastAsia="Arial" w:hAnsi="Arial"/>
          <w:b/>
          <w:bCs/>
          <w:color w:val="2E5FA3"/>
          <w:sz w:val="24"/>
          <w:szCs w:val="24"/>
        </w:rPr>
        <w:t xml:space="preserve">C.1  Background and Context</w:t>
      </w:r>
    </w:p>
    <w:p>
      <w:pPr>
        <w:spacing w:after="120" w:before="60"/>
      </w:pPr>
      <w:r>
        <w:rPr>
          <w:rFonts w:ascii="Arial" w:cs="Arial" w:eastAsia="Arial" w:hAnsi="Arial"/>
          <w:color w:val="2C2C2C"/>
          <w:sz w:val="22"/>
          <w:szCs w:val="22"/>
        </w:rPr>
        <w:t xml:space="preserve">SupportBot Aria handles customer service queries across NorthStar's digital channels — web browser chat, the NorthStar mobile application (iOS and Android), and WhatsApp. It manages approximately 3,200 conversations per day: account balance queries, transaction disputes, loan repayment questions, and complaint intake.</w:t>
      </w:r>
    </w:p>
    <w:p>
      <w:pPr>
        <w:spacing w:after="120" w:before="60"/>
      </w:pPr>
      <w:r>
        <w:rPr>
          <w:rFonts w:ascii="Arial" w:cs="Arial" w:eastAsia="Arial" w:hAnsi="Arial"/>
          <w:color w:val="2C2C2C"/>
          <w:sz w:val="22"/>
          <w:szCs w:val="22"/>
        </w:rPr>
        <w:t xml:space="preserve">Article 52 of the EU AI Act is straightforward: if a customer is talking to an AI system, they must be told. This is not an ambiguous obligation. It does not require a conformity assessment or a complex risk calculation. It requires a disclosure notice at the start of every conversation.</w:t>
      </w:r>
    </w:p>
    <w:p>
      <w:pPr>
        <w:spacing w:after="120" w:before="60"/>
      </w:pPr>
      <w:r>
        <w:rPr>
          <w:rFonts w:ascii="Arial" w:cs="Arial" w:eastAsia="Arial" w:hAnsi="Arial"/>
          <w:color w:val="2C2C2C"/>
          <w:sz w:val="22"/>
          <w:szCs w:val="22"/>
        </w:rPr>
        <w:t xml:space="preserve">NorthStar implemented the disclosure correctly on the web browser version of Aria in May 2023. The notice reads: 'You are chatting with Aria, an AI assistant. You can request to speak with a human agent at any time.' What nobody verified was whether the same notice was rendering on the mobile application.</w:t>
      </w:r>
    </w:p>
    <w:p>
      <w:pPr>
        <w:spacing w:after="120" w:before="60"/>
      </w:pPr>
      <w:r>
        <w:rPr>
          <w:rFonts w:ascii="Arial" w:cs="Arial" w:eastAsia="Arial" w:hAnsi="Arial"/>
          <w:color w:val="2C2C2C"/>
          <w:sz w:val="22"/>
          <w:szCs w:val="22"/>
        </w:rPr>
        <w:t xml:space="preserve">It was not. For nine months, every customer who opened a support chat on the NorthStar mobile app was talking to an AI without being told.</w:t>
      </w:r>
    </w:p>
    <w:p>
      <w:pPr>
        <w:spacing w:after="120" w:before="0"/>
      </w:pPr>
    </w:p>
    <w:p>
      <w:pPr>
        <w:pStyle w:val="Heading2"/>
        <w:spacing w:after="100" w:before="280"/>
      </w:pPr>
      <w:r>
        <w:rPr>
          <w:rFonts w:ascii="Arial" w:cs="Arial" w:eastAsia="Arial" w:hAnsi="Arial"/>
          <w:b/>
          <w:bCs/>
          <w:color w:val="2E5FA3"/>
          <w:sz w:val="24"/>
          <w:szCs w:val="24"/>
        </w:rPr>
        <w:t xml:space="preserve">C.2  Incident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TIMESTAMP</w:t>
            </w:r>
          </w:p>
        </w:tc>
        <w:tc>
          <w:tcPr>
            <w:tcW w:type="dxa" w:w="7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EVENT</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08 Feb 2024
10:22</w:t>
            </w:r>
          </w:p>
        </w:tc>
        <w:tc>
          <w:tcPr>
            <w:tcW w:type="dxa" w:w="7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NorthStar receives a formal complaint via the Dutch Authority for the Financial Markets (AFM) customer notification portal. A customer — identified only as reference AFM-2024-NS-0041 — states they had a distressing conversation with what they believed was a human NorthStar agent about a payment dispute. They later discovered from a family member familiar with AI chatbots that they had been speaking to an AI. They state they would not have shared personal financial information in the same way had they known.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08 Feb 2024
14:00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Complaint routed to Head of Compliance. Head of Compliance contacts Head of Digital Products and Head of AI Governance. First question asked: does the mobile app show the AI disclosure notice?</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08 Feb 2024
15:30</w:t>
            </w:r>
          </w:p>
        </w:tc>
        <w:tc>
          <w:tcPr>
            <w:tcW w:type="dxa" w:w="7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Head of Digital Products tests the mobile app. No disclosure notice appears at the start of Aria conversations on iOS or Android. The disclosure was implemented in the web SDK but was not ported to the mobile SDK during the May 2023 deployment. A code review shows the disclosure component was marked as 'web-only' in the deployment specification — an error in the original technical requirement document.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08 Feb 2024
17:00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Incident classified P3 — Medium. Reasoning: no High Risk system involved, no financial harm identified, no evidence of widespread harm beyond the one complaint. However, the team is uncertain about the scale — how many customers have used mobile Aria since May 2023?</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09 Feb 2024
09:00</w:t>
            </w:r>
          </w:p>
        </w:tc>
        <w:tc>
          <w:tcPr>
            <w:tcW w:type="dxa" w:w="7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Analytics team pulls mobile Aria usage data. Since May 2023: 287,400 conversations on the mobile app. All were with customers who received no AI disclosure.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09 Feb 2024
11:00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Severity briefly escalated to P2 given the scale of affected customers. After discussion, returned to P3 — the EU AI Act Article 52 breach is real but the harm per interaction is assessed as low. There is no financial loss, no data breach, no automated adverse decision. The escalation logic in NS-IRP-AI-001 anchors severity to harm, not volume alone.</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09 Feb 2024
14:00</w:t>
            </w:r>
          </w:p>
        </w:tc>
        <w:tc>
          <w:tcPr>
            <w:tcW w:type="dxa" w:w="7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Emergency fix scoped with mobile development team. The disclosure notice needs to be added to both iOS and Android Aria entry points. Development estimate: 3 days to build and test, 2 days for app store 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12 Feb 2024
–</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Article 73 assessment completed by Legal. Conclusion: Article 73 threshold not met. The disclosure failure is a transparency obligation breach under Article 52 — it does not constitute a 'serious incident' in the Article 73 sense because no individual suffered harm from an automated decision without recourse.</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14 Feb 2024
–</w:t>
            </w:r>
          </w:p>
        </w:tc>
        <w:tc>
          <w:tcPr>
            <w:tcW w:type="dxa" w:w="7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AFM formally notified of the Article 52 breach, the root cause, the scale, and the remediation timeline. Notification sent proactively — not because Article 73 required it, but because NorthStar's legal team judged that voluntary disclosure to the regulator was the correct posture given the scale of the breach.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19 Feb 2024
–</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Fixed app version submitted to Apple App Store and Google Play Store. Disclosure notice now renders at the start of every Aria conversation on all mobile platforms.</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29 Feb 2024
–</w:t>
            </w:r>
          </w:p>
        </w:tc>
        <w:tc>
          <w:tcPr>
            <w:tcW w:type="dxa" w:w="7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App store updates approved and live. Automated compliance check implemented: QA team to test AI disclosure rendering on all platforms during every deployment cycle. Incident closed.</w:t>
            </w:r>
          </w:p>
        </w:tc>
      </w:tr>
    </w:tbl>
    <w:p>
      <w:pPr>
        <w:spacing w:after="200" w:before="0"/>
      </w:pPr>
    </w:p>
    <w:p>
      <w:pPr>
        <w:pStyle w:val="Heading2"/>
        <w:spacing w:after="100" w:before="280"/>
      </w:pPr>
      <w:r>
        <w:rPr>
          <w:rFonts w:ascii="Arial" w:cs="Arial" w:eastAsia="Arial" w:hAnsi="Arial"/>
          <w:b/>
          <w:bCs/>
          <w:color w:val="2E5FA3"/>
          <w:sz w:val="24"/>
          <w:szCs w:val="24"/>
        </w:rPr>
        <w:t xml:space="preserve">C.3  Severity Classification and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8910"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P3 — MEDIUM  —  Significant but Non-Emergency Response Required</w:t>
            </w:r>
          </w:p>
        </w:tc>
      </w:tr>
    </w:tbl>
    <w:p>
      <w:pPr>
        <w:spacing w:after="160" w:before="0"/>
      </w:pPr>
    </w:p>
    <w:p>
      <w:pPr>
        <w:spacing w:after="120" w:before="60"/>
      </w:pPr>
      <w:r>
        <w:rPr>
          <w:rFonts w:ascii="Arial" w:cs="Arial" w:eastAsia="Arial" w:hAnsi="Arial"/>
          <w:color w:val="2C2C2C"/>
          <w:sz w:val="22"/>
          <w:szCs w:val="22"/>
        </w:rPr>
        <w:t xml:space="preserve">The P3 classification — with the brief P2 escalation — was correctly handled. The logic deserves explaining because volume alone is tempting bait for over-classification.</w:t>
      </w:r>
    </w:p>
    <w:p>
      <w:pPr>
        <w:spacing w:after="120" w:before="60"/>
      </w:pPr>
      <w:r>
        <w:rPr>
          <w:rFonts w:ascii="Arial" w:cs="Arial" w:eastAsia="Arial" w:hAnsi="Arial"/>
          <w:color w:val="2C2C2C"/>
          <w:sz w:val="22"/>
          <w:szCs w:val="22"/>
        </w:rPr>
        <w:t xml:space="preserve">287,400 affected conversations sounds catastrophic. But severity in the NorthStar framework is anchored to harm per individual — not total volume. Each customer in those 287,400 conversations experienced a chat interaction where they were not told they were speaking to an AI. Some of those customers may have felt deceived. One filed a formal complaint. But no one received an automated adverse credit decision, no one lost money, and no one was denied a service they were entitled to.</w:t>
      </w:r>
    </w:p>
    <w:p>
      <w:pPr>
        <w:spacing w:after="120" w:before="60"/>
      </w:pPr>
      <w:r>
        <w:rPr>
          <w:rFonts w:ascii="Arial" w:cs="Arial" w:eastAsia="Arial" w:hAnsi="Arial"/>
          <w:color w:val="2C2C2C"/>
          <w:sz w:val="22"/>
          <w:szCs w:val="22"/>
        </w:rPr>
        <w:t xml:space="preserve">The brief P2 escalation on 9 February was a reasonable response to the shock of seeing six-figure volume numbers. The decision to return to P3 was correct and well-reasoned. P2 requires active harm or imminent regulatory enforcement action — neither was present once the disclosure fix was in progress.</w:t>
      </w:r>
    </w:p>
    <w:p>
      <w:pPr>
        <w:spacing w:after="160" w:before="0"/>
      </w:pPr>
    </w:p>
    <w:p>
      <w:pPr>
        <w:pStyle w:val="Heading2"/>
        <w:spacing w:after="100" w:before="280"/>
      </w:pPr>
      <w:r>
        <w:rPr>
          <w:rFonts w:ascii="Arial" w:cs="Arial" w:eastAsia="Arial" w:hAnsi="Arial"/>
          <w:b/>
          <w:bCs/>
          <w:color w:val="2E5FA3"/>
          <w:sz w:val="24"/>
          <w:szCs w:val="24"/>
        </w:rPr>
        <w:t xml:space="preserve">C.4  Article 52 Breach — The Regulatory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C0392B" w:sz="16"/>
              <w:bottom w:val="single" w:color="2E5FA3" w:sz="1"/>
              <w:right w:val="single" w:color="2E5FA3" w:sz="1"/>
            </w:tcBorders>
            <w:shd w:fill="FFF8EC" w:val="clear"/>
            <w:tcMar>
              <w:top w:type="dxa" w:w="120"/>
              <w:left w:type="dxa" w:w="200"/>
              <w:bottom w:type="dxa" w:w="120"/>
              <w:right w:type="dxa" w:w="200"/>
            </w:tcMar>
          </w:tcPr>
          <w:p>
            <w:pPr>
              <w:spacing w:after="60"/>
            </w:pPr>
            <w:r>
              <w:rPr>
                <w:rFonts w:ascii="Arial" w:cs="Arial" w:eastAsia="Arial" w:hAnsi="Arial"/>
                <w:b/>
                <w:bCs/>
                <w:color w:val="1B3A6B"/>
                <w:sz w:val="20"/>
                <w:szCs w:val="20"/>
              </w:rPr>
              <w:t xml:space="preserve">CONFIRMED ARTICLE 52 BREACH — Proactive Disclosure to AFM</w:t>
            </w:r>
          </w:p>
          <w:p>
            <w:r>
              <w:rPr>
                <w:rFonts w:ascii="Arial" w:cs="Arial" w:eastAsia="Arial" w:hAnsi="Arial"/>
                <w:color w:val="2C2C2C"/>
                <w:sz w:val="20"/>
                <w:szCs w:val="20"/>
              </w:rPr>
              <w:t xml:space="preserve">Article 52(1) of the EU AI Act requires that persons interacting with AI systems are informed they are interacting with an AI. NorthStar failed this obligation across 287,400 mobile conversations between May 2023 and February 2024. This is a confirmed breach. The decision to proactively notify AFM was the right call — regulators respond significantly better to voluntary disclosure than to discovered non-compliance. NorthStar's notification letter to AFM documented the breach, the root cause (deployment specification error), the scale, and the full remediation timeline. This positions NorthStar as a good-faith regulated entity. It does not eliminate regulatory risk, but it substantially reduces it.</w:t>
            </w:r>
          </w:p>
        </w:tc>
      </w:tr>
    </w:tbl>
    <w:p>
      <w:pPr>
        <w:spacing w:after="160" w:before="0"/>
      </w:pPr>
    </w:p>
    <w:p>
      <w:pPr>
        <w:pStyle w:val="Heading2"/>
        <w:spacing w:after="100" w:before="280"/>
      </w:pPr>
      <w:r>
        <w:rPr>
          <w:rFonts w:ascii="Arial" w:cs="Arial" w:eastAsia="Arial" w:hAnsi="Arial"/>
          <w:b/>
          <w:bCs/>
          <w:color w:val="2E5FA3"/>
          <w:sz w:val="24"/>
          <w:szCs w:val="24"/>
        </w:rPr>
        <w:t xml:space="preserve">C.5  Remediation Actions</w:t>
      </w:r>
    </w:p>
    <w:p>
      <w:pPr>
        <w:pStyle w:val="ListParagraph"/>
        <w:numPr>
          <w:ilvl w:val="0"/>
          <w:numId w:val="2"/>
        </w:numPr>
        <w:spacing w:after="60" w:before="40"/>
      </w:pPr>
      <w:r>
        <w:rPr>
          <w:rFonts w:ascii="Arial" w:cs="Arial" w:eastAsia="Arial" w:hAnsi="Arial"/>
          <w:color w:val="2C2C2C"/>
          <w:sz w:val="22"/>
          <w:szCs w:val="22"/>
        </w:rPr>
        <w:t xml:space="preserve">AI disclosure notice deployed to iOS and Android Aria entry points — live from 29 February 2024.</w:t>
      </w:r>
    </w:p>
    <w:p>
      <w:pPr>
        <w:pStyle w:val="ListParagraph"/>
        <w:numPr>
          <w:ilvl w:val="0"/>
          <w:numId w:val="2"/>
        </w:numPr>
        <w:spacing w:after="60" w:before="40"/>
      </w:pPr>
      <w:r>
        <w:rPr>
          <w:rFonts w:ascii="Arial" w:cs="Arial" w:eastAsia="Arial" w:hAnsi="Arial"/>
          <w:color w:val="2C2C2C"/>
          <w:sz w:val="22"/>
          <w:szCs w:val="22"/>
        </w:rPr>
        <w:t xml:space="preserve">Disclosure verification added to QA checklist for all NorthStar digital product deployments — mandatory sign-off required before any release.</w:t>
      </w:r>
    </w:p>
    <w:p>
      <w:pPr>
        <w:pStyle w:val="ListParagraph"/>
        <w:numPr>
          <w:ilvl w:val="0"/>
          <w:numId w:val="2"/>
        </w:numPr>
        <w:spacing w:after="60" w:before="40"/>
      </w:pPr>
      <w:r>
        <w:rPr>
          <w:rFonts w:ascii="Arial" w:cs="Arial" w:eastAsia="Arial" w:hAnsi="Arial"/>
          <w:color w:val="2C2C2C"/>
          <w:sz w:val="22"/>
          <w:szCs w:val="22"/>
        </w:rPr>
        <w:t xml:space="preserve">Post-deployment compliance test added: Head of AI Governance to personally verify disclosure rendering on all active Aria channels following any system update.</w:t>
      </w:r>
    </w:p>
    <w:p>
      <w:pPr>
        <w:pStyle w:val="ListParagraph"/>
        <w:numPr>
          <w:ilvl w:val="0"/>
          <w:numId w:val="2"/>
        </w:numPr>
        <w:spacing w:after="60" w:before="40"/>
      </w:pPr>
      <w:r>
        <w:rPr>
          <w:rFonts w:ascii="Arial" w:cs="Arial" w:eastAsia="Arial" w:hAnsi="Arial"/>
          <w:color w:val="2C2C2C"/>
          <w:sz w:val="22"/>
          <w:szCs w:val="22"/>
        </w:rPr>
        <w:t xml:space="preserve">AFM formally notified with full incident documentation on 14 February 2024.</w:t>
      </w:r>
    </w:p>
    <w:p>
      <w:pPr>
        <w:pStyle w:val="ListParagraph"/>
        <w:numPr>
          <w:ilvl w:val="0"/>
          <w:numId w:val="2"/>
        </w:numPr>
        <w:spacing w:after="60" w:before="40"/>
      </w:pPr>
      <w:r>
        <w:rPr>
          <w:rFonts w:ascii="Arial" w:cs="Arial" w:eastAsia="Arial" w:hAnsi="Arial"/>
          <w:color w:val="2C2C2C"/>
          <w:sz w:val="22"/>
          <w:szCs w:val="22"/>
        </w:rPr>
        <w:t xml:space="preserve">Customer AFM-2024-NS-0041 contacted directly by Head of Customer Relations. Formal apology issued. Complaint resolved.</w:t>
      </w:r>
    </w:p>
    <w:p>
      <w:pPr>
        <w:pStyle w:val="ListParagraph"/>
        <w:numPr>
          <w:ilvl w:val="0"/>
          <w:numId w:val="2"/>
        </w:numPr>
        <w:spacing w:after="60" w:before="40"/>
      </w:pPr>
      <w:r>
        <w:rPr>
          <w:rFonts w:ascii="Arial" w:cs="Arial" w:eastAsia="Arial" w:hAnsi="Arial"/>
          <w:color w:val="2C2C2C"/>
          <w:sz w:val="22"/>
          <w:szCs w:val="22"/>
        </w:rPr>
        <w:t xml:space="preserve">Aria deployment specification template updated — disclosure component now listed as a mandatory cross-platform requirement, not a channel-specific option.</w:t>
      </w:r>
    </w:p>
    <w:p>
      <w:pPr>
        <w:spacing w:after="160" w:before="0"/>
      </w:pPr>
    </w:p>
    <w:p>
      <w:pPr>
        <w:pStyle w:val="Heading2"/>
        <w:spacing w:after="100" w:before="280"/>
      </w:pPr>
      <w:r>
        <w:rPr>
          <w:rFonts w:ascii="Arial" w:cs="Arial" w:eastAsia="Arial" w:hAnsi="Arial"/>
          <w:b/>
          <w:bCs/>
          <w:color w:val="2E5FA3"/>
          <w:sz w:val="24"/>
          <w:szCs w:val="24"/>
        </w:rPr>
        <w:t xml:space="preserve">C.6  Lessons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E8449" w:sz="16"/>
              <w:bottom w:val="single" w:color="CCCCCC" w:sz="1"/>
              <w:right w:val="single" w:color="CCCCCC" w:sz="1"/>
            </w:tcBorders>
            <w:shd w:fill="EAF6EE" w:val="clear"/>
            <w:tcMar>
              <w:top w:type="dxa" w:w="120"/>
              <w:left w:type="dxa" w:w="200"/>
              <w:bottom w:type="dxa" w:w="120"/>
              <w:right w:type="dxa" w:w="200"/>
            </w:tcMar>
          </w:tcPr>
          <w:p>
            <w:pPr>
              <w:spacing w:after="60"/>
            </w:pPr>
            <w:r>
              <w:rPr>
                <w:rFonts w:ascii="Arial" w:cs="Arial" w:eastAsia="Arial" w:hAnsi="Arial"/>
                <w:b/>
                <w:bCs/>
                <w:color w:val="1E8449"/>
                <w:sz w:val="20"/>
                <w:szCs w:val="20"/>
              </w:rPr>
              <w:t xml:space="preserve">Lesson 1: 'Working on web' does not mean 'working everywhere.'</w:t>
            </w:r>
          </w:p>
          <w:p>
            <w:r>
              <w:rPr>
                <w:rFonts w:ascii="Arial" w:cs="Arial" w:eastAsia="Arial" w:hAnsi="Arial"/>
                <w:color w:val="2C2C2C"/>
                <w:sz w:val="20"/>
                <w:szCs w:val="20"/>
              </w:rPr>
              <w:t xml:space="preserve">The disclosure was implemented correctly in one channel and never verified in the others. This is a product deployment failure, not an AI governance failure — but AI Governance should have caught it during the post-deployment review. A 30-second manual test on the mobile app in May 2023 would have closed this incident before it opened.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E8449" w:sz="16"/>
              <w:bottom w:val="single" w:color="CCCCCC" w:sz="1"/>
              <w:right w:val="single" w:color="CCCCCC" w:sz="1"/>
            </w:tcBorders>
            <w:shd w:fill="EAF6EE" w:val="clear"/>
            <w:tcMar>
              <w:top w:type="dxa" w:w="120"/>
              <w:left w:type="dxa" w:w="200"/>
              <w:bottom w:type="dxa" w:w="120"/>
              <w:right w:type="dxa" w:w="200"/>
            </w:tcMar>
          </w:tcPr>
          <w:p>
            <w:pPr>
              <w:spacing w:after="60"/>
            </w:pPr>
            <w:r>
              <w:rPr>
                <w:rFonts w:ascii="Arial" w:cs="Arial" w:eastAsia="Arial" w:hAnsi="Arial"/>
                <w:b/>
                <w:bCs/>
                <w:color w:val="1E8449"/>
                <w:sz w:val="20"/>
                <w:szCs w:val="20"/>
              </w:rPr>
              <w:t xml:space="preserve">Lesson 2: Article 52 compliance is simple — which makes failures embarrassing.</w:t>
            </w:r>
          </w:p>
          <w:p>
            <w:r>
              <w:rPr>
                <w:rFonts w:ascii="Arial" w:cs="Arial" w:eastAsia="Arial" w:hAnsi="Arial"/>
                <w:color w:val="2C2C2C"/>
                <w:sz w:val="20"/>
                <w:szCs w:val="20"/>
              </w:rPr>
              <w:t xml:space="preserve">This is not a complex technical obligation. It is a notice. It must appear. Checking that it appears requires no specialised expertise. The fact that this ran for nine months unchecked reflects the absence of a routine compliance verification process for deployed systems. That gap is now closed.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E8449" w:sz="16"/>
              <w:bottom w:val="single" w:color="CCCCCC" w:sz="1"/>
              <w:right w:val="single" w:color="CCCCCC" w:sz="1"/>
            </w:tcBorders>
            <w:shd w:fill="EAF6EE" w:val="clear"/>
            <w:tcMar>
              <w:top w:type="dxa" w:w="120"/>
              <w:left w:type="dxa" w:w="200"/>
              <w:bottom w:type="dxa" w:w="120"/>
              <w:right w:type="dxa" w:w="200"/>
            </w:tcMar>
          </w:tcPr>
          <w:p>
            <w:pPr>
              <w:spacing w:after="60"/>
            </w:pPr>
            <w:r>
              <w:rPr>
                <w:rFonts w:ascii="Arial" w:cs="Arial" w:eastAsia="Arial" w:hAnsi="Arial"/>
                <w:b/>
                <w:bCs/>
                <w:color w:val="1E8449"/>
                <w:sz w:val="20"/>
                <w:szCs w:val="20"/>
              </w:rPr>
              <w:t xml:space="preserve">Lesson 3: Proactive disclosure to regulators is a posture, not just a decision.</w:t>
            </w:r>
          </w:p>
          <w:p>
            <w:r>
              <w:rPr>
                <w:rFonts w:ascii="Arial" w:cs="Arial" w:eastAsia="Arial" w:hAnsi="Arial"/>
                <w:color w:val="2C2C2C"/>
                <w:sz w:val="20"/>
                <w:szCs w:val="20"/>
              </w:rPr>
              <w:t xml:space="preserve">NorthStar was not required to notify AFM under Article 73. The legal team chose to do so anyway. This is the right governance culture — transparency with regulators, especially when the breach is self-discovered. It is also strategically sensible. Regulators who find breaches themselves are significantly less forgiving than regulators who receive honest disclosures.</w:t>
            </w:r>
          </w:p>
        </w:tc>
      </w:tr>
    </w:tbl>
    <w:p>
      <w:pPr>
        <w:spacing w:after="160" w:before="0"/>
      </w:pPr>
    </w:p>
    <w:p>
      <w:pPr>
        <w:pStyle w:val="Heading2"/>
        <w:spacing w:after="100" w:before="280"/>
      </w:pPr>
      <w:r>
        <w:rPr>
          <w:rFonts w:ascii="Arial" w:cs="Arial" w:eastAsia="Arial" w:hAnsi="Arial"/>
          <w:b/>
          <w:bCs/>
          <w:color w:val="2E5FA3"/>
          <w:sz w:val="24"/>
          <w:szCs w:val="24"/>
        </w:rPr>
        <w:t xml:space="preserve">C.7  What This Teaches About Real AI Governance</w:t>
      </w:r>
    </w:p>
    <w:p>
      <w:pPr>
        <w:spacing w:after="120" w:before="60"/>
      </w:pPr>
      <w:r>
        <w:rPr>
          <w:rFonts w:ascii="Arial" w:cs="Arial" w:eastAsia="Arial" w:hAnsi="Arial"/>
          <w:color w:val="2C2C2C"/>
          <w:sz w:val="22"/>
          <w:szCs w:val="22"/>
        </w:rPr>
        <w:t xml:space="preserve">This incident is a Board-level embarrassment, not a Board-level crisis. The distinction matters. NorthStar was not harming people in a systematic way. It was failing a basic transparency obligation at scale. That is fixable, and it was fixed. But the reputational question lingers: if NorthStar missed a nine-month disclosure failure on its lowest-risk AI system, what else is it missing on its High Risk systems?</w:t>
      </w:r>
    </w:p>
    <w:p>
      <w:pPr>
        <w:spacing w:after="120" w:before="60"/>
      </w:pPr>
      <w:r>
        <w:rPr>
          <w:rFonts w:ascii="Arial" w:cs="Arial" w:eastAsia="Arial" w:hAnsi="Arial"/>
          <w:color w:val="2C2C2C"/>
          <w:sz w:val="22"/>
          <w:szCs w:val="22"/>
        </w:rPr>
        <w:t xml:space="preserve">That is the question the Board should be asking. Not 'how did this happen to Aria' — but 'how confident are we that our monitoring processes would catch an equivalent failure on CreditScore Pro or TalentMatch?' The answer, before the governance programme work of 2024, was: not confident at all.</w:t>
      </w:r>
    </w:p>
    <w:p>
      <w:pPr>
        <w:spacing w:after="120" w:before="60"/>
      </w:pPr>
      <w:r>
        <w:rPr>
          <w:rFonts w:ascii="Arial" w:cs="Arial" w:eastAsia="Arial" w:hAnsi="Arial"/>
          <w:color w:val="2C2C2C"/>
          <w:sz w:val="22"/>
          <w:szCs w:val="22"/>
        </w:rPr>
        <w:t xml:space="preserve">Article 52 exists because the right to know you are talking to an AI is foundational to informed consent. It is not a technical requirement — it is an ethical one. NorthStar understands this now. The lesson cost nine months of non-compliance and one formal regulatory complaint. In the context of the EU AI Act enforcement environment coming in 2025, that is a cheap lesson.</w:t>
      </w:r>
    </w:p>
    <w:p>
      <w:r>
        <w:br w:type="page"/>
      </w:r>
    </w:p>
    <w:p>
      <w:pPr>
        <w:pStyle w:val="Heading1"/>
        <w:pBdr>
          <w:bottom w:val="single" w:color="1B3A6B" w:sz="8" w:space="6"/>
        </w:pBdr>
        <w:spacing w:after="120" w:before="360"/>
      </w:pPr>
      <w:r>
        <w:rPr>
          <w:rFonts w:ascii="Arial" w:cs="Arial" w:eastAsia="Arial" w:hAnsi="Arial"/>
          <w:b/>
          <w:bCs/>
          <w:color w:val="1B3A6B"/>
          <w:sz w:val="28"/>
          <w:szCs w:val="28"/>
        </w:rPr>
        <w:t xml:space="preserve">4.  Cross-Scenario Summary — What These Three Incidents Tell You</w:t>
      </w:r>
    </w:p>
    <w:p>
      <w:pPr>
        <w:spacing w:after="120" w:before="60"/>
      </w:pPr>
      <w:r>
        <w:rPr>
          <w:rFonts w:ascii="Arial" w:cs="Arial" w:eastAsia="Arial" w:hAnsi="Arial"/>
          <w:color w:val="2C2C2C"/>
          <w:sz w:val="22"/>
          <w:szCs w:val="22"/>
        </w:rPr>
        <w:t xml:space="preserve">Read together, these three incidents reveal a specific maturity profile for NorthStar at the start of 2024.</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8"/>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
            </w:r>
          </w:p>
        </w:tc>
        <w:tc>
          <w:tcPr>
            <w:tcW w:type="dxa" w:w="2386"/>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Scenario A
TalentMatch Bias</w:t>
            </w:r>
          </w:p>
        </w:tc>
        <w:tc>
          <w:tcPr>
            <w:tcW w:type="dxa" w:w="2386"/>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Scenario B
CreditScore Drift</w:t>
            </w:r>
          </w:p>
        </w:tc>
        <w:tc>
          <w:tcPr>
            <w:tcW w:type="dxa" w:w="2388"/>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Scenario C
Aria Disclosure</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B3A6B"/>
                <w:sz w:val="18"/>
                <w:szCs w:val="18"/>
              </w:rPr>
              <w:t xml:space="preserve">Risk Level</w:t>
            </w:r>
          </w:p>
        </w:tc>
        <w:tc>
          <w:tcPr>
            <w:tcW w:type="dxa" w:w="2386"/>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val="false"/>
                <w:bCs w:val="false"/>
                <w:color w:val="2C2C2C"/>
                <w:sz w:val="18"/>
                <w:szCs w:val="18"/>
              </w:rPr>
              <w:t xml:space="preserve">High Risk (P1)</w:t>
            </w:r>
          </w:p>
        </w:tc>
        <w:tc>
          <w:tcPr>
            <w:tcW w:type="dxa" w:w="2386"/>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val="false"/>
                <w:bCs w:val="false"/>
                <w:color w:val="2C2C2C"/>
                <w:sz w:val="18"/>
                <w:szCs w:val="18"/>
              </w:rPr>
              <w:t xml:space="preserve">High Risk (P2)</w:t>
            </w:r>
          </w:p>
        </w:tc>
        <w:tc>
          <w:tcPr>
            <w:tcW w:type="dxa" w:w="2388"/>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val="false"/>
                <w:bCs w:val="false"/>
                <w:color w:val="2C2C2C"/>
                <w:sz w:val="18"/>
                <w:szCs w:val="18"/>
              </w:rPr>
              <w:t xml:space="preserve">Limited Risk (P3)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6B"/>
                <w:sz w:val="18"/>
                <w:szCs w:val="18"/>
              </w:rPr>
              <w:t xml:space="preserve">Detection Method</w:t>
            </w:r>
          </w:p>
        </w:tc>
        <w:tc>
          <w:tcPr>
            <w:tcW w:type="dxa" w:w="238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External complaint</w:t>
            </w:r>
          </w:p>
        </w:tc>
        <w:tc>
          <w:tcPr>
            <w:tcW w:type="dxa" w:w="238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Internal data review</w:t>
            </w:r>
          </w:p>
        </w:tc>
        <w:tc>
          <w:tcPr>
            <w:tcW w:type="dxa" w:w="238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External complaint</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B3A6B"/>
                <w:sz w:val="18"/>
                <w:szCs w:val="18"/>
              </w:rPr>
              <w:t xml:space="preserve">Root Cause</w:t>
            </w:r>
          </w:p>
        </w:tc>
        <w:tc>
          <w:tcPr>
            <w:tcW w:type="dxa" w:w="2386"/>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val="false"/>
                <w:bCs w:val="false"/>
                <w:color w:val="2C2C2C"/>
                <w:sz w:val="18"/>
                <w:szCs w:val="18"/>
              </w:rPr>
              <w:t xml:space="preserve">Biased training data</w:t>
            </w:r>
          </w:p>
        </w:tc>
        <w:tc>
          <w:tcPr>
            <w:tcW w:type="dxa" w:w="2386"/>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val="false"/>
                <w:bCs w:val="false"/>
                <w:color w:val="2C2C2C"/>
                <w:sz w:val="18"/>
                <w:szCs w:val="18"/>
              </w:rPr>
              <w:t xml:space="preserve">Distributional shift</w:t>
            </w:r>
          </w:p>
        </w:tc>
        <w:tc>
          <w:tcPr>
            <w:tcW w:type="dxa" w:w="2388"/>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val="false"/>
                <w:bCs w:val="false"/>
                <w:color w:val="2C2C2C"/>
                <w:sz w:val="18"/>
                <w:szCs w:val="18"/>
              </w:rPr>
              <w:t xml:space="preserve">Deployment gap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6B"/>
                <w:sz w:val="18"/>
                <w:szCs w:val="18"/>
              </w:rPr>
              <w:t xml:space="preserve">Art. 73 Triggered?</w:t>
            </w:r>
          </w:p>
        </w:tc>
        <w:tc>
          <w:tcPr>
            <w:tcW w:type="dxa" w:w="238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Yes — 8.5h late</w:t>
            </w:r>
          </w:p>
        </w:tc>
        <w:tc>
          <w:tcPr>
            <w:tcW w:type="dxa" w:w="238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No</w:t>
            </w:r>
          </w:p>
        </w:tc>
        <w:tc>
          <w:tcPr>
            <w:tcW w:type="dxa" w:w="238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No</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B3A6B"/>
                <w:sz w:val="18"/>
                <w:szCs w:val="18"/>
              </w:rPr>
              <w:t xml:space="preserve">Scale of Impact</w:t>
            </w:r>
          </w:p>
        </w:tc>
        <w:tc>
          <w:tcPr>
            <w:tcW w:type="dxa" w:w="2386"/>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val="false"/>
                <w:bCs w:val="false"/>
                <w:color w:val="2C2C2C"/>
                <w:sz w:val="18"/>
                <w:szCs w:val="18"/>
              </w:rPr>
              <w:t xml:space="preserve">140 candidates</w:t>
            </w:r>
          </w:p>
        </w:tc>
        <w:tc>
          <w:tcPr>
            <w:tcW w:type="dxa" w:w="2386"/>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val="false"/>
                <w:bCs w:val="false"/>
                <w:color w:val="2C2C2C"/>
                <w:sz w:val="18"/>
                <w:szCs w:val="18"/>
              </w:rPr>
              <w:t xml:space="preserve">847 applicants</w:t>
            </w:r>
          </w:p>
        </w:tc>
        <w:tc>
          <w:tcPr>
            <w:tcW w:type="dxa" w:w="2388"/>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val="false"/>
                <w:bCs w:val="false"/>
                <w:color w:val="2C2C2C"/>
                <w:sz w:val="18"/>
                <w:szCs w:val="18"/>
              </w:rPr>
              <w:t xml:space="preserve">287,400 conversations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6B"/>
                <w:sz w:val="18"/>
                <w:szCs w:val="18"/>
              </w:rPr>
              <w:t xml:space="preserve">Key Failure</w:t>
            </w:r>
          </w:p>
        </w:tc>
        <w:tc>
          <w:tcPr>
            <w:tcW w:type="dxa" w:w="238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No conformity assessment in 26 months</w:t>
            </w:r>
          </w:p>
        </w:tc>
        <w:tc>
          <w:tcPr>
            <w:tcW w:type="dxa" w:w="238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Drift warnings not actioned</w:t>
            </w:r>
          </w:p>
        </w:tc>
        <w:tc>
          <w:tcPr>
            <w:tcW w:type="dxa" w:w="2388"/>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C"/>
                <w:sz w:val="18"/>
                <w:szCs w:val="18"/>
              </w:rPr>
              <w:t xml:space="preserve">No cross-channel verification</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bCs/>
                <w:color w:val="1B3A6B"/>
                <w:sz w:val="18"/>
                <w:szCs w:val="18"/>
              </w:rPr>
              <w:t xml:space="preserve">Key Fix</w:t>
            </w:r>
          </w:p>
        </w:tc>
        <w:tc>
          <w:tcPr>
            <w:tcW w:type="dxa" w:w="2386"/>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val="false"/>
                <w:bCs w:val="false"/>
                <w:color w:val="2C2C2C"/>
                <w:sz w:val="18"/>
                <w:szCs w:val="18"/>
              </w:rPr>
              <w:t xml:space="preserve">Suspend + external audit</w:t>
            </w:r>
          </w:p>
        </w:tc>
        <w:tc>
          <w:tcPr>
            <w:tcW w:type="dxa" w:w="2386"/>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val="false"/>
                <w:bCs w:val="false"/>
                <w:color w:val="2C2C2C"/>
                <w:sz w:val="18"/>
                <w:szCs w:val="18"/>
              </w:rPr>
              <w:t xml:space="preserve">Retrain + enhanced monitoring</w:t>
            </w:r>
          </w:p>
        </w:tc>
        <w:tc>
          <w:tcPr>
            <w:tcW w:type="dxa" w:w="2388"/>
            <w:tcBorders>
              <w:top w:val="single" w:color="CCCCCC" w:sz="1"/>
              <w:left w:val="single" w:color="CCCCCC" w:sz="1"/>
              <w:bottom w:val="single" w:color="CCCCCC" w:sz="1"/>
              <w:right w:val="single" w:color="CCCCCC" w:sz="1"/>
            </w:tcBorders>
            <w:shd w:fill="F4F6FA" w:val="clear"/>
            <w:tcMar>
              <w:top w:type="dxa" w:w="80"/>
              <w:left w:type="dxa" w:w="100"/>
              <w:bottom w:type="dxa" w:w="80"/>
              <w:right w:type="dxa" w:w="100"/>
            </w:tcMar>
          </w:tcPr>
          <w:p>
            <w:r>
              <w:rPr>
                <w:rFonts w:ascii="Arial" w:cs="Arial" w:eastAsia="Arial" w:hAnsi="Arial"/>
                <w:b w:val="false"/>
                <w:bCs w:val="false"/>
                <w:color w:val="2C2C2C"/>
                <w:sz w:val="18"/>
                <w:szCs w:val="18"/>
              </w:rPr>
              <w:t xml:space="preserve">Deploy fix + QA process</w:t>
            </w:r>
          </w:p>
        </w:tc>
      </w:tr>
    </w:tbl>
    <w:p>
      <w:pPr>
        <w:spacing w:after="240" w:before="0"/>
      </w:pPr>
    </w:p>
    <w:p>
      <w:pPr>
        <w:spacing w:after="120" w:before="60"/>
      </w:pPr>
      <w:r>
        <w:rPr>
          <w:rFonts w:ascii="Arial" w:cs="Arial" w:eastAsia="Arial" w:hAnsi="Arial"/>
          <w:color w:val="2C2C2C"/>
          <w:sz w:val="22"/>
          <w:szCs w:val="22"/>
        </w:rPr>
        <w:t xml:space="preserve">NorthStar's incident detection in 2024 is predominantly reactive — two of three incidents were discovered through external complaints, not internal monitoring. This is the single most important governance gap these scenarios reveal. A mature AI governance programme finds its own problems before regulators and customers do.</w:t>
      </w:r>
    </w:p>
    <w:p>
      <w:pPr>
        <w:spacing w:after="120" w:before="60"/>
      </w:pPr>
      <w:r>
        <w:rPr>
          <w:rFonts w:ascii="Arial" w:cs="Arial" w:eastAsia="Arial" w:hAnsi="Arial"/>
          <w:color w:val="2C2C2C"/>
          <w:sz w:val="22"/>
          <w:szCs w:val="22"/>
        </w:rPr>
        <w:t xml:space="preserve">The goal of the next 12 months is simple: move from reactive detection to proactive identification. That means monitoring reports that are acted on, conformity assessments that are completed, and deployment checklists that are followed. None of this is technically complex. All of it requires discipline.</w:t>
      </w:r>
    </w:p>
    <w:p>
      <w:pPr>
        <w:spacing w:after="120" w:before="0"/>
      </w:pPr>
    </w:p>
    <w:p>
      <w:r>
        <w:br w:type="page"/>
      </w:r>
    </w:p>
    <w:p>
      <w:pPr>
        <w:pStyle w:val="Heading1"/>
        <w:pBdr>
          <w:bottom w:val="single" w:color="1B3A6B" w:sz="8" w:space="6"/>
        </w:pBdr>
        <w:spacing w:after="120" w:before="360"/>
      </w:pPr>
      <w:r>
        <w:rPr>
          <w:rFonts w:ascii="Arial" w:cs="Arial" w:eastAsia="Arial" w:hAnsi="Arial"/>
          <w:b/>
          <w:bCs/>
          <w:color w:val="1B3A6B"/>
          <w:sz w:val="28"/>
          <w:szCs w:val="28"/>
        </w:rPr>
        <w:t xml:space="preserve">5.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Document ID</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NS-ISL-AI-001</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1.0</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Final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Classification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Confidential — AI Governance Function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Owner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Chief Risk Officer</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Next Review</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October 2024</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Distribution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CRO, CEO, Head of AI Governance, Legal Counsel, Head of Model Risk, Head of HR, Head of Digital Products, Board Risk Committee</w:t>
            </w:r>
          </w:p>
        </w:tc>
      </w:tr>
    </w:tbl>
    <w:p>
      <w:pPr>
        <w:spacing w:after="200" w:before="0"/>
      </w:pPr>
    </w:p>
    <w:p>
      <w:pPr>
        <w:spacing w:after="120" w:before="60"/>
      </w:pPr>
      <w:r>
        <w:rPr>
          <w:rFonts w:ascii="Arial" w:cs="Arial" w:eastAsia="Arial" w:hAnsi="Arial"/>
          <w:i/>
          <w:iCs/>
          <w:color w:val="5D5D5D"/>
          <w:sz w:val="22"/>
          <w:szCs w:val="22"/>
        </w:rPr>
        <w:t xml:space="preserve">This document is a controlled record within NorthStar's AI governance framework. It must not be distributed outside the named list without CRO approval. Incidents described are based on reconstructed and simulated events for governance training and regulatory readiness purposes.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6"/>
      </w:pBdr>
      <w:tabs>
        <w:tab w:val="right" w:pos="9360"/>
      </w:tabs>
    </w:pPr>
    <w:r>
      <w:rPr>
        <w:rFonts w:ascii="Arial" w:cs="Arial" w:eastAsia="Arial" w:hAnsi="Arial"/>
        <w:color w:val="5D5D5D"/>
        <w:sz w:val="16"/>
        <w:szCs w:val="16"/>
      </w:rPr>
      <w:t xml:space="preserve">Version 1.0  |  April 2024  |  AI Governance Function</w:t>
    </w:r>
    <w:r>
      <w:rPr>
        <w:rFonts w:ascii="Arial" w:cs="Arial" w:eastAsia="Arial" w:hAnsi="Arial"/>
        <w:color w:val="5D5D5D"/>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6"/>
      </w:pBdr>
      <w:tabs>
        <w:tab w:val="right" w:pos="9360"/>
      </w:tabs>
    </w:pPr>
    <w:r>
      <w:rPr>
        <w:rFonts w:ascii="Arial" w:cs="Arial" w:eastAsia="Arial" w:hAnsi="Arial"/>
        <w:color w:val="5D5D5D"/>
        <w:sz w:val="16"/>
        <w:szCs w:val="16"/>
      </w:rPr>
      <w:t xml:space="preserve">NorthStar Financial Services  |  AI Incident Scenario Library  |  NS-ISL-AI-001</w:t>
    </w:r>
    <w:r>
      <w:rPr>
        <w:rFonts w:ascii="Arial" w:cs="Arial" w:eastAsia="Arial" w:hAnsi="Arial"/>
        <w:b/>
        <w:bCs/>
        <w:color w:val="C0392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5FA3"/>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2026-04-27T05:42:03.769Z</dcterms:created>
  <dcterms:modified xsi:type="dcterms:W3CDTF">2026-04-27T05:42:03.770Z</dcterms:modified>
</cp:coreProperties>
</file>

<file path=docProps/custom.xml><?xml version="1.0" encoding="utf-8"?>
<Properties xmlns="http://schemas.openxmlformats.org/officeDocument/2006/custom-properties" xmlns:vt="http://schemas.openxmlformats.org/officeDocument/2006/docPropsVTypes"/>
</file>