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400"/>
              <w:left w:type="dxa" w:w="400"/>
              <w:bottom w:type="dxa" w:w="300"/>
              <w:right w:type="dxa" w:w="400"/>
            </w:tcMar>
          </w:tcPr>
          <w:p>
            <w:r>
              <w:rPr>
                <w:rFonts w:ascii="Arial" w:cs="Arial" w:eastAsia="Arial" w:hAnsi="Arial"/>
                <w:b/>
                <w:bCs/>
                <w:color w:val="FFFFFF"/>
                <w:sz w:val="20"/>
                <w:szCs w:val="20"/>
              </w:rPr>
              <w:t xml:space="preserve">NORTHSTAR FINANCIAL SERVICES</w:t>
            </w:r>
          </w:p>
          <w:p>
            <w:pPr>
              <w:spacing w:before="100"/>
            </w:pPr>
            <w:r>
              <w:rPr>
                <w:rFonts w:ascii="Arial" w:cs="Arial" w:eastAsia="Arial" w:hAnsi="Arial"/>
                <w:b/>
                <w:bCs/>
                <w:color w:val="FFFFFF"/>
                <w:sz w:val="38"/>
                <w:szCs w:val="38"/>
              </w:rPr>
              <w:t xml:space="preserve">Regulatory Escalation Framework</w:t>
            </w:r>
          </w:p>
          <w:p>
            <w:pPr>
              <w:spacing w:before="100"/>
            </w:pPr>
            <w:r>
              <w:rPr>
                <w:rFonts w:ascii="Arial" w:cs="Arial" w:eastAsia="Arial" w:hAnsi="Arial"/>
                <w:color w:val="A8C4E8"/>
                <w:sz w:val="18"/>
                <w:szCs w:val="18"/>
              </w:rPr>
              <w:t xml:space="preserve">Document Reference: NS-REF-AI-001  |  Version 1.0  |  April 2024</w:t>
            </w:r>
          </w:p>
          <w:p>
            <w:pPr>
              <w:spacing w:before="60"/>
            </w:pPr>
            <w:r>
              <w:rPr>
                <w:rFonts w:ascii="Arial" w:cs="Arial" w:eastAsia="Arial" w:hAnsi="Arial"/>
                <w:b/>
                <w:bCs/>
                <w:color w:val="A8C4E8"/>
                <w:sz w:val="16"/>
                <w:szCs w:val="16"/>
              </w:rPr>
              <w:t xml:space="preserve">CONFIDENTIAL — AI GOVERNANCE FUNCTION  |  LEGAL PRIVILEGE APPLIES</w:t>
            </w:r>
          </w:p>
        </w:tc>
      </w:tr>
      <w:tr>
        <w:tc>
          <w:tcPr>
            <w:tcBorders>
              <w:top w:val="none" w:color="FFFFFF" w:sz="0"/>
              <w:left w:val="none" w:color="FFFFFF" w:sz="0"/>
              <w:bottom w:val="none" w:color="FFFFFF" w:sz="0"/>
              <w:right w:val="none" w:color="FFFFFF" w:sz="0"/>
            </w:tcBorders>
            <w:shd w:fill="2E5FA3" w:val="clear"/>
            <w:tcMar>
              <w:top w:type="dxa" w:w="140"/>
              <w:left w:type="dxa" w:w="400"/>
              <w:bottom w:type="dxa" w:w="140"/>
              <w:right w:type="dxa" w:w="400"/>
            </w:tcMar>
          </w:tcPr>
          <w:p>
            <w:r>
              <w:rPr>
                <w:rFonts w:ascii="Arial" w:cs="Arial" w:eastAsia="Arial" w:hAnsi="Arial"/>
                <w:color w:val="FFFFFF"/>
                <w:sz w:val="18"/>
                <w:szCs w:val="18"/>
              </w:rPr>
              <w:t xml:space="preserve">EU AI Act Article 73  |  BaFin (Germany)  |  AFM (Netherlands)  |  72-Hour Notification Rule</w:t>
            </w:r>
          </w:p>
        </w:tc>
      </w:tr>
    </w:tbl>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Document ID</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NS-REF-AI-001</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Confidential — AI Governance Function. Legal Privilege Applies.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Owner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Chief Risk Officer  |  Legal Counsel, NorthStar Financial Services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AI Governance Team in coordination with Legal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April 2024</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Jurisdictions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Federal Republic of Germany (BaFin)  |  Kingdom of the Netherlands (AFM)</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Related Docs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NS-IRP-AI-001 (Incident Response Playbook)  |  NS-ISL-AI-001 (Incident Scenarios)</w:t>
            </w:r>
          </w:p>
        </w:tc>
      </w:tr>
    </w:tbl>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6"/>
              <w:bottom w:val="single" w:color="2E5FA3" w:sz="1"/>
              <w:right w:val="single" w:color="2E5FA3" w:sz="1"/>
            </w:tcBorders>
            <w:shd w:fill="D6E4F7" w:val="clear"/>
            <w:tcMar>
              <w:top w:type="dxa" w:w="120"/>
              <w:left w:type="dxa" w:w="200"/>
              <w:bottom w:type="dxa" w:w="120"/>
              <w:right w:type="dxa" w:w="200"/>
            </w:tcMar>
          </w:tcPr>
          <w:p>
            <w:pPr>
              <w:spacing w:after="60"/>
            </w:pPr>
            <w:r>
              <w:rPr>
                <w:rFonts w:ascii="Arial" w:cs="Arial" w:eastAsia="Arial" w:hAnsi="Arial"/>
                <w:b/>
                <w:bCs/>
                <w:color w:val="1B3A6B"/>
                <w:sz w:val="20"/>
                <w:szCs w:val="20"/>
              </w:rPr>
              <w:t xml:space="preserve">Purpose of This Document</w:t>
            </w:r>
          </w:p>
          <w:p>
            <w:r>
              <w:rPr>
                <w:rFonts w:ascii="Arial" w:cs="Arial" w:eastAsia="Arial" w:hAnsi="Arial"/>
                <w:color w:val="2C2C2C"/>
                <w:sz w:val="20"/>
                <w:szCs w:val="20"/>
              </w:rPr>
              <w:t xml:space="preserve">This framework gives NorthStar's AI Governance and Legal teams everything they need to make a correct Article 73 notification decision and execute it under time pressure. It covers: the legal basis for notification, the three-question decision tree, competent authority contacts and procedures for both Germany and the Netherlands, two ready-to-use notification letter templates, and the documentation requirements that protect NorthStar whether notification is made or not.</w:t>
            </w:r>
          </w:p>
        </w:tc>
      </w:tr>
    </w:tbl>
    <w:p>
      <w:pPr>
        <w:spacing w:after="200" w:before="0"/>
      </w:pPr>
    </w:p>
    <w:p>
      <w:pPr>
        <w:pStyle w:val="Heading1"/>
        <w:pBdr>
          <w:bottom w:val="single" w:color="1B3A6B" w:sz="8" w:space="6"/>
        </w:pBdr>
        <w:spacing w:after="120" w:before="360"/>
      </w:pPr>
      <w:r>
        <w:rPr>
          <w:rFonts w:ascii="Arial" w:cs="Arial" w:eastAsia="Arial" w:hAnsi="Arial"/>
          <w:b/>
          <w:bCs/>
          <w:color w:val="1B3A6B"/>
          <w:sz w:val="28"/>
          <w:szCs w:val="28"/>
        </w:rPr>
        <w:t xml:space="preserve">1.  Legal Basis — Article 73 of the EU AI Act</w:t>
      </w:r>
    </w:p>
    <w:p>
      <w:pPr>
        <w:spacing w:after="120" w:before="60"/>
      </w:pPr>
      <w:r>
        <w:rPr>
          <w:rFonts w:ascii="Arial" w:cs="Arial" w:eastAsia="Arial" w:hAnsi="Arial"/>
          <w:color w:val="2C2C2C"/>
          <w:sz w:val="22"/>
          <w:szCs w:val="22"/>
        </w:rPr>
        <w:t xml:space="preserve">Article 73 of the EU AI Act imposes a direct obligation on providers and deployers of High Risk AI systems to report serious incidents to the relevant national competent authority. This is not a discretionary obligation — it is mandatory when the threshold is met, and the threshold is lower than most legal teams initially assume.</w:t>
      </w:r>
    </w:p>
    <w:p>
      <w:pPr>
        <w:spacing w:after="120" w:before="60"/>
      </w:pPr>
      <w:r>
        <w:rPr>
          <w:rFonts w:ascii="Arial" w:cs="Arial" w:eastAsia="Arial" w:hAnsi="Arial"/>
          <w:color w:val="2C2C2C"/>
          <w:sz w:val="22"/>
          <w:szCs w:val="22"/>
        </w:rPr>
        <w:t xml:space="preserve">The key text of Article 73(1) reads: providers of High Risk AI systems shall report any serious incident to the market surveillance authorities of the Member States where that incident occurred. NorthStar operates in Germany and the Netherlands. Both jurisdictions are in scope for every High Risk system NorthStar deploys.</w:t>
      </w:r>
    </w:p>
    <w:p>
      <w:pPr>
        <w:spacing w:after="120" w:before="0"/>
      </w:pPr>
    </w:p>
    <w:p>
      <w:pPr>
        <w:pStyle w:val="Heading2"/>
        <w:spacing w:after="100" w:before="280"/>
      </w:pPr>
      <w:r>
        <w:rPr>
          <w:rFonts w:ascii="Arial" w:cs="Arial" w:eastAsia="Arial" w:hAnsi="Arial"/>
          <w:b/>
          <w:bCs/>
          <w:color w:val="2E5FA3"/>
          <w:sz w:val="24"/>
          <w:szCs w:val="24"/>
        </w:rPr>
        <w:t xml:space="preserve">1.1  What Is a 'Serious Incident'?</w:t>
      </w:r>
    </w:p>
    <w:p>
      <w:pPr>
        <w:spacing w:after="120" w:before="60"/>
      </w:pPr>
      <w:r>
        <w:rPr>
          <w:rFonts w:ascii="Arial" w:cs="Arial" w:eastAsia="Arial" w:hAnsi="Arial"/>
          <w:color w:val="2C2C2C"/>
          <w:sz w:val="22"/>
          <w:szCs w:val="22"/>
        </w:rPr>
        <w:t xml:space="preserve">The EU AI Act defines a serious incident as any incident or malfunction that directly or indirectly leads to: death or serious harm to the health of a person; serious damage to property or the environment; infringement of fundamental rights obligations; or serious disruption to critical infrastructure or essential services.</w:t>
      </w:r>
    </w:p>
    <w:p>
      <w:pPr>
        <w:spacing w:after="120" w:before="60"/>
      </w:pPr>
      <w:r>
        <w:rPr>
          <w:rFonts w:ascii="Arial" w:cs="Arial" w:eastAsia="Arial" w:hAnsi="Arial"/>
          <w:color w:val="2C2C2C"/>
          <w:sz w:val="22"/>
          <w:szCs w:val="22"/>
        </w:rPr>
        <w:t xml:space="preserve">For a financial services firm like NorthStar, the practical translation is: a High Risk AI system that makes materially wrong decisions about a person's access to credit, employment, or insurance — decisions that harmed them financially, discriminatorily, or reputationally — has likely triggered the threshold.</w:t>
      </w:r>
    </w:p>
    <w:p>
      <w:pPr>
        <w:spacing w:after="120" w:before="60"/>
      </w:pPr>
      <w:r>
        <w:rPr>
          <w:rFonts w:ascii="Arial" w:cs="Arial" w:eastAsia="Arial" w:hAnsi="Arial"/>
          <w:color w:val="2C2C2C"/>
          <w:sz w:val="22"/>
          <w:szCs w:val="22"/>
        </w:rPr>
        <w:t xml:space="preserve">The threshold is not 'proven harm.' It is 'realistic risk of serious harm.' If a bias incident in TalentMatch caused discriminatory rejection of female candidates for 14 months, that is a serious incident even before any individual files a legal claim.</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C0392B" w:sz="16"/>
              <w:bottom w:val="single" w:color="2E5FA3" w:sz="1"/>
              <w:right w:val="single" w:color="2E5FA3" w:sz="1"/>
            </w:tcBorders>
            <w:shd w:fill="FFF0EE" w:val="clear"/>
            <w:tcMar>
              <w:top w:type="dxa" w:w="120"/>
              <w:left w:type="dxa" w:w="200"/>
              <w:bottom w:type="dxa" w:w="120"/>
              <w:right w:type="dxa" w:w="200"/>
            </w:tcMar>
          </w:tcPr>
          <w:p>
            <w:pPr>
              <w:spacing w:after="60"/>
            </w:pPr>
            <w:r>
              <w:rPr>
                <w:rFonts w:ascii="Arial" w:cs="Arial" w:eastAsia="Arial" w:hAnsi="Arial"/>
                <w:b/>
                <w:bCs/>
                <w:color w:val="1B3A6B"/>
                <w:sz w:val="20"/>
                <w:szCs w:val="20"/>
              </w:rPr>
              <w:t xml:space="preserve">The 72-Hour Rule — Non-Negotiable</w:t>
            </w:r>
          </w:p>
          <w:p>
            <w:r>
              <w:rPr>
                <w:rFonts w:ascii="Arial" w:cs="Arial" w:eastAsia="Arial" w:hAnsi="Arial"/>
                <w:color w:val="2C2C2C"/>
                <w:sz w:val="20"/>
                <w:szCs w:val="20"/>
              </w:rPr>
              <w:t xml:space="preserve">Article 73 requires initial notification within 72 hours of the provider becoming aware of the serious incident. The clock starts when a P1 incident is classified — not when the investigation concludes, not when root cause is confirmed, not when legal review is complete. NorthStar must submit an initial notification within 72 hours even if it contains only partial information. The notification can and should be updated as the investigation progresses.</w:t>
            </w:r>
          </w:p>
        </w:tc>
      </w:tr>
    </w:tbl>
    <w:p>
      <w:pPr>
        <w:spacing w:after="200" w:before="0"/>
      </w:pPr>
    </w:p>
    <w:p>
      <w:pPr>
        <w:pStyle w:val="Heading1"/>
        <w:pBdr>
          <w:bottom w:val="single" w:color="1B3A6B" w:sz="8" w:space="6"/>
        </w:pBdr>
        <w:spacing w:after="120" w:before="360"/>
      </w:pPr>
      <w:r>
        <w:rPr>
          <w:rFonts w:ascii="Arial" w:cs="Arial" w:eastAsia="Arial" w:hAnsi="Arial"/>
          <w:b/>
          <w:bCs/>
          <w:color w:val="1B3A6B"/>
          <w:sz w:val="28"/>
          <w:szCs w:val="28"/>
        </w:rPr>
        <w:t xml:space="preserve">2.  Decision Tree — When to Notify</w:t>
      </w:r>
    </w:p>
    <w:p>
      <w:pPr>
        <w:spacing w:after="120" w:before="60"/>
      </w:pPr>
      <w:r>
        <w:rPr>
          <w:rFonts w:ascii="Arial" w:cs="Arial" w:eastAsia="Arial" w:hAnsi="Arial"/>
          <w:color w:val="2C2C2C"/>
          <w:sz w:val="22"/>
          <w:szCs w:val="22"/>
        </w:rPr>
        <w:t xml:space="preserve">Run through these three questions in sequence for every P1 and P2 incident. For P3 and P4 incidents, document that the Article 73 assessment was conducted and the threshold was not met. Never skip this step.</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2880"/>
            <w:tcBorders>
              <w:top w:val="single" w:color="1B3A6B" w:sz="1"/>
              <w:left w:val="single" w:color="1B3A6B" w:sz="1"/>
              <w:bottom w:val="single" w:color="1B3A6B" w:sz="1"/>
              <w:right w:val="single" w:color="1B3A6B" w:sz="1"/>
            </w:tcBorders>
            <w:shd w:fill="1E8449" w:val="clear"/>
            <w:tcMar>
              <w:top w:type="dxa" w:w="80"/>
              <w:left w:type="dxa" w:w="120"/>
              <w:bottom w:type="dxa" w:w="80"/>
              <w:right w:type="dxa" w:w="120"/>
            </w:tcMar>
          </w:tcPr>
          <w:p>
            <w:r>
              <w:rPr>
                <w:rFonts w:ascii="Arial" w:cs="Arial" w:eastAsia="Arial" w:hAnsi="Arial"/>
                <w:b/>
                <w:bCs/>
                <w:color w:val="FFFFFF"/>
                <w:sz w:val="18"/>
                <w:szCs w:val="18"/>
              </w:rPr>
              <w:t xml:space="preserve">IF YES →</w:t>
            </w:r>
          </w:p>
        </w:tc>
        <w:tc>
          <w:tcPr>
            <w:tcW w:type="dxa" w:w="2880"/>
            <w:tcBorders>
              <w:top w:val="single" w:color="1B3A6B" w:sz="1"/>
              <w:left w:val="single" w:color="1B3A6B" w:sz="1"/>
              <w:bottom w:val="single" w:color="1B3A6B" w:sz="1"/>
              <w:right w:val="single" w:color="1B3A6B"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IF NO →</w:t>
            </w:r>
          </w:p>
        </w:tc>
      </w:tr>
      <w:tr>
        <w:tc>
          <w:tcPr>
            <w:tcW w:type="dxa" w:w="360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r>
              <w:rPr>
                <w:rFonts w:ascii="Arial" w:cs="Arial" w:eastAsia="Arial" w:hAnsi="Arial"/>
                <w:b/>
                <w:bCs/>
                <w:color w:val="1B3A6B"/>
                <w:sz w:val="19"/>
                <w:szCs w:val="19"/>
              </w:rPr>
              <w:t xml:space="preserve">Q1: Is the affected system classified High Risk under Annex III of the EU AI Act?</w:t>
            </w:r>
          </w:p>
        </w:tc>
        <w:tc>
          <w:tcPr>
            <w:tcW w:type="dxa" w:w="2880"/>
            <w:tcBorders>
              <w:top w:val="single" w:color="CCCCCC" w:sz="1"/>
              <w:left w:val="single" w:color="CCCCCC" w:sz="1"/>
              <w:bottom w:val="single" w:color="CCCCCC" w:sz="1"/>
              <w:right w:val="single" w:color="CCCCCC" w:sz="1"/>
            </w:tcBorders>
            <w:shd w:fill="EAF6EE" w:val="clear"/>
            <w:tcMar>
              <w:top w:type="dxa" w:w="100"/>
              <w:left w:type="dxa" w:w="120"/>
              <w:bottom w:type="dxa" w:w="100"/>
              <w:right w:type="dxa" w:w="120"/>
            </w:tcMar>
          </w:tcPr>
          <w:p>
            <w:r>
              <w:rPr>
                <w:rFonts w:ascii="Arial" w:cs="Arial" w:eastAsia="Arial" w:hAnsi="Arial"/>
                <w:b/>
                <w:bCs/>
                <w:color w:val="1E8449"/>
                <w:sz w:val="19"/>
                <w:szCs w:val="19"/>
              </w:rPr>
              <w:t xml:space="preserve">Proceed to Q2</w:t>
            </w:r>
          </w:p>
        </w:tc>
        <w:tc>
          <w:tcPr>
            <w:tcW w:type="dxa" w:w="2880"/>
            <w:tcBorders>
              <w:top w:val="single" w:color="CCCCCC" w:sz="1"/>
              <w:left w:val="single" w:color="CCCCCC" w:sz="1"/>
              <w:bottom w:val="single" w:color="CCCCCC" w:sz="1"/>
              <w:right w:val="single" w:color="CCCCCC" w:sz="1"/>
            </w:tcBorders>
            <w:shd w:fill="FFF0EE" w:val="clear"/>
            <w:tcMar>
              <w:top w:type="dxa" w:w="100"/>
              <w:left w:type="dxa" w:w="120"/>
              <w:bottom w:type="dxa" w:w="100"/>
              <w:right w:type="dxa" w:w="120"/>
            </w:tcMar>
          </w:tcPr>
          <w:p>
            <w:r>
              <w:rPr>
                <w:rFonts w:ascii="Arial" w:cs="Arial" w:eastAsia="Arial" w:hAnsi="Arial"/>
                <w:color w:val="C0392B"/>
                <w:sz w:val="19"/>
                <w:szCs w:val="19"/>
              </w:rPr>
              <w:t xml:space="preserve">Article 73 does NOT apply. Log the incident. Document this assessment. Close notification consideration.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B3A6B"/>
                <w:sz w:val="19"/>
                <w:szCs w:val="19"/>
              </w:rPr>
              <w:t xml:space="preserve">Q2: Has a 'serious incident' occurred? (Serious = risk of serious harm to health/safety/fundamental rights, or significant individual harm — financial, discriminatory, or reputational)</w:t>
            </w:r>
          </w:p>
        </w:tc>
        <w:tc>
          <w:tcPr>
            <w:tcW w:type="dxa" w:w="2880"/>
            <w:tcBorders>
              <w:top w:val="single" w:color="CCCCCC" w:sz="1"/>
              <w:left w:val="single" w:color="CCCCCC" w:sz="1"/>
              <w:bottom w:val="single" w:color="CCCCCC" w:sz="1"/>
              <w:right w:val="single" w:color="CCCCCC" w:sz="1"/>
            </w:tcBorders>
            <w:shd w:fill="EAF6EE" w:val="clear"/>
            <w:tcMar>
              <w:top w:type="dxa" w:w="100"/>
              <w:left w:type="dxa" w:w="120"/>
              <w:bottom w:type="dxa" w:w="100"/>
              <w:right w:type="dxa" w:w="120"/>
            </w:tcMar>
          </w:tcPr>
          <w:p>
            <w:r>
              <w:rPr>
                <w:rFonts w:ascii="Arial" w:cs="Arial" w:eastAsia="Arial" w:hAnsi="Arial"/>
                <w:b/>
                <w:bCs/>
                <w:color w:val="1E8449"/>
                <w:sz w:val="19"/>
                <w:szCs w:val="19"/>
              </w:rPr>
              <w:t xml:space="preserve">Proceed to Q3</w:t>
            </w:r>
          </w:p>
        </w:tc>
        <w:tc>
          <w:tcPr>
            <w:tcW w:type="dxa" w:w="2880"/>
            <w:tcBorders>
              <w:top w:val="single" w:color="CCCCCC" w:sz="1"/>
              <w:left w:val="single" w:color="CCCCCC" w:sz="1"/>
              <w:bottom w:val="single" w:color="CCCCCC" w:sz="1"/>
              <w:right w:val="single" w:color="CCCCCC" w:sz="1"/>
            </w:tcBorders>
            <w:shd w:fill="FFF0EE" w:val="clear"/>
            <w:tcMar>
              <w:top w:type="dxa" w:w="100"/>
              <w:left w:type="dxa" w:w="120"/>
              <w:bottom w:type="dxa" w:w="100"/>
              <w:right w:type="dxa" w:w="120"/>
            </w:tcMar>
          </w:tcPr>
          <w:p>
            <w:r>
              <w:rPr>
                <w:rFonts w:ascii="Arial" w:cs="Arial" w:eastAsia="Arial" w:hAnsi="Arial"/>
                <w:color w:val="C0392B"/>
                <w:sz w:val="19"/>
                <w:szCs w:val="19"/>
              </w:rPr>
              <w:t xml:space="preserve">Article 73 threshold NOT met. Document the rationale. Consider voluntary disclosure if regulatory relationship warrants it. File assessment.</w:t>
            </w:r>
          </w:p>
        </w:tc>
      </w:tr>
      <w:tr>
        <w:tc>
          <w:tcPr>
            <w:tcW w:type="dxa" w:w="3600"/>
            <w:tcBorders>
              <w:top w:val="single" w:color="CCCCCC" w:sz="1"/>
              <w:left w:val="single" w:color="CCCCCC" w:sz="1"/>
              <w:bottom w:val="single" w:color="CCCCCC" w:sz="1"/>
              <w:right w:val="single" w:color="CCCCCC" w:sz="1"/>
            </w:tcBorders>
            <w:shd w:fill="D6E4F7" w:val="clear"/>
            <w:tcMar>
              <w:top w:type="dxa" w:w="100"/>
              <w:left w:type="dxa" w:w="120"/>
              <w:bottom w:type="dxa" w:w="100"/>
              <w:right w:type="dxa" w:w="120"/>
            </w:tcMar>
          </w:tcPr>
          <w:p>
            <w:r>
              <w:rPr>
                <w:rFonts w:ascii="Arial" w:cs="Arial" w:eastAsia="Arial" w:hAnsi="Arial"/>
                <w:b/>
                <w:bCs/>
                <w:color w:val="1B3A6B"/>
                <w:sz w:val="19"/>
                <w:szCs w:val="19"/>
              </w:rPr>
              <w:t xml:space="preserve">Q3: Is NorthStar the provider or deployer responsible for this system in this use case?</w:t>
            </w:r>
          </w:p>
        </w:tc>
        <w:tc>
          <w:tcPr>
            <w:tcW w:type="dxa" w:w="2880"/>
            <w:tcBorders>
              <w:top w:val="single" w:color="CCCCCC" w:sz="1"/>
              <w:left w:val="single" w:color="CCCCCC" w:sz="1"/>
              <w:bottom w:val="single" w:color="CCCCCC" w:sz="1"/>
              <w:right w:val="single" w:color="CCCCCC" w:sz="1"/>
            </w:tcBorders>
            <w:shd w:fill="EAF6EE" w:val="clear"/>
            <w:tcMar>
              <w:top w:type="dxa" w:w="100"/>
              <w:left w:type="dxa" w:w="120"/>
              <w:bottom w:type="dxa" w:w="100"/>
              <w:right w:type="dxa" w:w="120"/>
            </w:tcMar>
          </w:tcPr>
          <w:p>
            <w:r>
              <w:rPr>
                <w:rFonts w:ascii="Arial" w:cs="Arial" w:eastAsia="Arial" w:hAnsi="Arial"/>
                <w:b/>
                <w:bCs/>
                <w:color w:val="1E8449"/>
                <w:sz w:val="19"/>
                <w:szCs w:val="19"/>
              </w:rPr>
              <w:t xml:space="preserve">NOTIFY. Prepare notification within 72 hours of P1 classification. Use template in Section 5.</w:t>
            </w:r>
          </w:p>
        </w:tc>
        <w:tc>
          <w:tcPr>
            <w:tcW w:type="dxa" w:w="2880"/>
            <w:tcBorders>
              <w:top w:val="single" w:color="CCCCCC" w:sz="1"/>
              <w:left w:val="single" w:color="CCCCCC" w:sz="1"/>
              <w:bottom w:val="single" w:color="CCCCCC" w:sz="1"/>
              <w:right w:val="single" w:color="CCCCCC" w:sz="1"/>
            </w:tcBorders>
            <w:shd w:fill="FFF0EE" w:val="clear"/>
            <w:tcMar>
              <w:top w:type="dxa" w:w="100"/>
              <w:left w:type="dxa" w:w="120"/>
              <w:bottom w:type="dxa" w:w="100"/>
              <w:right w:type="dxa" w:w="120"/>
            </w:tcMar>
          </w:tcPr>
          <w:p>
            <w:r>
              <w:rPr>
                <w:rFonts w:ascii="Arial" w:cs="Arial" w:eastAsia="Arial" w:hAnsi="Arial"/>
                <w:color w:val="C0392B"/>
                <w:sz w:val="19"/>
                <w:szCs w:val="19"/>
              </w:rPr>
              <w:t xml:space="preserve">Notify the vendor immediately. Confirm vendor notification to competent authority. Document NorthStar's notification to vendor.</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6"/>
              <w:bottom w:val="single" w:color="2E5FA3" w:sz="1"/>
              <w:right w:val="single" w:color="2E5FA3" w:sz="1"/>
            </w:tcBorders>
            <w:shd w:fill="F4F6FA" w:val="clear"/>
            <w:tcMar>
              <w:top w:type="dxa" w:w="120"/>
              <w:left w:type="dxa" w:w="200"/>
              <w:bottom w:type="dxa" w:w="120"/>
              <w:right w:type="dxa" w:w="200"/>
            </w:tcMar>
          </w:tcPr>
          <w:p>
            <w:pPr>
              <w:spacing w:after="60"/>
            </w:pPr>
            <w:r>
              <w:rPr>
                <w:rFonts w:ascii="Arial" w:cs="Arial" w:eastAsia="Arial" w:hAnsi="Arial"/>
                <w:b/>
                <w:bCs/>
                <w:color w:val="1B3A6B"/>
                <w:sz w:val="20"/>
                <w:szCs w:val="20"/>
              </w:rPr>
              <w:t xml:space="preserve">Important: Voluntary Disclosure for Non-Threshold Incidents</w:t>
            </w:r>
          </w:p>
          <w:p>
            <w:r>
              <w:rPr>
                <w:rFonts w:ascii="Arial" w:cs="Arial" w:eastAsia="Arial" w:hAnsi="Arial"/>
                <w:color w:val="2C2C2C"/>
                <w:sz w:val="20"/>
                <w:szCs w:val="20"/>
              </w:rPr>
              <w:t xml:space="preserve">Article 73 does not prevent NorthStar from notifying competent authorities voluntarily when the threshold is not technically met but the incident is significant. NorthStar's posture is: where an incident involves a High Risk system and affects a material number of individuals, voluntary proactive disclosure builds regulatory trust and protects against future enforcement action. Legal Counsel makes the final call on voluntary disclosure in consultation with the CRO.</w:t>
            </w:r>
          </w:p>
        </w:tc>
      </w:tr>
    </w:tbl>
    <w:p>
      <w:pPr>
        <w:spacing w:after="200" w:before="0"/>
      </w:pPr>
    </w:p>
    <w:p>
      <w:pPr>
        <w:pStyle w:val="Heading1"/>
        <w:pBdr>
          <w:bottom w:val="single" w:color="1B3A6B" w:sz="8" w:space="6"/>
        </w:pBdr>
        <w:spacing w:after="120" w:before="360"/>
      </w:pPr>
      <w:r>
        <w:rPr>
          <w:rFonts w:ascii="Arial" w:cs="Arial" w:eastAsia="Arial" w:hAnsi="Arial"/>
          <w:b/>
          <w:bCs/>
          <w:color w:val="1B3A6B"/>
          <w:sz w:val="28"/>
          <w:szCs w:val="28"/>
        </w:rPr>
        <w:t xml:space="preserve">3.  Competent Authority — Germany (BaFin)</w:t>
      </w:r>
    </w:p>
    <w:p>
      <w:pPr>
        <w:pStyle w:val="Heading2"/>
        <w:spacing w:after="100" w:before="280"/>
      </w:pPr>
      <w:r>
        <w:rPr>
          <w:rFonts w:ascii="Arial" w:cs="Arial" w:eastAsia="Arial" w:hAnsi="Arial"/>
          <w:b/>
          <w:bCs/>
          <w:color w:val="2E5FA3"/>
          <w:sz w:val="24"/>
          <w:szCs w:val="24"/>
        </w:rPr>
        <w:t xml:space="preserve">3.1  Authority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Full Name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Bundesanstalt für Finanzdienstleistungsaufsicht (Federal Financial Supervisory Authority)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Role under EU AI Act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Designated market surveillance authority for AI systems used in financial services in Germany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Primary Contact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AI Supervision Unit — contact details maintained by NorthStar Legal Counsel (updated quarterly)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Notification Portal</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BaFin's secure digital reporting portal — access credentials held by Legal Counsel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Notification Language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English accepted. German preferred for formal notifications. NorthStar's standard practice: English with German executive summary.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Response SLA</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BaFin typically acknowledges receipt within 5 business days. Follow-up requests may arrive within 30 days.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NorthStar Relationship</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NorthStar holds a German banking licence. BaFin is an existing regulatory relationship managed by Legal and Compliance.</w:t>
            </w:r>
          </w:p>
        </w:tc>
      </w:tr>
    </w:tbl>
    <w:p>
      <w:pPr>
        <w:spacing w:after="160" w:before="0"/>
      </w:pPr>
    </w:p>
    <w:p>
      <w:pPr>
        <w:pStyle w:val="Heading2"/>
        <w:spacing w:after="100" w:before="280"/>
      </w:pPr>
      <w:r>
        <w:rPr>
          <w:rFonts w:ascii="Arial" w:cs="Arial" w:eastAsia="Arial" w:hAnsi="Arial"/>
          <w:b/>
          <w:bCs/>
          <w:color w:val="2E5FA3"/>
          <w:sz w:val="24"/>
          <w:szCs w:val="24"/>
        </w:rPr>
        <w:t xml:space="preserve">3.2  BaFin Notification Requirements</w:t>
      </w:r>
    </w:p>
    <w:p>
      <w:pPr>
        <w:spacing w:after="120" w:before="60"/>
      </w:pPr>
      <w:r>
        <w:rPr>
          <w:rFonts w:ascii="Arial" w:cs="Arial" w:eastAsia="Arial" w:hAnsi="Arial"/>
          <w:color w:val="2C2C2C"/>
          <w:sz w:val="22"/>
          <w:szCs w:val="22"/>
        </w:rPr>
        <w:t xml:space="preserve">BaFin's AI incident notification requirements align with Article 73 but BaFin has indicated in supervisory guidance that it expects the following additional elements in financial services notifications:</w:t>
      </w:r>
    </w:p>
    <w:p>
      <w:pPr>
        <w:pStyle w:val="ListParagraph"/>
        <w:numPr>
          <w:ilvl w:val="0"/>
          <w:numId w:val="2"/>
        </w:numPr>
        <w:spacing w:after="60" w:before="40"/>
      </w:pPr>
      <w:r>
        <w:rPr>
          <w:rFonts w:ascii="Arial" w:cs="Arial" w:eastAsia="Arial" w:hAnsi="Arial"/>
          <w:color w:val="2C2C2C"/>
          <w:sz w:val="22"/>
          <w:szCs w:val="22"/>
        </w:rPr>
        <w:t xml:space="preserve">Clear identification of the financial product or service affected — credit decisioning, employment screening, insurance underwriting.</w:t>
      </w:r>
    </w:p>
    <w:p>
      <w:pPr>
        <w:pStyle w:val="ListParagraph"/>
        <w:numPr>
          <w:ilvl w:val="0"/>
          <w:numId w:val="2"/>
        </w:numPr>
        <w:spacing w:after="60" w:before="40"/>
      </w:pPr>
      <w:r>
        <w:rPr>
          <w:rFonts w:ascii="Arial" w:cs="Arial" w:eastAsia="Arial" w:hAnsi="Arial"/>
          <w:color w:val="2C2C2C"/>
          <w:sz w:val="22"/>
          <w:szCs w:val="22"/>
        </w:rPr>
        <w:t xml:space="preserve">Quantification of affected customers or applicants — estimated number at time of initial notification, confirmed number in follow-up.</w:t>
      </w:r>
    </w:p>
    <w:p>
      <w:pPr>
        <w:pStyle w:val="ListParagraph"/>
        <w:numPr>
          <w:ilvl w:val="0"/>
          <w:numId w:val="2"/>
        </w:numPr>
        <w:spacing w:after="60" w:before="40"/>
      </w:pPr>
      <w:r>
        <w:rPr>
          <w:rFonts w:ascii="Arial" w:cs="Arial" w:eastAsia="Arial" w:hAnsi="Arial"/>
          <w:color w:val="2C2C2C"/>
          <w:sz w:val="22"/>
          <w:szCs w:val="22"/>
        </w:rPr>
        <w:t xml:space="preserve">Description of the human oversight mechanisms that were or were not in place at the time of the incident.</w:t>
      </w:r>
    </w:p>
    <w:p>
      <w:pPr>
        <w:pStyle w:val="ListParagraph"/>
        <w:numPr>
          <w:ilvl w:val="0"/>
          <w:numId w:val="2"/>
        </w:numPr>
        <w:spacing w:after="60" w:before="40"/>
      </w:pPr>
      <w:r>
        <w:rPr>
          <w:rFonts w:ascii="Arial" w:cs="Arial" w:eastAsia="Arial" w:hAnsi="Arial"/>
          <w:color w:val="2C2C2C"/>
          <w:sz w:val="22"/>
          <w:szCs w:val="22"/>
        </w:rPr>
        <w:t xml:space="preserve">Statement of NorthStar's Article 43 conformity assessment status for the affected system.</w:t>
      </w:r>
    </w:p>
    <w:p>
      <w:pPr>
        <w:pStyle w:val="ListParagraph"/>
        <w:numPr>
          <w:ilvl w:val="0"/>
          <w:numId w:val="2"/>
        </w:numPr>
        <w:spacing w:after="60" w:before="40"/>
      </w:pPr>
      <w:r>
        <w:rPr>
          <w:rFonts w:ascii="Arial" w:cs="Arial" w:eastAsia="Arial" w:hAnsi="Arial"/>
          <w:color w:val="2C2C2C"/>
          <w:sz w:val="22"/>
          <w:szCs w:val="22"/>
        </w:rPr>
        <w:t xml:space="preserve">Confirmation that affected individuals will be notified individually where required.</w:t>
      </w:r>
    </w:p>
    <w:p>
      <w:pPr>
        <w:spacing w:after="160" w:before="0"/>
      </w:pPr>
    </w:p>
    <w:p>
      <w:pPr>
        <w:pStyle w:val="Heading1"/>
        <w:pBdr>
          <w:bottom w:val="single" w:color="1B3A6B" w:sz="8" w:space="6"/>
        </w:pBdr>
        <w:spacing w:after="120" w:before="360"/>
      </w:pPr>
      <w:r>
        <w:rPr>
          <w:rFonts w:ascii="Arial" w:cs="Arial" w:eastAsia="Arial" w:hAnsi="Arial"/>
          <w:b/>
          <w:bCs/>
          <w:color w:val="1B3A6B"/>
          <w:sz w:val="28"/>
          <w:szCs w:val="28"/>
        </w:rPr>
        <w:t xml:space="preserve">4.  Competent Authority — Netherlands (AFM)</w:t>
      </w:r>
    </w:p>
    <w:p>
      <w:pPr>
        <w:pStyle w:val="Heading2"/>
        <w:spacing w:after="100" w:before="280"/>
      </w:pPr>
      <w:r>
        <w:rPr>
          <w:rFonts w:ascii="Arial" w:cs="Arial" w:eastAsia="Arial" w:hAnsi="Arial"/>
          <w:b/>
          <w:bCs/>
          <w:color w:val="2E5FA3"/>
          <w:sz w:val="24"/>
          <w:szCs w:val="24"/>
        </w:rPr>
        <w:t xml:space="preserve">4.1  Authority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Full Name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Autoriteit Financiële Markten (Authority for the Financial Markets)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Role under EU AI Act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Designated market surveillance authority for AI systems used in financial services in the Netherlands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Primary Contact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FinTech and Innovation Supervision — contact details maintained by NorthStar Legal Counsel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Notification Portal</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AFM's incident reporting portal — access credentials held by Legal Counsel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Notification Language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English accepted. Dutch preferred. NorthStar's standard practice: English throughout.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Response SLA</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AFM typically acknowledges within 3 business days. Known to be active in following up AI-related notifications.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NorthStar Relationship</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NorthStar operates retail banking services in the Netherlands. AFM relationship managed by Legal and Compliance alongside DNB (De Nederlandsche Bank) for prudential matters.</w:t>
            </w:r>
          </w:p>
        </w:tc>
      </w:tr>
    </w:tbl>
    <w:p>
      <w:pPr>
        <w:spacing w:after="160" w:before="0"/>
      </w:pPr>
    </w:p>
    <w:p>
      <w:pPr>
        <w:pStyle w:val="Heading2"/>
        <w:spacing w:after="100" w:before="280"/>
      </w:pPr>
      <w:r>
        <w:rPr>
          <w:rFonts w:ascii="Arial" w:cs="Arial" w:eastAsia="Arial" w:hAnsi="Arial"/>
          <w:b/>
          <w:bCs/>
          <w:color w:val="2E5FA3"/>
          <w:sz w:val="24"/>
          <w:szCs w:val="24"/>
        </w:rPr>
        <w:t xml:space="preserve">4.2  AFM Notification Requirements</w:t>
      </w:r>
    </w:p>
    <w:p>
      <w:pPr>
        <w:spacing w:after="120" w:before="60"/>
      </w:pPr>
      <w:r>
        <w:rPr>
          <w:rFonts w:ascii="Arial" w:cs="Arial" w:eastAsia="Arial" w:hAnsi="Arial"/>
          <w:color w:val="2C2C2C"/>
          <w:sz w:val="22"/>
          <w:szCs w:val="22"/>
        </w:rPr>
        <w:t xml:space="preserve">AFM has a reputation for substantive engagement with AI-related notifications. Based on AFM's published supervisory priorities and prior engagement with NorthStar, notifications should include:</w:t>
      </w:r>
    </w:p>
    <w:p>
      <w:pPr>
        <w:pStyle w:val="ListParagraph"/>
        <w:numPr>
          <w:ilvl w:val="0"/>
          <w:numId w:val="2"/>
        </w:numPr>
        <w:spacing w:after="60" w:before="40"/>
      </w:pPr>
      <w:r>
        <w:rPr>
          <w:rFonts w:ascii="Arial" w:cs="Arial" w:eastAsia="Arial" w:hAnsi="Arial"/>
          <w:color w:val="2C2C2C"/>
          <w:sz w:val="22"/>
          <w:szCs w:val="22"/>
        </w:rPr>
        <w:t xml:space="preserve">Specific explanation of how the AI system's output caused or could cause customer detriment — in plain language, not technical model description.</w:t>
      </w:r>
    </w:p>
    <w:p>
      <w:pPr>
        <w:pStyle w:val="ListParagraph"/>
        <w:numPr>
          <w:ilvl w:val="0"/>
          <w:numId w:val="2"/>
        </w:numPr>
        <w:spacing w:after="60" w:before="40"/>
      </w:pPr>
      <w:r>
        <w:rPr>
          <w:rFonts w:ascii="Arial" w:cs="Arial" w:eastAsia="Arial" w:hAnsi="Arial"/>
          <w:color w:val="2C2C2C"/>
          <w:sz w:val="22"/>
          <w:szCs w:val="22"/>
        </w:rPr>
        <w:t xml:space="preserve">Timeline of when NorthStar first detected the anomaly versus when action was taken — AFM scrutinises detection-to-action gaps.</w:t>
      </w:r>
    </w:p>
    <w:p>
      <w:pPr>
        <w:pStyle w:val="ListParagraph"/>
        <w:numPr>
          <w:ilvl w:val="0"/>
          <w:numId w:val="2"/>
        </w:numPr>
        <w:spacing w:after="60" w:before="40"/>
      </w:pPr>
      <w:r>
        <w:rPr>
          <w:rFonts w:ascii="Arial" w:cs="Arial" w:eastAsia="Arial" w:hAnsi="Arial"/>
          <w:color w:val="2C2C2C"/>
          <w:sz w:val="22"/>
          <w:szCs w:val="22"/>
        </w:rPr>
        <w:t xml:space="preserve">Description of customer remediation plan — how will affected individuals be identified, contacted, and compensated if applicable.</w:t>
      </w:r>
    </w:p>
    <w:p>
      <w:pPr>
        <w:pStyle w:val="ListParagraph"/>
        <w:numPr>
          <w:ilvl w:val="0"/>
          <w:numId w:val="2"/>
        </w:numPr>
        <w:spacing w:after="60" w:before="40"/>
      </w:pPr>
      <w:r>
        <w:rPr>
          <w:rFonts w:ascii="Arial" w:cs="Arial" w:eastAsia="Arial" w:hAnsi="Arial"/>
          <w:color w:val="2C2C2C"/>
          <w:sz w:val="22"/>
          <w:szCs w:val="22"/>
        </w:rPr>
        <w:t xml:space="preserve">Forward-looking commitment on monitoring improvements — AFM expects to see what will change, not just what went wrong.</w:t>
      </w:r>
    </w:p>
    <w:p>
      <w:pPr>
        <w:spacing w:after="160" w:before="0"/>
      </w:pPr>
    </w:p>
    <w:p>
      <w:pPr>
        <w:pStyle w:val="Heading1"/>
        <w:pBdr>
          <w:bottom w:val="single" w:color="1B3A6B" w:sz="8" w:space="6"/>
        </w:pBdr>
        <w:spacing w:after="120" w:before="360"/>
      </w:pPr>
      <w:r>
        <w:rPr>
          <w:rFonts w:ascii="Arial" w:cs="Arial" w:eastAsia="Arial" w:hAnsi="Arial"/>
          <w:b/>
          <w:bCs/>
          <w:color w:val="1B3A6B"/>
          <w:sz w:val="28"/>
          <w:szCs w:val="28"/>
        </w:rPr>
        <w:t xml:space="preserve">5.  Notification Letter Templates</w:t>
      </w:r>
    </w:p>
    <w:p>
      <w:pPr>
        <w:spacing w:after="120" w:before="60"/>
      </w:pPr>
      <w:r>
        <w:rPr>
          <w:rFonts w:ascii="Arial" w:cs="Arial" w:eastAsia="Arial" w:hAnsi="Arial"/>
          <w:color w:val="2C2C2C"/>
          <w:sz w:val="22"/>
          <w:szCs w:val="22"/>
        </w:rPr>
        <w:t xml:space="preserve">Two templates are provided. Template A is for initial notifications submitted within the 72-hour window — it is designed to be sent with partial information and sets a professional, transparent tone. Template B is for follow-up notifications as the investigation develops. Both templates have been reviewed by Legal Counsel.</w:t>
      </w:r>
    </w:p>
    <w:p>
      <w:pPr>
        <w:spacing w:after="120" w:before="60"/>
      </w:pPr>
      <w:r>
        <w:rPr>
          <w:rFonts w:ascii="Arial" w:cs="Arial" w:eastAsia="Arial" w:hAnsi="Arial"/>
          <w:color w:val="2C2C2C"/>
          <w:sz w:val="22"/>
          <w:szCs w:val="22"/>
        </w:rPr>
        <w:t xml:space="preserve">Instructions for use: replace all [BRACKETED] fields before sending. Do not send a template with unfilled brackets. Legal Counsel must review and approve all notifications before submission.</w:t>
      </w:r>
    </w:p>
    <w:p>
      <w:pPr>
        <w:spacing w:after="160" w:before="0"/>
      </w:pPr>
    </w:p>
    <w:p>
      <w:pPr>
        <w:pStyle w:val="Heading2"/>
        <w:spacing w:after="100" w:before="280"/>
      </w:pPr>
      <w:r>
        <w:rPr>
          <w:rFonts w:ascii="Arial" w:cs="Arial" w:eastAsia="Arial" w:hAnsi="Arial"/>
          <w:b/>
          <w:bCs/>
          <w:color w:val="2E5FA3"/>
          <w:sz w:val="24"/>
          <w:szCs w:val="24"/>
        </w:rPr>
        <w:t xml:space="preserve">Template A — Initial Notification (Within 72 Hours)</w:t>
      </w:r>
    </w:p>
    <w:p>
      <w:pPr>
        <w:spacing w:after="120" w:before="60"/>
      </w:pPr>
      <w:r>
        <w:rPr>
          <w:rFonts w:ascii="Arial" w:cs="Arial" w:eastAsia="Arial" w:hAnsi="Arial"/>
          <w:i/>
          <w:iCs/>
          <w:color w:val="5D5D5D"/>
          <w:sz w:val="22"/>
          <w:szCs w:val="22"/>
        </w:rPr>
        <w:t xml:space="preserve">Use this template when submitting the initial notification under Article 73. The goal of this letter is to establish NorthStar as a transparent, cooperating regulated entity — not to provide a complete account of the incident, which is not yet possible within 72 hours.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2"/>
              <w:bottom w:val="single" w:color="2E5FA3" w:sz="1"/>
              <w:right w:val="single" w:color="2E5FA3" w:sz="1"/>
            </w:tcBorders>
            <w:shd w:fill="F8FBFF" w:val="clear"/>
            <w:tcMar>
              <w:top w:type="dxa" w:w="160"/>
              <w:left w:type="dxa" w:w="240"/>
              <w:bottom w:type="dxa" w:w="160"/>
              <w:right w:type="dxa" w:w="240"/>
            </w:tcMar>
          </w:tcPr>
          <w:p>
            <w:pPr>
              <w:spacing w:after="80" w:before="40"/>
            </w:pPr>
            <w:r>
              <w:rPr>
                <w:rFonts w:ascii="Courier New" w:cs="Courier New" w:eastAsia="Courier New" w:hAnsi="Courier New"/>
                <w:color w:val="2C2C2C"/>
                <w:sz w:val="20"/>
                <w:szCs w:val="20"/>
              </w:rPr>
              <w:t xml:space="preserve">[COMPETENT AUTHORITY NAME]</w:t>
            </w:r>
          </w:p>
          <w:p>
            <w:pPr>
              <w:spacing w:after="80" w:before="40"/>
            </w:pPr>
            <w:r>
              <w:rPr>
                <w:rFonts w:ascii="Courier New" w:cs="Courier New" w:eastAsia="Courier New" w:hAnsi="Courier New"/>
                <w:color w:val="2C2C2C"/>
                <w:sz w:val="20"/>
                <w:szCs w:val="20"/>
              </w:rPr>
              <w:t xml:space="preserve">[AUTHORITY ADDRESS]</w:t>
            </w:r>
          </w:p>
          <w:p>
            <w:pPr>
              <w:spacing w:after="80" w:before="40"/>
            </w:pPr>
            <w:r>
              <w:rPr>
                <w:rFonts w:ascii="Courier New" w:cs="Courier New" w:eastAsia="Courier New" w:hAnsi="Courier New"/>
                <w:color w:val="2C2C2C"/>
                <w:sz w:val="20"/>
                <w:szCs w:val="20"/>
              </w:rPr>
              <w:t xml:space="preserve">[CITY, COUNTRY]</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[DATE]</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RE: Article 73 EU AI Act — Initial Serious Incident Notification</w:t>
            </w:r>
          </w:p>
          <w:p>
            <w:pPr>
              <w:spacing w:after="80" w:before="40"/>
            </w:pPr>
            <w:r>
              <w:rPr>
                <w:rFonts w:ascii="Courier New" w:cs="Courier New" w:eastAsia="Courier New" w:hAnsi="Courier New"/>
                <w:color w:val="2C2C2C"/>
                <w:sz w:val="20"/>
                <w:szCs w:val="20"/>
              </w:rPr>
              <w:t xml:space="preserve">NorthStar Financial Services — Incident Reference: [NS-INC-YYYY-NNN]</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Dear [AUTHORITY CONTACT NAME / 'Sir or Madam'],</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NorthStar Financial Services hereby submits an initial notification pursuant to</w:t>
            </w:r>
          </w:p>
          <w:p>
            <w:pPr>
              <w:spacing w:after="80" w:before="40"/>
            </w:pPr>
            <w:r>
              <w:rPr>
                <w:rFonts w:ascii="Courier New" w:cs="Courier New" w:eastAsia="Courier New" w:hAnsi="Courier New"/>
                <w:color w:val="2C2C2C"/>
                <w:sz w:val="20"/>
                <w:szCs w:val="20"/>
              </w:rPr>
              <w:t xml:space="preserve">Article 73 of the EU AI Act (Regulation (EU) 2024/1689) in relation to a serious</w:t>
            </w:r>
          </w:p>
          <w:p>
            <w:pPr>
              <w:spacing w:after="80" w:before="40"/>
            </w:pPr>
            <w:r>
              <w:rPr>
                <w:rFonts w:ascii="Courier New" w:cs="Courier New" w:eastAsia="Courier New" w:hAnsi="Courier New"/>
                <w:color w:val="2C2C2C"/>
                <w:sz w:val="20"/>
                <w:szCs w:val="20"/>
              </w:rPr>
              <w:t xml:space="preserve">incident involving the following High Risk AI system:</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  System Name:         [SYSTEM NAME, e.g. CreditScore Pro]</w:t>
            </w:r>
          </w:p>
          <w:p>
            <w:pPr>
              <w:spacing w:after="80" w:before="40"/>
            </w:pPr>
            <w:r>
              <w:rPr>
                <w:rFonts w:ascii="Courier New" w:cs="Courier New" w:eastAsia="Courier New" w:hAnsi="Courier New"/>
                <w:color w:val="2C2C2C"/>
                <w:sz w:val="20"/>
                <w:szCs w:val="20"/>
              </w:rPr>
              <w:t xml:space="preserve">  System Reference:    [NS-AI-XXX]</w:t>
            </w:r>
          </w:p>
          <w:p>
            <w:pPr>
              <w:spacing w:after="80" w:before="40"/>
            </w:pPr>
            <w:r>
              <w:rPr>
                <w:rFonts w:ascii="Courier New" w:cs="Courier New" w:eastAsia="Courier New" w:hAnsi="Courier New"/>
                <w:color w:val="2C2C2C"/>
                <w:sz w:val="20"/>
                <w:szCs w:val="20"/>
              </w:rPr>
              <w:t xml:space="preserve">  Annex III Category:  [e.g. Category 5b — Creditworthiness Assessment]</w:t>
            </w:r>
          </w:p>
          <w:p>
            <w:pPr>
              <w:spacing w:after="80" w:before="40"/>
            </w:pPr>
            <w:r>
              <w:rPr>
                <w:rFonts w:ascii="Courier New" w:cs="Courier New" w:eastAsia="Courier New" w:hAnsi="Courier New"/>
                <w:color w:val="2C2C2C"/>
                <w:sz w:val="20"/>
                <w:szCs w:val="20"/>
              </w:rPr>
              <w:t xml:space="preserve">  Incident Reference:  [NS-INC-YYYY-NNN]</w:t>
            </w:r>
          </w:p>
          <w:p>
            <w:pPr>
              <w:spacing w:after="80" w:before="40"/>
            </w:pPr>
            <w:r>
              <w:rPr>
                <w:rFonts w:ascii="Courier New" w:cs="Courier New" w:eastAsia="Courier New" w:hAnsi="Courier New"/>
                <w:color w:val="2C2C2C"/>
                <w:sz w:val="20"/>
                <w:szCs w:val="20"/>
              </w:rPr>
              <w:t xml:space="preserve">  Date of Detection:   [DATE AND TIME]</w:t>
            </w:r>
          </w:p>
          <w:p>
            <w:pPr>
              <w:spacing w:after="80" w:before="40"/>
            </w:pPr>
            <w:r>
              <w:rPr>
                <w:rFonts w:ascii="Courier New" w:cs="Courier New" w:eastAsia="Courier New" w:hAnsi="Courier New"/>
                <w:color w:val="2C2C2C"/>
                <w:sz w:val="20"/>
                <w:szCs w:val="20"/>
              </w:rPr>
              <w:t xml:space="preserve">  Incident Classified: [P1 CRITICAL — DATE AND TIME]</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1. INCIDENT DESCRIPTION</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[Provide a factual 3-5 sentence description of what occurred. What did the system</w:t>
            </w:r>
          </w:p>
          <w:p>
            <w:pPr>
              <w:spacing w:after="80" w:before="40"/>
            </w:pPr>
            <w:r>
              <w:rPr>
                <w:rFonts w:ascii="Courier New" w:cs="Courier New" w:eastAsia="Courier New" w:hAnsi="Courier New"/>
                <w:color w:val="2C2C2C"/>
                <w:sz w:val="20"/>
                <w:szCs w:val="20"/>
              </w:rPr>
              <w:t xml:space="preserve">do or fail to do? What was the observed effect? Do not speculate on root cause</w:t>
            </w:r>
          </w:p>
          <w:p>
            <w:pPr>
              <w:spacing w:after="80" w:before="40"/>
            </w:pPr>
            <w:r>
              <w:rPr>
                <w:rFonts w:ascii="Courier New" w:cs="Courier New" w:eastAsia="Courier New" w:hAnsi="Courier New"/>
                <w:color w:val="2C2C2C"/>
                <w:sz w:val="20"/>
                <w:szCs w:val="20"/>
              </w:rPr>
              <w:t xml:space="preserve">at this stage. Example: 'NorthStar's CreditScore Pro model has been identified</w:t>
            </w:r>
          </w:p>
          <w:p>
            <w:pPr>
              <w:spacing w:after="80" w:before="40"/>
            </w:pPr>
            <w:r>
              <w:rPr>
                <w:rFonts w:ascii="Courier New" w:cs="Courier New" w:eastAsia="Courier New" w:hAnsi="Courier New"/>
                <w:color w:val="2C2C2C"/>
                <w:sz w:val="20"/>
                <w:szCs w:val="20"/>
              </w:rPr>
              <w:t xml:space="preserve">as producing materially elevated rejection rates for applicants from East London</w:t>
            </w:r>
          </w:p>
          <w:p>
            <w:pPr>
              <w:spacing w:after="80" w:before="40"/>
            </w:pPr>
            <w:r>
              <w:rPr>
                <w:rFonts w:ascii="Courier New" w:cs="Courier New" w:eastAsia="Courier New" w:hAnsi="Courier New"/>
                <w:color w:val="2C2C2C"/>
                <w:sz w:val="20"/>
                <w:szCs w:val="20"/>
              </w:rPr>
              <w:t xml:space="preserve">postcodes (E1-E17) since approximately July 2023. The affected period is currently</w:t>
            </w:r>
          </w:p>
          <w:p>
            <w:pPr>
              <w:spacing w:after="80" w:before="40"/>
            </w:pPr>
            <w:r>
              <w:rPr>
                <w:rFonts w:ascii="Courier New" w:cs="Courier New" w:eastAsia="Courier New" w:hAnsi="Courier New"/>
                <w:color w:val="2C2C2C"/>
                <w:sz w:val="20"/>
                <w:szCs w:val="20"/>
              </w:rPr>
              <w:t xml:space="preserve">under investigation. Approximately [N] applicants may have been affected.']</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2. IMMEDIATE ACTIONS TAKEN</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[List 2-4 specific containment actions taken since detection. Dates and times</w:t>
            </w:r>
          </w:p>
          <w:p>
            <w:pPr>
              <w:spacing w:after="80" w:before="40"/>
            </w:pPr>
            <w:r>
              <w:rPr>
                <w:rFonts w:ascii="Courier New" w:cs="Courier New" w:eastAsia="Courier New" w:hAnsi="Courier New"/>
                <w:color w:val="2C2C2C"/>
                <w:sz w:val="20"/>
                <w:szCs w:val="20"/>
              </w:rPr>
              <w:t xml:space="preserve">where known. Example: 'The system was suspended from automated decision-making</w:t>
            </w:r>
          </w:p>
          <w:p>
            <w:pPr>
              <w:spacing w:after="80" w:before="40"/>
            </w:pPr>
            <w:r>
              <w:rPr>
                <w:rFonts w:ascii="Courier New" w:cs="Courier New" w:eastAsia="Courier New" w:hAnsi="Courier New"/>
                <w:color w:val="2C2C2C"/>
                <w:sz w:val="20"/>
                <w:szCs w:val="20"/>
              </w:rPr>
              <w:t xml:space="preserve">on [DATE]. All outputs from the affected period have been flagged for human review.</w:t>
            </w:r>
          </w:p>
          <w:p>
            <w:pPr>
              <w:spacing w:after="80" w:before="40"/>
            </w:pPr>
            <w:r>
              <w:rPr>
                <w:rFonts w:ascii="Courier New" w:cs="Courier New" w:eastAsia="Courier New" w:hAnsi="Courier New"/>
                <w:color w:val="2C2C2C"/>
                <w:sz w:val="20"/>
                <w:szCs w:val="20"/>
              </w:rPr>
              <w:t xml:space="preserve">An investigation team has been convened under the Head of AI Governance.']</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3. CURRENT STATUS</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The investigation is ongoing. Root cause has not yet been confirmed. NorthStar</w:t>
            </w:r>
          </w:p>
          <w:p>
            <w:pPr>
              <w:spacing w:after="80" w:before="40"/>
            </w:pPr>
            <w:r>
              <w:rPr>
                <w:rFonts w:ascii="Courier New" w:cs="Courier New" w:eastAsia="Courier New" w:hAnsi="Courier New"/>
                <w:color w:val="2C2C2C"/>
                <w:sz w:val="20"/>
                <w:szCs w:val="20"/>
              </w:rPr>
              <w:t xml:space="preserve">expects to provide a full follow-up notification within [10-14] business days</w:t>
            </w:r>
          </w:p>
          <w:p>
            <w:pPr>
              <w:spacing w:after="80" w:before="40"/>
            </w:pPr>
            <w:r>
              <w:rPr>
                <w:rFonts w:ascii="Courier New" w:cs="Courier New" w:eastAsia="Courier New" w:hAnsi="Courier New"/>
                <w:color w:val="2C2C2C"/>
                <w:sz w:val="20"/>
                <w:szCs w:val="20"/>
              </w:rPr>
              <w:t xml:space="preserve">or sooner if material developments arise.</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4. CONTACT DETAILS</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  Primary Contact:  [HEAD OF AI GOVERNANCE NAME]</w:t>
            </w:r>
          </w:p>
          <w:p>
            <w:pPr>
              <w:spacing w:after="80" w:before="40"/>
            </w:pPr>
            <w:r>
              <w:rPr>
                <w:rFonts w:ascii="Courier New" w:cs="Courier New" w:eastAsia="Courier New" w:hAnsi="Courier New"/>
                <w:color w:val="2C2C2C"/>
                <w:sz w:val="20"/>
                <w:szCs w:val="20"/>
              </w:rPr>
              <w:t xml:space="preserve">  Title:            Head of AI Governance, NorthStar Financial Services</w:t>
            </w:r>
          </w:p>
          <w:p>
            <w:pPr>
              <w:spacing w:after="80" w:before="40"/>
            </w:pPr>
            <w:r>
              <w:rPr>
                <w:rFonts w:ascii="Courier New" w:cs="Courier New" w:eastAsia="Courier New" w:hAnsi="Courier New"/>
                <w:color w:val="2C2C2C"/>
                <w:sz w:val="20"/>
                <w:szCs w:val="20"/>
              </w:rPr>
              <w:t xml:space="preserve">  Email:            [EMAIL ADDRESS]</w:t>
            </w:r>
          </w:p>
          <w:p>
            <w:pPr>
              <w:spacing w:after="80" w:before="40"/>
            </w:pPr>
            <w:r>
              <w:rPr>
                <w:rFonts w:ascii="Courier New" w:cs="Courier New" w:eastAsia="Courier New" w:hAnsi="Courier New"/>
                <w:color w:val="2C2C2C"/>
                <w:sz w:val="20"/>
                <w:szCs w:val="20"/>
              </w:rPr>
              <w:t xml:space="preserve">  Direct Line:      [PHONE NUMBER]</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  Legal Counsel:    [LEGAL COUNSEL NAME]</w:t>
            </w:r>
          </w:p>
          <w:p>
            <w:pPr>
              <w:spacing w:after="80" w:before="40"/>
            </w:pPr>
            <w:r>
              <w:rPr>
                <w:rFonts w:ascii="Courier New" w:cs="Courier New" w:eastAsia="Courier New" w:hAnsi="Courier New"/>
                <w:color w:val="2C2C2C"/>
                <w:sz w:val="20"/>
                <w:szCs w:val="20"/>
              </w:rPr>
              <w:t xml:space="preserve">  Email:            [EMAIL ADDRESS]</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NorthStar Financial Services is committed to full cooperation with [AUTHORITY NAME]</w:t>
            </w:r>
          </w:p>
          <w:p>
            <w:pPr>
              <w:spacing w:after="80" w:before="40"/>
            </w:pPr>
            <w:r>
              <w:rPr>
                <w:rFonts w:ascii="Courier New" w:cs="Courier New" w:eastAsia="Courier New" w:hAnsi="Courier New"/>
                <w:color w:val="2C2C2C"/>
                <w:sz w:val="20"/>
                <w:szCs w:val="20"/>
              </w:rPr>
              <w:t xml:space="preserve">throughout this matter. We will proactively update this notification as the</w:t>
            </w:r>
          </w:p>
          <w:p>
            <w:pPr>
              <w:spacing w:after="80" w:before="40"/>
            </w:pPr>
            <w:r>
              <w:rPr>
                <w:rFonts w:ascii="Courier New" w:cs="Courier New" w:eastAsia="Courier New" w:hAnsi="Courier New"/>
                <w:color w:val="2C2C2C"/>
                <w:sz w:val="20"/>
                <w:szCs w:val="20"/>
              </w:rPr>
              <w:t xml:space="preserve">investigation develops and will make relevant documentation available upon request.</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Yours faithfully,</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[NAME]</w:t>
            </w:r>
          </w:p>
          <w:p>
            <w:pPr>
              <w:spacing w:after="80" w:before="40"/>
            </w:pPr>
            <w:r>
              <w:rPr>
                <w:rFonts w:ascii="Courier New" w:cs="Courier New" w:eastAsia="Courier New" w:hAnsi="Courier New"/>
                <w:color w:val="2C2C2C"/>
                <w:sz w:val="20"/>
                <w:szCs w:val="20"/>
              </w:rPr>
              <w:t xml:space="preserve">Chief Risk Officer</w:t>
            </w:r>
          </w:p>
          <w:p>
            <w:pPr>
              <w:spacing w:after="80" w:before="40"/>
            </w:pPr>
            <w:r>
              <w:rPr>
                <w:rFonts w:ascii="Courier New" w:cs="Courier New" w:eastAsia="Courier New" w:hAnsi="Courier New"/>
                <w:color w:val="2C2C2C"/>
                <w:sz w:val="20"/>
                <w:szCs w:val="20"/>
              </w:rPr>
              <w:t xml:space="preserve">NorthStar Financial Services</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CC: [LEGAL COUNSEL NAME], Legal Counsel</w:t>
            </w:r>
          </w:p>
          <w:p>
            <w:pPr>
              <w:spacing w:after="80" w:before="40"/>
            </w:pPr>
            <w:r>
              <w:rPr>
                <w:rFonts w:ascii="Courier New" w:cs="Courier New" w:eastAsia="Courier New" w:hAnsi="Courier New"/>
                <w:color w:val="2C2C2C"/>
                <w:sz w:val="20"/>
                <w:szCs w:val="20"/>
              </w:rPr>
              <w:t xml:space="preserve">    [HEAD OF AI GOVERNANCE NAME], Head of AI Governance</w:t>
            </w:r>
          </w:p>
        </w:tc>
      </w:tr>
    </w:tbl>
    <w:p>
      <w:pPr>
        <w:spacing w:after="240" w:before="0"/>
      </w:pPr>
    </w:p>
    <w:p>
      <w:pPr>
        <w:pStyle w:val="Heading2"/>
        <w:spacing w:after="100" w:before="280"/>
      </w:pPr>
      <w:r>
        <w:rPr>
          <w:rFonts w:ascii="Arial" w:cs="Arial" w:eastAsia="Arial" w:hAnsi="Arial"/>
          <w:b/>
          <w:bCs/>
          <w:color w:val="2E5FA3"/>
          <w:sz w:val="24"/>
          <w:szCs w:val="24"/>
        </w:rPr>
        <w:t xml:space="preserve">Template B — Follow-Up Notification (Post-Investigation)</w:t>
      </w:r>
    </w:p>
    <w:p>
      <w:pPr>
        <w:spacing w:after="120" w:before="60"/>
      </w:pPr>
      <w:r>
        <w:rPr>
          <w:rFonts w:ascii="Arial" w:cs="Arial" w:eastAsia="Arial" w:hAnsi="Arial"/>
          <w:i/>
          <w:iCs/>
          <w:color w:val="5D5D5D"/>
          <w:sz w:val="22"/>
          <w:szCs w:val="22"/>
        </w:rPr>
        <w:t xml:space="preserve">Use this template when submitting a follow-up notification after root cause has been confirmed and remediation is underway. This letter should be substantive — regulators expect detail at this stage.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2"/>
              <w:bottom w:val="single" w:color="2E5FA3" w:sz="1"/>
              <w:right w:val="single" w:color="2E5FA3" w:sz="1"/>
            </w:tcBorders>
            <w:shd w:fill="F8FBFF" w:val="clear"/>
            <w:tcMar>
              <w:top w:type="dxa" w:w="160"/>
              <w:left w:type="dxa" w:w="240"/>
              <w:bottom w:type="dxa" w:w="160"/>
              <w:right w:type="dxa" w:w="240"/>
            </w:tcMar>
          </w:tcPr>
          <w:p>
            <w:pPr>
              <w:spacing w:after="80" w:before="40"/>
            </w:pPr>
            <w:r>
              <w:rPr>
                <w:rFonts w:ascii="Courier New" w:cs="Courier New" w:eastAsia="Courier New" w:hAnsi="Courier New"/>
                <w:color w:val="2C2C2C"/>
                <w:sz w:val="20"/>
                <w:szCs w:val="20"/>
              </w:rPr>
              <w:t xml:space="preserve">[COMPETENT AUTHORITY NAME]</w:t>
            </w:r>
          </w:p>
          <w:p>
            <w:pPr>
              <w:spacing w:after="80" w:before="40"/>
            </w:pPr>
            <w:r>
              <w:rPr>
                <w:rFonts w:ascii="Courier New" w:cs="Courier New" w:eastAsia="Courier New" w:hAnsi="Courier New"/>
                <w:color w:val="2C2C2C"/>
                <w:sz w:val="20"/>
                <w:szCs w:val="20"/>
              </w:rPr>
              <w:t xml:space="preserve">[AUTHORITY ADDRESS]</w:t>
            </w:r>
          </w:p>
          <w:p>
            <w:pPr>
              <w:spacing w:after="80" w:before="40"/>
            </w:pPr>
            <w:r>
              <w:rPr>
                <w:rFonts w:ascii="Courier New" w:cs="Courier New" w:eastAsia="Courier New" w:hAnsi="Courier New"/>
                <w:color w:val="2C2C2C"/>
                <w:sz w:val="20"/>
                <w:szCs w:val="20"/>
              </w:rPr>
              <w:t xml:space="preserve">[CITY, COUNTRY]</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[DATE]</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RE: Article 73 EU AI Act — Follow-Up Notification (Update 1)</w:t>
            </w:r>
          </w:p>
          <w:p>
            <w:pPr>
              <w:spacing w:after="80" w:before="40"/>
            </w:pPr>
            <w:r>
              <w:rPr>
                <w:rFonts w:ascii="Courier New" w:cs="Courier New" w:eastAsia="Courier New" w:hAnsi="Courier New"/>
                <w:color w:val="2C2C2C"/>
                <w:sz w:val="20"/>
                <w:szCs w:val="20"/>
              </w:rPr>
              <w:t xml:space="preserve">NorthStar Financial Services — Incident Reference: [NS-INC-YYYY-NNN]</w:t>
            </w:r>
          </w:p>
          <w:p>
            <w:pPr>
              <w:spacing w:after="80" w:before="40"/>
            </w:pPr>
            <w:r>
              <w:rPr>
                <w:rFonts w:ascii="Courier New" w:cs="Courier New" w:eastAsia="Courier New" w:hAnsi="Courier New"/>
                <w:color w:val="2C2C2C"/>
                <w:sz w:val="20"/>
                <w:szCs w:val="20"/>
              </w:rPr>
              <w:t xml:space="preserve">Initial Notification Date: [DATE OF INITIAL NOTIFICATION]</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Dear [AUTHORITY CONTACT NAME / 'Sir or Madam'],</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This letter provides a follow-up to NorthStar's initial Article 73 notification</w:t>
            </w:r>
          </w:p>
          <w:p>
            <w:pPr>
              <w:spacing w:after="80" w:before="40"/>
            </w:pPr>
            <w:r>
              <w:rPr>
                <w:rFonts w:ascii="Courier New" w:cs="Courier New" w:eastAsia="Courier New" w:hAnsi="Courier New"/>
                <w:color w:val="2C2C2C"/>
                <w:sz w:val="20"/>
                <w:szCs w:val="20"/>
              </w:rPr>
              <w:t xml:space="preserve">dated [DATE]. Since the initial notification, the investigation has reached</w:t>
            </w:r>
          </w:p>
          <w:p>
            <w:pPr>
              <w:spacing w:after="80" w:before="40"/>
            </w:pPr>
            <w:r>
              <w:rPr>
                <w:rFonts w:ascii="Courier New" w:cs="Courier New" w:eastAsia="Courier New" w:hAnsi="Courier New"/>
                <w:color w:val="2C2C2C"/>
                <w:sz w:val="20"/>
                <w:szCs w:val="20"/>
              </w:rPr>
              <w:t xml:space="preserve">the following conclusions:</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1. ROOT CAUSE CONFIRMED</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[Provide clear explanation of root cause in plain language. What specifically</w:t>
            </w:r>
          </w:p>
          <w:p>
            <w:pPr>
              <w:spacing w:after="80" w:before="40"/>
            </w:pPr>
            <w:r>
              <w:rPr>
                <w:rFonts w:ascii="Courier New" w:cs="Courier New" w:eastAsia="Courier New" w:hAnsi="Courier New"/>
                <w:color w:val="2C2C2C"/>
                <w:sz w:val="20"/>
                <w:szCs w:val="20"/>
              </w:rPr>
              <w:t xml:space="preserve">caused the incident? Example: 'The investigation confirmed that CreditScore Pro</w:t>
            </w:r>
          </w:p>
          <w:p>
            <w:pPr>
              <w:spacing w:after="80" w:before="40"/>
            </w:pPr>
            <w:r>
              <w:rPr>
                <w:rFonts w:ascii="Courier New" w:cs="Courier New" w:eastAsia="Courier New" w:hAnsi="Courier New"/>
                <w:color w:val="2C2C2C"/>
                <w:sz w:val="20"/>
                <w:szCs w:val="20"/>
              </w:rPr>
              <w:t xml:space="preserve">experienced distributional shift affecting East London postcode applicants. The</w:t>
            </w:r>
          </w:p>
          <w:p>
            <w:pPr>
              <w:spacing w:after="80" w:before="40"/>
            </w:pPr>
            <w:r>
              <w:rPr>
                <w:rFonts w:ascii="Courier New" w:cs="Courier New" w:eastAsia="Courier New" w:hAnsi="Courier New"/>
                <w:color w:val="2C2C2C"/>
                <w:sz w:val="20"/>
                <w:szCs w:val="20"/>
              </w:rPr>
              <w:t xml:space="preserve">model was trained on 2019-2021 data with under-representation of this applicant</w:t>
            </w:r>
          </w:p>
          <w:p>
            <w:pPr>
              <w:spacing w:after="80" w:before="40"/>
            </w:pPr>
            <w:r>
              <w:rPr>
                <w:rFonts w:ascii="Courier New" w:cs="Courier New" w:eastAsia="Courier New" w:hAnsi="Courier New"/>
                <w:color w:val="2C2C2C"/>
                <w:sz w:val="20"/>
                <w:szCs w:val="20"/>
              </w:rPr>
              <w:t xml:space="preserve">profile. Post-pandemic migration patterns caused the model to encounter a</w:t>
            </w:r>
          </w:p>
          <w:p>
            <w:pPr>
              <w:spacing w:after="80" w:before="40"/>
            </w:pPr>
            <w:r>
              <w:rPr>
                <w:rFonts w:ascii="Courier New" w:cs="Courier New" w:eastAsia="Courier New" w:hAnsi="Courier New"/>
                <w:color w:val="2C2C2C"/>
                <w:sz w:val="20"/>
                <w:szCs w:val="20"/>
              </w:rPr>
              <w:t xml:space="preserve">population it had not been trained to score accurately, resulting in systematically</w:t>
            </w:r>
          </w:p>
          <w:p>
            <w:pPr>
              <w:spacing w:after="80" w:before="40"/>
            </w:pPr>
            <w:r>
              <w:rPr>
                <w:rFonts w:ascii="Courier New" w:cs="Courier New" w:eastAsia="Courier New" w:hAnsi="Courier New"/>
                <w:color w:val="2C2C2C"/>
                <w:sz w:val="20"/>
                <w:szCs w:val="20"/>
              </w:rPr>
              <w:t xml:space="preserve">elevated rejection rates for this group.']</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2. SCALE OF IMPACT</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  Affected individuals identified:  [NUMBER]</w:t>
            </w:r>
          </w:p>
          <w:p>
            <w:pPr>
              <w:spacing w:after="80" w:before="40"/>
            </w:pPr>
            <w:r>
              <w:rPr>
                <w:rFonts w:ascii="Courier New" w:cs="Courier New" w:eastAsia="Courier New" w:hAnsi="Courier New"/>
                <w:color w:val="2C2C2C"/>
                <w:sz w:val="20"/>
                <w:szCs w:val="20"/>
              </w:rPr>
              <w:t xml:space="preserve">  Time period:                       [START DATE] to [END DATE]</w:t>
            </w:r>
          </w:p>
          <w:p>
            <w:pPr>
              <w:spacing w:after="80" w:before="40"/>
            </w:pPr>
            <w:r>
              <w:rPr>
                <w:rFonts w:ascii="Courier New" w:cs="Courier New" w:eastAsia="Courier New" w:hAnsi="Courier New"/>
                <w:color w:val="2C2C2C"/>
                <w:sz w:val="20"/>
                <w:szCs w:val="20"/>
              </w:rPr>
              <w:t xml:space="preserve">  Nature of harm:                    [DESCRIPTION — financial, discriminatory, etc.]</w:t>
            </w:r>
          </w:p>
          <w:p>
            <w:pPr>
              <w:spacing w:after="80" w:before="40"/>
            </w:pPr>
            <w:r>
              <w:rPr>
                <w:rFonts w:ascii="Courier New" w:cs="Courier New" w:eastAsia="Courier New" w:hAnsi="Courier New"/>
                <w:color w:val="2C2C2C"/>
                <w:sz w:val="20"/>
                <w:szCs w:val="20"/>
              </w:rPr>
              <w:t xml:space="preserve">  Notification to affected persons:  [STATUS — e.g. 'Letters issued to all [N]</w:t>
            </w:r>
          </w:p>
          <w:p>
            <w:pPr>
              <w:spacing w:after="80" w:before="40"/>
            </w:pPr>
            <w:r>
              <w:rPr>
                <w:rFonts w:ascii="Courier New" w:cs="Courier New" w:eastAsia="Courier New" w:hAnsi="Courier New"/>
                <w:color w:val="2C2C2C"/>
                <w:sz w:val="20"/>
                <w:szCs w:val="20"/>
              </w:rPr>
              <w:t xml:space="preserve">                                      affected applicants on [DATE]']</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3. REMEDIATION ACTIONS COMPLETED</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[List specific remediation actions with completion dates.</w:t>
            </w:r>
          </w:p>
          <w:p>
            <w:pPr>
              <w:spacing w:after="80" w:before="40"/>
            </w:pPr>
            <w:r>
              <w:rPr>
                <w:rFonts w:ascii="Courier New" w:cs="Courier New" w:eastAsia="Courier New" w:hAnsi="Courier New"/>
                <w:color w:val="2C2C2C"/>
                <w:sz w:val="20"/>
                <w:szCs w:val="20"/>
              </w:rPr>
              <w:t xml:space="preserve">Example:</w:t>
            </w:r>
          </w:p>
          <w:p>
            <w:pPr>
              <w:spacing w:after="80" w:before="40"/>
            </w:pPr>
            <w:r>
              <w:rPr>
                <w:rFonts w:ascii="Courier New" w:cs="Courier New" w:eastAsia="Courier New" w:hAnsi="Courier New"/>
                <w:color w:val="2C2C2C"/>
                <w:sz w:val="20"/>
                <w:szCs w:val="20"/>
              </w:rPr>
              <w:t xml:space="preserve">  - System suspended from [DATE]. Remains suspended pending revalidation.</w:t>
            </w:r>
          </w:p>
          <w:p>
            <w:pPr>
              <w:spacing w:after="80" w:before="40"/>
            </w:pPr>
            <w:r>
              <w:rPr>
                <w:rFonts w:ascii="Courier New" w:cs="Courier New" w:eastAsia="Courier New" w:hAnsi="Courier New"/>
                <w:color w:val="2C2C2C"/>
                <w:sz w:val="20"/>
                <w:szCs w:val="20"/>
              </w:rPr>
              <w:t xml:space="preserve">  - [N] affected applications identified and re-assessed by [DATE].</w:t>
            </w:r>
          </w:p>
          <w:p>
            <w:pPr>
              <w:spacing w:after="80" w:before="40"/>
            </w:pPr>
            <w:r>
              <w:rPr>
                <w:rFonts w:ascii="Courier New" w:cs="Courier New" w:eastAsia="Courier New" w:hAnsi="Courier New"/>
                <w:color w:val="2C2C2C"/>
                <w:sz w:val="20"/>
                <w:szCs w:val="20"/>
              </w:rPr>
              <w:t xml:space="preserve">  - Model retraining commenced [DATE]. Expected completion: [DATE].</w:t>
            </w:r>
          </w:p>
          <w:p>
            <w:pPr>
              <w:spacing w:after="80" w:before="40"/>
            </w:pPr>
            <w:r>
              <w:rPr>
                <w:rFonts w:ascii="Courier New" w:cs="Courier New" w:eastAsia="Courier New" w:hAnsi="Courier New"/>
                <w:color w:val="2C2C2C"/>
                <w:sz w:val="20"/>
                <w:szCs w:val="20"/>
              </w:rPr>
              <w:t xml:space="preserve">  - Enhanced monitoring framework implemented: [brief description].</w:t>
            </w:r>
          </w:p>
          <w:p>
            <w:pPr>
              <w:spacing w:after="80" w:before="40"/>
            </w:pPr>
            <w:r>
              <w:rPr>
                <w:rFonts w:ascii="Courier New" w:cs="Courier New" w:eastAsia="Courier New" w:hAnsi="Courier New"/>
                <w:color w:val="2C2C2C"/>
                <w:sz w:val="20"/>
                <w:szCs w:val="20"/>
              </w:rPr>
              <w:t xml:space="preserve">  - Individual notifications issued to [N] affected persons on [DATE].']</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4. PREVENTIVE MEASURES</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[Describe what will change to prevent recurrence. Be specific. Regulators</w:t>
            </w:r>
          </w:p>
          <w:p>
            <w:pPr>
              <w:spacing w:after="80" w:before="40"/>
            </w:pPr>
            <w:r>
              <w:rPr>
                <w:rFonts w:ascii="Courier New" w:cs="Courier New" w:eastAsia="Courier New" w:hAnsi="Courier New"/>
                <w:color w:val="2C2C2C"/>
                <w:sz w:val="20"/>
                <w:szCs w:val="20"/>
              </w:rPr>
              <w:t xml:space="preserve">are not satisfied by generic commitments. Example: 'NorthStar has implemented</w:t>
            </w:r>
          </w:p>
          <w:p>
            <w:pPr>
              <w:spacing w:after="80" w:before="40"/>
            </w:pPr>
            <w:r>
              <w:rPr>
                <w:rFonts w:ascii="Courier New" w:cs="Courier New" w:eastAsia="Courier New" w:hAnsi="Courier New"/>
                <w:color w:val="2C2C2C"/>
                <w:sz w:val="20"/>
                <w:szCs w:val="20"/>
              </w:rPr>
              <w:t xml:space="preserve">mandatory postcode-segment drift monitoring with a 5pp alert threshold. Monthly</w:t>
            </w:r>
          </w:p>
          <w:p>
            <w:pPr>
              <w:spacing w:after="80" w:before="40"/>
            </w:pPr>
            <w:r>
              <w:rPr>
                <w:rFonts w:ascii="Courier New" w:cs="Courier New" w:eastAsia="Courier New" w:hAnsi="Courier New"/>
                <w:color w:val="2C2C2C"/>
                <w:sz w:val="20"/>
                <w:szCs w:val="20"/>
              </w:rPr>
              <w:t xml:space="preserve">drift reports now require CRO sign-off within five business days. Annual model</w:t>
            </w:r>
          </w:p>
          <w:p>
            <w:pPr>
              <w:spacing w:after="80" w:before="40"/>
            </w:pPr>
            <w:r>
              <w:rPr>
                <w:rFonts w:ascii="Courier New" w:cs="Courier New" w:eastAsia="Courier New" w:hAnsi="Courier New"/>
                <w:color w:val="2C2C2C"/>
                <w:sz w:val="20"/>
                <w:szCs w:val="20"/>
              </w:rPr>
              <w:t xml:space="preserve">retraining with demographic coverage analysis has been added as a mandatory</w:t>
            </w:r>
          </w:p>
          <w:p>
            <w:pPr>
              <w:spacing w:after="80" w:before="40"/>
            </w:pPr>
            <w:r>
              <w:rPr>
                <w:rFonts w:ascii="Courier New" w:cs="Courier New" w:eastAsia="Courier New" w:hAnsi="Courier New"/>
                <w:color w:val="2C2C2C"/>
                <w:sz w:val="20"/>
                <w:szCs w:val="20"/>
              </w:rPr>
              <w:t xml:space="preserve">deployment gate requirement.']</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5. CONFORMITY ASSESSMENT STATUS</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  [If applicable: 'Article 43 conformity assessment for [SYSTEM] was not</w:t>
            </w:r>
          </w:p>
          <w:p>
            <w:pPr>
              <w:spacing w:after="80" w:before="40"/>
            </w:pPr>
            <w:r>
              <w:rPr>
                <w:rFonts w:ascii="Courier New" w:cs="Courier New" w:eastAsia="Courier New" w:hAnsi="Courier New"/>
                <w:color w:val="2C2C2C"/>
                <w:sz w:val="20"/>
                <w:szCs w:val="20"/>
              </w:rPr>
              <w:t xml:space="preserve">  completed prior to this incident. Assessment has been commissioned and is</w:t>
            </w:r>
          </w:p>
          <w:p>
            <w:pPr>
              <w:spacing w:after="80" w:before="40"/>
            </w:pPr>
            <w:r>
              <w:rPr>
                <w:rFonts w:ascii="Courier New" w:cs="Courier New" w:eastAsia="Courier New" w:hAnsi="Courier New"/>
                <w:color w:val="2C2C2C"/>
                <w:sz w:val="20"/>
                <w:szCs w:val="20"/>
              </w:rPr>
              <w:t xml:space="preserve">  expected to complete by [DATE]. System will not be reinstated until the</w:t>
            </w:r>
          </w:p>
          <w:p>
            <w:pPr>
              <w:spacing w:after="80" w:before="40"/>
            </w:pPr>
            <w:r>
              <w:rPr>
                <w:rFonts w:ascii="Courier New" w:cs="Courier New" w:eastAsia="Courier New" w:hAnsi="Courier New"/>
                <w:color w:val="2C2C2C"/>
                <w:sz w:val="20"/>
                <w:szCs w:val="20"/>
              </w:rPr>
              <w:t xml:space="preserve">  assessment is complete and signed off by the CRO.']</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NorthStar Financial Services remains available to provide any further</w:t>
            </w:r>
          </w:p>
          <w:p>
            <w:pPr>
              <w:spacing w:after="80" w:before="40"/>
            </w:pPr>
            <w:r>
              <w:rPr>
                <w:rFonts w:ascii="Courier New" w:cs="Courier New" w:eastAsia="Courier New" w:hAnsi="Courier New"/>
                <w:color w:val="2C2C2C"/>
                <w:sz w:val="20"/>
                <w:szCs w:val="20"/>
              </w:rPr>
              <w:t xml:space="preserve">documentation, data, or explanations that [AUTHORITY NAME] may require.</w:t>
            </w:r>
          </w:p>
          <w:p>
            <w:pPr>
              <w:spacing w:after="80" w:before="40"/>
            </w:pPr>
            <w:r>
              <w:rPr>
                <w:rFonts w:ascii="Courier New" w:cs="Courier New" w:eastAsia="Courier New" w:hAnsi="Courier New"/>
                <w:color w:val="2C2C2C"/>
                <w:sz w:val="20"/>
                <w:szCs w:val="20"/>
              </w:rPr>
              <w:t xml:space="preserve">We are committed to the full remediation of this incident and to meeting</w:t>
            </w:r>
          </w:p>
          <w:p>
            <w:pPr>
              <w:spacing w:after="80" w:before="40"/>
            </w:pPr>
            <w:r>
              <w:rPr>
                <w:rFonts w:ascii="Courier New" w:cs="Courier New" w:eastAsia="Courier New" w:hAnsi="Courier New"/>
                <w:color w:val="2C2C2C"/>
                <w:sz w:val="20"/>
                <w:szCs w:val="20"/>
              </w:rPr>
              <w:t xml:space="preserve">our ongoing obligations under the EU AI Act.</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Yours faithfully,</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[NAME]</w:t>
            </w:r>
          </w:p>
          <w:p>
            <w:pPr>
              <w:spacing w:after="80" w:before="40"/>
            </w:pPr>
            <w:r>
              <w:rPr>
                <w:rFonts w:ascii="Courier New" w:cs="Courier New" w:eastAsia="Courier New" w:hAnsi="Courier New"/>
                <w:color w:val="2C2C2C"/>
                <w:sz w:val="20"/>
                <w:szCs w:val="20"/>
              </w:rPr>
              <w:t xml:space="preserve">Chief Risk Officer</w:t>
            </w:r>
          </w:p>
          <w:p>
            <w:pPr>
              <w:spacing w:after="80" w:before="40"/>
            </w:pPr>
            <w:r>
              <w:rPr>
                <w:rFonts w:ascii="Courier New" w:cs="Courier New" w:eastAsia="Courier New" w:hAnsi="Courier New"/>
                <w:color w:val="2C2C2C"/>
                <w:sz w:val="20"/>
                <w:szCs w:val="20"/>
              </w:rPr>
              <w:t xml:space="preserve">NorthStar Financial Services</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Enclosures:</w:t>
            </w:r>
          </w:p>
          <w:p>
            <w:pPr>
              <w:spacing w:after="80" w:before="40"/>
            </w:pPr>
            <w:r>
              <w:rPr>
                <w:rFonts w:ascii="Courier New" w:cs="Courier New" w:eastAsia="Courier New" w:hAnsi="Courier New"/>
                <w:color w:val="2C2C2C"/>
                <w:sz w:val="20"/>
                <w:szCs w:val="20"/>
              </w:rPr>
              <w:t xml:space="preserve">  1. Incident Investigation Report [NS-INC-YYYY-NNN-INV]</w:t>
            </w:r>
          </w:p>
          <w:p>
            <w:pPr>
              <w:spacing w:after="80" w:before="40"/>
            </w:pPr>
            <w:r>
              <w:rPr>
                <w:rFonts w:ascii="Courier New" w:cs="Courier New" w:eastAsia="Courier New" w:hAnsi="Courier New"/>
                <w:color w:val="2C2C2C"/>
                <w:sz w:val="20"/>
                <w:szCs w:val="20"/>
              </w:rPr>
              <w:t xml:space="preserve">  2. Root Cause Analysis Summary</w:t>
            </w:r>
          </w:p>
          <w:p>
            <w:pPr>
              <w:spacing w:after="80" w:before="40"/>
            </w:pPr>
            <w:r>
              <w:rPr>
                <w:rFonts w:ascii="Courier New" w:cs="Courier New" w:eastAsia="Courier New" w:hAnsi="Courier New"/>
                <w:color w:val="2C2C2C"/>
                <w:sz w:val="20"/>
                <w:szCs w:val="20"/>
              </w:rPr>
              <w:t xml:space="preserve">  3. Affected Individual Notification Template</w:t>
            </w:r>
          </w:p>
          <w:p>
            <w:pPr>
              <w:spacing w:after="80" w:before="40"/>
            </w:pPr>
            <w:r>
              <w:rPr>
                <w:rFonts w:ascii="Courier New" w:cs="Courier New" w:eastAsia="Courier New" w:hAnsi="Courier New"/>
                <w:color w:val="2C2C2C"/>
                <w:sz w:val="20"/>
                <w:szCs w:val="20"/>
              </w:rPr>
              <w:t xml:space="preserve">  4. Remediation Action Log</w:t>
            </w:r>
          </w:p>
          <w:p>
            <w:pPr>
              <w:spacing w:after="80" w:before="40"/>
            </w:pPr>
            <w:r>
              <w:rPr>
                <w:rFonts w:ascii="Courier New" w:cs="Courier New" w:eastAsia="Courier New" w:hAnsi="Courier New"/>
                <w:color w:val="2C2C2C"/>
                <w:sz w:val="20"/>
                <w:szCs w:val="20"/>
              </w:rPr>
              <w:t xml:space="preserve"/>
            </w:r>
          </w:p>
          <w:p>
            <w:pPr>
              <w:spacing w:after="80" w:before="40"/>
            </w:pPr>
            <w:r>
              <w:rPr>
                <w:rFonts w:ascii="Courier New" w:cs="Courier New" w:eastAsia="Courier New" w:hAnsi="Courier New"/>
                <w:color w:val="2C2C2C"/>
                <w:sz w:val="20"/>
                <w:szCs w:val="20"/>
              </w:rPr>
              <w:t xml:space="preserve">CC: [LEGAL COUNSEL NAME], Legal Counsel</w:t>
            </w:r>
          </w:p>
          <w:p>
            <w:pPr>
              <w:spacing w:after="80" w:before="40"/>
            </w:pPr>
            <w:r>
              <w:rPr>
                <w:rFonts w:ascii="Courier New" w:cs="Courier New" w:eastAsia="Courier New" w:hAnsi="Courier New"/>
                <w:color w:val="2C2C2C"/>
                <w:sz w:val="20"/>
                <w:szCs w:val="20"/>
              </w:rPr>
              <w:t xml:space="preserve">    [HEAD OF AI GOVERNANCE NAME], Head of AI Governance</w:t>
            </w:r>
          </w:p>
        </w:tc>
      </w:tr>
    </w:tbl>
    <w:p>
      <w:pPr>
        <w:spacing w:after="240" w:before="0"/>
      </w:pPr>
    </w:p>
    <w:p>
      <w:pPr>
        <w:pStyle w:val="Heading1"/>
        <w:pBdr>
          <w:bottom w:val="single" w:color="1B3A6B" w:sz="8" w:space="6"/>
        </w:pBdr>
        <w:spacing w:after="120" w:before="360"/>
      </w:pPr>
      <w:r>
        <w:rPr>
          <w:rFonts w:ascii="Arial" w:cs="Arial" w:eastAsia="Arial" w:hAnsi="Arial"/>
          <w:b/>
          <w:bCs/>
          <w:color w:val="1B3A6B"/>
          <w:sz w:val="28"/>
          <w:szCs w:val="28"/>
        </w:rPr>
        <w:t xml:space="preserve">6.  Individual Notification Obligations</w:t>
      </w:r>
    </w:p>
    <w:p>
      <w:pPr>
        <w:spacing w:after="120" w:before="60"/>
      </w:pPr>
      <w:r>
        <w:rPr>
          <w:rFonts w:ascii="Arial" w:cs="Arial" w:eastAsia="Arial" w:hAnsi="Arial"/>
          <w:color w:val="2C2C2C"/>
          <w:sz w:val="22"/>
          <w:szCs w:val="22"/>
        </w:rPr>
        <w:t xml:space="preserve">Article 73 covers notifications to competent authorities. A separate obligation exists to notify affected individuals. NorthStar's approach to individual notification is governed by NS-POL-AI-001 and must be coordinated with Legal Counsel.</w:t>
      </w:r>
    </w:p>
    <w:p>
      <w:pPr>
        <w:spacing w:after="120" w:before="60"/>
      </w:pPr>
      <w:r>
        <w:rPr>
          <w:rFonts w:ascii="Arial" w:cs="Arial" w:eastAsia="Arial" w:hAnsi="Arial"/>
          <w:color w:val="2C2C2C"/>
          <w:sz w:val="22"/>
          <w:szCs w:val="22"/>
        </w:rPr>
        <w:t xml:space="preserve">The trigger for individual notification: any person who received a consequential decision from a High Risk AI system that was later identified as incorrect or potentially biased has a right to know. This is not a soft obligation — it flows from both the EU AI Act and GDPR Article 22 (automated decision-making rights).</w:t>
      </w:r>
    </w:p>
    <w:p>
      <w:pPr>
        <w:pStyle w:val="ListParagraph"/>
        <w:numPr>
          <w:ilvl w:val="0"/>
          <w:numId w:val="2"/>
        </w:numPr>
        <w:spacing w:after="60" w:before="40"/>
      </w:pPr>
      <w:r>
        <w:rPr>
          <w:rFonts w:ascii="Arial" w:cs="Arial" w:eastAsia="Arial" w:hAnsi="Arial"/>
          <w:color w:val="2C2C2C"/>
          <w:sz w:val="22"/>
          <w:szCs w:val="22"/>
        </w:rPr>
        <w:t xml:space="preserve">For CreditScore Pro incidents: affected applicants must be informed that their credit decision is under review and offered a right to re-assessment. Head of Retail Lending manages outreach.</w:t>
      </w:r>
    </w:p>
    <w:p>
      <w:pPr>
        <w:pStyle w:val="ListParagraph"/>
        <w:numPr>
          <w:ilvl w:val="0"/>
          <w:numId w:val="2"/>
        </w:numPr>
        <w:spacing w:after="60" w:before="40"/>
      </w:pPr>
      <w:r>
        <w:rPr>
          <w:rFonts w:ascii="Arial" w:cs="Arial" w:eastAsia="Arial" w:hAnsi="Arial"/>
          <w:color w:val="2C2C2C"/>
          <w:sz w:val="22"/>
          <w:szCs w:val="22"/>
        </w:rPr>
        <w:t xml:space="preserve">For TalentMatch AI incidents: affected candidates must be informed that their application was assessed by a system that has since been identified as producing biased outputs. Head of HR manages outreach with Legal oversight.</w:t>
      </w:r>
    </w:p>
    <w:p>
      <w:pPr>
        <w:pStyle w:val="ListParagraph"/>
        <w:numPr>
          <w:ilvl w:val="0"/>
          <w:numId w:val="2"/>
        </w:numPr>
        <w:spacing w:after="60" w:before="40"/>
      </w:pPr>
      <w:r>
        <w:rPr>
          <w:rFonts w:ascii="Arial" w:cs="Arial" w:eastAsia="Arial" w:hAnsi="Arial"/>
          <w:color w:val="2C2C2C"/>
          <w:sz w:val="22"/>
          <w:szCs w:val="22"/>
        </w:rPr>
        <w:t xml:space="preserve">Individual notifications must not contain language that admits legal liability without Legal Counsel approval. They must contain: an explanation of what happened, what NorthStar is doing about it, and how the individual can seek further information or redress.</w:t>
      </w:r>
    </w:p>
    <w:p>
      <w:pPr>
        <w:spacing w:after="160" w:before="0"/>
      </w:pPr>
    </w:p>
    <w:p>
      <w:pPr>
        <w:pStyle w:val="Heading1"/>
        <w:pBdr>
          <w:bottom w:val="single" w:color="1B3A6B" w:sz="8" w:space="6"/>
        </w:pBdr>
        <w:spacing w:after="120" w:before="360"/>
      </w:pPr>
      <w:r>
        <w:rPr>
          <w:rFonts w:ascii="Arial" w:cs="Arial" w:eastAsia="Arial" w:hAnsi="Arial"/>
          <w:b/>
          <w:bCs/>
          <w:color w:val="1B3A6B"/>
          <w:sz w:val="28"/>
          <w:szCs w:val="28"/>
        </w:rPr>
        <w:t xml:space="preserve">7.  Post-Notification Documentation</w:t>
      </w:r>
    </w:p>
    <w:p>
      <w:pPr>
        <w:spacing w:after="120" w:before="60"/>
      </w:pPr>
      <w:r>
        <w:rPr>
          <w:rFonts w:ascii="Arial" w:cs="Arial" w:eastAsia="Arial" w:hAnsi="Arial"/>
          <w:color w:val="2C2C2C"/>
          <w:sz w:val="22"/>
          <w:szCs w:val="22"/>
        </w:rPr>
        <w:t xml:space="preserve">Every notification — initial and follow-up — must be filed in NorthStar's regulatory correspondence record. The following documentation must be retained for a minimum of seven years:</w:t>
      </w:r>
    </w:p>
    <w:p>
      <w:pPr>
        <w:pStyle w:val="ListParagraph"/>
        <w:numPr>
          <w:ilvl w:val="0"/>
          <w:numId w:val="2"/>
        </w:numPr>
        <w:spacing w:after="60" w:before="40"/>
      </w:pPr>
      <w:r>
        <w:rPr>
          <w:rFonts w:ascii="Arial" w:cs="Arial" w:eastAsia="Arial" w:hAnsi="Arial"/>
          <w:color w:val="2C2C2C"/>
          <w:sz w:val="22"/>
          <w:szCs w:val="22"/>
        </w:rPr>
        <w:t xml:space="preserve">The notification letter as sent, with timestamp and confirmation of delivery.</w:t>
      </w:r>
    </w:p>
    <w:p>
      <w:pPr>
        <w:pStyle w:val="ListParagraph"/>
        <w:numPr>
          <w:ilvl w:val="0"/>
          <w:numId w:val="2"/>
        </w:numPr>
        <w:spacing w:after="60" w:before="40"/>
      </w:pPr>
      <w:r>
        <w:rPr>
          <w:rFonts w:ascii="Arial" w:cs="Arial" w:eastAsia="Arial" w:hAnsi="Arial"/>
          <w:color w:val="2C2C2C"/>
          <w:sz w:val="22"/>
          <w:szCs w:val="22"/>
        </w:rPr>
        <w:t xml:space="preserve">The Article 73 decision assessment — whether notification was required or not, and the three-question analysis that led to the conclusion.</w:t>
      </w:r>
    </w:p>
    <w:p>
      <w:pPr>
        <w:pStyle w:val="ListParagraph"/>
        <w:numPr>
          <w:ilvl w:val="0"/>
          <w:numId w:val="2"/>
        </w:numPr>
        <w:spacing w:after="60" w:before="40"/>
      </w:pPr>
      <w:r>
        <w:rPr>
          <w:rFonts w:ascii="Arial" w:cs="Arial" w:eastAsia="Arial" w:hAnsi="Arial"/>
          <w:color w:val="2C2C2C"/>
          <w:sz w:val="22"/>
          <w:szCs w:val="22"/>
        </w:rPr>
        <w:t xml:space="preserve">All correspondence received from the competent authority in response.</w:t>
      </w:r>
    </w:p>
    <w:p>
      <w:pPr>
        <w:pStyle w:val="ListParagraph"/>
        <w:numPr>
          <w:ilvl w:val="0"/>
          <w:numId w:val="2"/>
        </w:numPr>
        <w:spacing w:after="60" w:before="40"/>
      </w:pPr>
      <w:r>
        <w:rPr>
          <w:rFonts w:ascii="Arial" w:cs="Arial" w:eastAsia="Arial" w:hAnsi="Arial"/>
          <w:color w:val="2C2C2C"/>
          <w:sz w:val="22"/>
          <w:szCs w:val="22"/>
        </w:rPr>
        <w:t xml:space="preserve">NorthStar's responses to any regulator follow-up requests.</w:t>
      </w:r>
    </w:p>
    <w:p>
      <w:pPr>
        <w:pStyle w:val="ListParagraph"/>
        <w:numPr>
          <w:ilvl w:val="0"/>
          <w:numId w:val="2"/>
        </w:numPr>
        <w:spacing w:after="60" w:before="40"/>
      </w:pPr>
      <w:r>
        <w:rPr>
          <w:rFonts w:ascii="Arial" w:cs="Arial" w:eastAsia="Arial" w:hAnsi="Arial"/>
          <w:color w:val="2C2C2C"/>
          <w:sz w:val="22"/>
          <w:szCs w:val="22"/>
        </w:rPr>
        <w:t xml:space="preserve">The final Post-Incident Review report (NS-PIR-AI-001) linked to the incident.</w:t>
      </w:r>
    </w:p>
    <w:p>
      <w:pPr>
        <w:spacing w:after="120" w:before="60"/>
      </w:pPr>
      <w:r>
        <w:rPr>
          <w:rFonts w:ascii="Arial" w:cs="Arial" w:eastAsia="Arial" w:hAnsi="Arial"/>
          <w:color w:val="2C2C2C"/>
          <w:sz w:val="22"/>
          <w:szCs w:val="22"/>
        </w:rPr>
        <w:t xml:space="preserve">If NorthStar chose not to notify — because the Article 73 threshold was not met — the documentation of that decision is equally important. A well-reasoned, contemporaneous record of a non-notification decision is NorthStar's defence if a regulator later questions why notification was not made.</w:t>
      </w:r>
    </w:p>
    <w:p>
      <w:pPr>
        <w:spacing w:after="160" w:before="0"/>
      </w:pPr>
    </w:p>
    <w:p>
      <w:r>
        <w:br w:type="page"/>
      </w:r>
    </w:p>
    <w:p>
      <w:pPr>
        <w:pStyle w:val="Heading1"/>
        <w:pBdr>
          <w:bottom w:val="single" w:color="1B3A6B" w:sz="8" w:space="6"/>
        </w:pBdr>
        <w:spacing w:after="120" w:before="360"/>
      </w:pPr>
      <w:r>
        <w:rPr>
          <w:rFonts w:ascii="Arial" w:cs="Arial" w:eastAsia="Arial" w:hAnsi="Arial"/>
          <w:b/>
          <w:bCs/>
          <w:color w:val="1B3A6B"/>
          <w:sz w:val="28"/>
          <w:szCs w:val="28"/>
        </w:rPr>
        <w:t xml:space="preserve">8.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Document ID</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NS-REF-AI-001</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1.0</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Final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Confidential — AI Governance Function. Legal Privilege Applies.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Owner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Chief Risk Officer  |  Legal Counsel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Next Review</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October 2024 — or immediately following any Article 73 notification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Distribution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CRO, CEO, Legal Counsel, Head of AI Governance, Board Risk Committee</w:t>
            </w:r>
          </w:p>
        </w:tc>
      </w:tr>
    </w:tbl>
    <w:p>
      <w:pPr>
        <w:spacing w:after="200" w:before="0"/>
      </w:pPr>
    </w:p>
    <w:p>
      <w:pPr>
        <w:spacing w:after="120" w:before="60"/>
      </w:pPr>
      <w:r>
        <w:rPr>
          <w:rFonts w:ascii="Arial" w:cs="Arial" w:eastAsia="Arial" w:hAnsi="Arial"/>
          <w:i/>
          <w:iCs/>
          <w:color w:val="5D5D5D"/>
          <w:sz w:val="22"/>
          <w:szCs w:val="22"/>
        </w:rPr>
        <w:t xml:space="preserve">This document contains legally privileged material. It must not be shared outside the named distribution list without CRO and Legal Counsel approval. In the event of regulatory investigation, this document should be reviewed by Legal Counsel before disclosure.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6"/>
      </w:pBdr>
      <w:tabs>
        <w:tab w:val="right" w:pos="9360"/>
      </w:tabs>
    </w:pPr>
    <w:r>
      <w:rPr>
        <w:rFonts w:ascii="Arial" w:cs="Arial" w:eastAsia="Arial" w:hAnsi="Arial"/>
        <w:color w:val="5D5D5D"/>
        <w:sz w:val="16"/>
        <w:szCs w:val="16"/>
      </w:rPr>
      <w:t xml:space="preserve">Version 1.0  |  April 2024  |  AI Governance Function</w:t>
    </w:r>
    <w:r>
      <w:rPr>
        <w:rFonts w:ascii="Arial" w:cs="Arial" w:eastAsia="Arial" w:hAnsi="Arial"/>
        <w:color w:val="5D5D5D"/>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6"/>
      </w:pBdr>
      <w:tabs>
        <w:tab w:val="right" w:pos="9360"/>
      </w:tabs>
    </w:pPr>
    <w:r>
      <w:rPr>
        <w:rFonts w:ascii="Arial" w:cs="Arial" w:eastAsia="Arial" w:hAnsi="Arial"/>
        <w:color w:val="5D5D5D"/>
        <w:sz w:val="16"/>
        <w:szCs w:val="16"/>
      </w:rPr>
      <w:t xml:space="preserve">NorthStar Financial Services  |  Regulatory Escalation Framework  |  NS-REF-AI-001</w:t>
    </w:r>
    <w:r>
      <w:rPr>
        <w:rFonts w:ascii="Arial" w:cs="Arial" w:eastAsia="Arial" w:hAnsi="Arial"/>
        <w:b/>
        <w:bCs/>
        <w:color w:val="C0392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2026-04-27T05:42:04.264Z</dcterms:created>
  <dcterms:modified xsi:type="dcterms:W3CDTF">2026-04-27T05:42:04.265Z</dcterms:modified>
</cp:coreProperties>
</file>

<file path=docProps/custom.xml><?xml version="1.0" encoding="utf-8"?>
<Properties xmlns="http://schemas.openxmlformats.org/officeDocument/2006/custom-properties" xmlns:vt="http://schemas.openxmlformats.org/officeDocument/2006/docPropsVTypes"/>
</file>