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080"/>
      </w:pPr>
      <w:r>
        <w:t xml:space="preserve"/>
      </w:r>
    </w:p>
    <w:p>
      <w:pPr>
        <w:spacing w:after="120" w:before="0"/>
        <w:jc w:val="center"/>
      </w:pPr>
      <w:r>
        <w:rPr>
          <w:rFonts w:ascii="Arial" w:cs="Arial" w:eastAsia="Arial" w:hAnsi="Arial"/>
          <w:b/>
          <w:bCs/>
          <w:color w:val="1F3864"/>
          <w:sz w:val="48"/>
          <w:szCs w:val="48"/>
        </w:rPr>
        <w:t xml:space="preserve">NORTHSTAR FINANCIAL SERVICES</w:t>
      </w:r>
    </w:p>
    <w:p>
      <w:pPr>
        <w:spacing w:after="60" w:before="0"/>
        <w:jc w:val="center"/>
      </w:pPr>
      <w:r>
        <w:rPr>
          <w:rFonts w:ascii="Arial" w:cs="Arial" w:eastAsia="Arial" w:hAnsi="Arial"/>
          <w:color w:val="2E5FA3"/>
          <w:sz w:val="38"/>
          <w:szCs w:val="38"/>
        </w:rPr>
        <w:t xml:space="preserve">AI Governance Operating Model</w:t>
      </w:r>
    </w:p>
    <w:p>
      <w:pPr>
        <w:pBdr>
          <w:bottom w:val="single" w:color="2E5FA3" w:sz="6" w:space="8"/>
        </w:pBdr>
        <w:spacing w:after="480" w:before="0"/>
        <w:jc w:val="center"/>
      </w:pPr>
      <w:r>
        <w:rPr>
          <w:rFonts w:ascii="Arial" w:cs="Arial" w:eastAsia="Arial" w:hAnsi="Arial"/>
          <w:i/>
          <w:iCs/>
          <w:color w:val="666666"/>
          <w:sz w:val="22"/>
          <w:szCs w:val="22"/>
        </w:rPr>
        <w:t xml:space="preserve">How AI governance works at NorthStar — roles, processes, and accountability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r>
              <w:rPr>
                <w:rFonts w:ascii="Arial" w:cs="Arial" w:eastAsia="Arial" w:hAnsi="Arial"/>
                <w:b/>
                <w:bCs/>
                <w:color w:val="FFFFFF"/>
                <w:sz w:val="20"/>
                <w:szCs w:val="20"/>
              </w:rPr>
              <w:t xml:space="preserve">Document Reference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NS-OM-AI-001</w:t>
            </w:r>
          </w:p>
        </w:tc>
      </w:tr>
      <w:tr>
        <w:tc>
          <w:tcPr>
            <w:tcW w:type="dxa" w:w="28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r>
              <w:rPr>
                <w:rFonts w:ascii="Arial" w:cs="Arial" w:eastAsia="Arial" w:hAnsi="Arial"/>
                <w:b/>
                <w:bCs/>
                <w:color w:val="FFFFFF"/>
                <w:sz w:val="20"/>
                <w:szCs w:val="20"/>
              </w:rPr>
              <w:t xml:space="preserve">Version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 — Initial Release</w:t>
            </w:r>
          </w:p>
        </w:tc>
      </w:tr>
      <w:tr>
        <w:tc>
          <w:tcPr>
            <w:tcW w:type="dxa" w:w="28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r>
              <w:rPr>
                <w:rFonts w:ascii="Arial" w:cs="Arial" w:eastAsia="Arial" w:hAnsi="Arial"/>
                <w:b/>
                <w:bCs/>
                <w:color w:val="FFFFFF"/>
                <w:sz w:val="20"/>
                <w:szCs w:val="20"/>
              </w:rPr>
              <w:t xml:space="preserve">Effective Date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 April 2026</w:t>
            </w:r>
          </w:p>
        </w:tc>
      </w:tr>
      <w:tr>
        <w:tc>
          <w:tcPr>
            <w:tcW w:type="dxa" w:w="28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r>
              <w:rPr>
                <w:rFonts w:ascii="Arial" w:cs="Arial" w:eastAsia="Arial" w:hAnsi="Arial"/>
                <w:b/>
                <w:bCs/>
                <w:color w:val="FFFFFF"/>
                <w:sz w:val="20"/>
                <w:szCs w:val="20"/>
              </w:rPr>
              <w:t xml:space="preserve">Document Owner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Chief Risk Officer</w:t>
            </w:r>
          </w:p>
        </w:tc>
      </w:tr>
      <w:tr>
        <w:tc>
          <w:tcPr>
            <w:tcW w:type="dxa" w:w="28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r>
              <w:rPr>
                <w:rFonts w:ascii="Arial" w:cs="Arial" w:eastAsia="Arial" w:hAnsi="Arial"/>
                <w:b/>
                <w:bCs/>
                <w:color w:val="FFFFFF"/>
                <w:sz w:val="20"/>
                <w:szCs w:val="20"/>
              </w:rPr>
              <w:t xml:space="preserve">Related Documents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NS-POL-AI-001 Responsible AI Policy | NS-PRIN-AI-001 AI Principles Statement | NS-INV-001 AI System Inventory</w:t>
            </w:r>
          </w:p>
        </w:tc>
      </w:tr>
      <w:tr>
        <w:tc>
          <w:tcPr>
            <w:tcW w:type="dxa" w:w="28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r>
              <w:rPr>
                <w:rFonts w:ascii="Arial" w:cs="Arial" w:eastAsia="Arial" w:hAnsi="Arial"/>
                <w:b/>
                <w:bCs/>
                <w:color w:val="FFFFFF"/>
                <w:sz w:val="20"/>
                <w:szCs w:val="20"/>
              </w:rPr>
              <w:t xml:space="preserve">Review Cycle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Annual — or upon material change to AI portfolio or governance structure</w:t>
            </w:r>
          </w:p>
        </w:tc>
      </w:tr>
    </w:tbl>
    <w:p>
      <w:r>
        <w:br w:type="page"/>
      </w:r>
    </w:p>
    <w:p>
      <w:pPr>
        <w:pStyle w:val="Heading1"/>
        <w:pBdr>
          <w:bottom w:val="single" w:color="2E5FA3" w:sz="6" w:space="4"/>
        </w:pBdr>
        <w:spacing w:after="120" w:before="360"/>
      </w:pPr>
      <w:r>
        <w:rPr>
          <w:rFonts w:ascii="Arial" w:cs="Arial" w:eastAsia="Arial" w:hAnsi="Arial"/>
          <w:b/>
          <w:bCs/>
          <w:color w:val="1F3864"/>
          <w:sz w:val="28"/>
          <w:szCs w:val="28"/>
        </w:rPr>
        <w:t xml:space="preserve">1. Purpose and Context</w:t>
      </w:r>
    </w:p>
    <w:p>
      <w:pPr>
        <w:spacing w:after="60" w:before="60"/>
      </w:pPr>
      <w:r>
        <w:rPr>
          <w:rFonts w:ascii="Arial" w:cs="Arial" w:eastAsia="Arial" w:hAnsi="Arial"/>
          <w:sz w:val="22"/>
          <w:szCs w:val="22"/>
        </w:rPr>
        <w:t xml:space="preserve">This Operating Model defines how AI governance functions at NorthStar Financial Services on a day-to-day basis. It translates the commitments made in the Responsible AI Policy (NS-POL-AI-001) into operational processes, defined roles, clear decision rights, and structured accountability.</w:t>
      </w:r>
    </w:p>
    <w:p>
      <w:pPr>
        <w:spacing w:after="60" w:before="60"/>
      </w:pPr>
      <w:r>
        <w:t xml:space="preserve"/>
      </w:r>
    </w:p>
    <w:p>
      <w:pPr>
        <w:spacing w:after="60" w:before="60"/>
      </w:pPr>
      <w:r>
        <w:rPr>
          <w:rFonts w:ascii="Arial" w:cs="Arial" w:eastAsia="Arial" w:hAnsi="Arial"/>
          <w:sz w:val="22"/>
          <w:szCs w:val="22"/>
        </w:rPr>
        <w:t xml:space="preserve">The Q1 2026 AI governance review identified that NorthStar's primary governance failure was not an absence of intent — it was an absence of operational structure. TalentMatch AI operated for over two years without a conformity assessment because no formal process existed to require one. CreditScore Pro lacks documented explainability because no defined role was responsible for maintaining it. These are process failures, not technical failures.</w:t>
      </w:r>
    </w:p>
    <w:p>
      <w:pPr>
        <w:spacing w:after="60" w:before="60"/>
      </w:pPr>
      <w:r>
        <w:t xml:space="preserve"/>
      </w:r>
    </w:p>
    <w:p>
      <w:pPr>
        <w:spacing w:after="60" w:before="60"/>
      </w:pPr>
      <w:r>
        <w:rPr>
          <w:rFonts w:ascii="Arial" w:cs="Arial" w:eastAsia="Arial" w:hAnsi="Arial"/>
          <w:sz w:val="22"/>
          <w:szCs w:val="22"/>
        </w:rPr>
        <w:t xml:space="preserve">This Operating Model closes those gaps by defining exactly who is responsible for what, when actions must be taken, and how decisions are made and escalated across NorthStar's AI governance structure.</w:t>
      </w:r>
    </w:p>
    <w:p>
      <w:pPr>
        <w:spacing w:after="60" w:before="60"/>
      </w:pPr>
      <w:r>
        <w:t xml:space="preserve"/>
      </w:r>
    </w:p>
    <w:p>
      <w:pPr>
        <w:pStyle w:val="Heading1"/>
        <w:pBdr>
          <w:bottom w:val="single" w:color="2E5FA3" w:sz="6" w:space="4"/>
        </w:pBdr>
        <w:spacing w:after="120" w:before="360"/>
      </w:pPr>
      <w:r>
        <w:rPr>
          <w:rFonts w:ascii="Arial" w:cs="Arial" w:eastAsia="Arial" w:hAnsi="Arial"/>
          <w:b/>
          <w:bCs/>
          <w:color w:val="1F3864"/>
          <w:sz w:val="28"/>
          <w:szCs w:val="28"/>
        </w:rPr>
        <w:t xml:space="preserve">2. AI Governance Structure</w:t>
      </w:r>
    </w:p>
    <w:p>
      <w:pPr>
        <w:pStyle w:val="Heading2"/>
        <w:spacing w:after="80" w:before="240"/>
      </w:pPr>
      <w:r>
        <w:rPr>
          <w:rFonts w:ascii="Arial" w:cs="Arial" w:eastAsia="Arial" w:hAnsi="Arial"/>
          <w:b/>
          <w:bCs/>
          <w:color w:val="2E5FA3"/>
          <w:sz w:val="24"/>
          <w:szCs w:val="24"/>
        </w:rPr>
        <w:t xml:space="preserve">2.1 Governance Layers</w:t>
      </w:r>
    </w:p>
    <w:p>
      <w:pPr>
        <w:spacing w:after="60" w:before="60"/>
      </w:pPr>
      <w:r>
        <w:rPr>
          <w:rFonts w:ascii="Arial" w:cs="Arial" w:eastAsia="Arial" w:hAnsi="Arial"/>
          <w:sz w:val="22"/>
          <w:szCs w:val="22"/>
        </w:rPr>
        <w:t xml:space="preserve">NorthStar's AI governance operates across four layers. Each layer has defined responsibilities and feeds into the layer above it.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r>
              <w:rPr>
                <w:rFonts w:ascii="Arial" w:cs="Arial" w:eastAsia="Arial" w:hAnsi="Arial"/>
                <w:b/>
                <w:bCs/>
                <w:color w:val="FFFFFF"/>
                <w:sz w:val="20"/>
                <w:szCs w:val="20"/>
              </w:rPr>
              <w:t xml:space="preserve">Layer</w:t>
            </w:r>
          </w:p>
        </w:tc>
        <w:tc>
          <w:tcPr>
            <w:tcW w:type="dxa" w:w="24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r>
              <w:rPr>
                <w:rFonts w:ascii="Arial" w:cs="Arial" w:eastAsia="Arial" w:hAnsi="Arial"/>
                <w:b/>
                <w:bCs/>
                <w:color w:val="FFFFFF"/>
                <w:sz w:val="20"/>
                <w:szCs w:val="20"/>
              </w:rPr>
              <w:t xml:space="preserve">Structure</w:t>
            </w:r>
          </w:p>
        </w:tc>
        <w:tc>
          <w:tcPr>
            <w:tcW w:type="dxa" w:w="576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r>
              <w:rPr>
                <w:rFonts w:ascii="Arial" w:cs="Arial" w:eastAsia="Arial" w:hAnsi="Arial"/>
                <w:b/>
                <w:bCs/>
                <w:color w:val="FFFFFF"/>
                <w:sz w:val="20"/>
                <w:szCs w:val="20"/>
              </w:rPr>
              <w:t xml:space="preserve">Responsibility</w:t>
            </w:r>
          </w:p>
        </w:tc>
      </w:tr>
      <w:tr>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0000"/>
                <w:sz w:val="20"/>
                <w:szCs w:val="20"/>
              </w:rPr>
              <w:t xml:space="preserve">1</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Board of Directors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Ultimate accountability for AI risk. Approves Responsible AI Policy annually. Receives AI Governance Report quarterly. Sets risk appetite for AI.</w:t>
            </w:r>
          </w:p>
        </w:tc>
      </w:tr>
      <w:tr>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0000"/>
                <w:sz w:val="20"/>
                <w:szCs w:val="20"/>
              </w:rPr>
              <w:t xml:space="preserve">2</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AI Risk Committee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Portfolio-level governance. Approves High Risk system deployments. Reviews conformity assessments. Monitors maturity scores. Reports to Board quarterly.</w:t>
            </w:r>
          </w:p>
        </w:tc>
      </w:tr>
      <w:tr>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0000"/>
                <w:sz w:val="20"/>
                <w:szCs w:val="20"/>
              </w:rPr>
              <w:t xml:space="preserve">3</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System Owners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System-level governance. Day-to-day accountability for assigned AI systems. Maintains documentation, monitors performance, escalates incidents.</w:t>
            </w:r>
          </w:p>
        </w:tc>
      </w:tr>
      <w:tr>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0000"/>
                <w:sz w:val="20"/>
                <w:szCs w:val="20"/>
              </w:rPr>
              <w:t xml:space="preserve">4</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ML Engineering + Operations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Technical execution. Implements monitoring, logging, explainability tooling. Maintains model performance. Flags technical issues to system owners.</w:t>
            </w:r>
          </w:p>
        </w:tc>
      </w:tr>
    </w:tbl>
    <w:p>
      <w:pPr>
        <w:spacing w:after="60" w:before="60"/>
      </w:pPr>
      <w:r>
        <w:t xml:space="preserve"/>
      </w:r>
    </w:p>
    <w:p>
      <w:pPr>
        <w:pStyle w:val="Heading2"/>
        <w:spacing w:after="80" w:before="240"/>
      </w:pPr>
      <w:r>
        <w:rPr>
          <w:rFonts w:ascii="Arial" w:cs="Arial" w:eastAsia="Arial" w:hAnsi="Arial"/>
          <w:b/>
          <w:bCs/>
          <w:color w:val="2E5FA3"/>
          <w:sz w:val="24"/>
          <w:szCs w:val="24"/>
        </w:rPr>
        <w:t xml:space="preserve">2.2 AI Risk Committee — Full Specification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r>
              <w:rPr>
                <w:rFonts w:ascii="Arial" w:cs="Arial" w:eastAsia="Arial" w:hAnsi="Arial"/>
                <w:b/>
                <w:bCs/>
                <w:color w:val="FFFFFF"/>
                <w:sz w:val="20"/>
                <w:szCs w:val="20"/>
              </w:rPr>
              <w:t xml:space="preserve">Attribute</w:t>
            </w:r>
          </w:p>
        </w:tc>
        <w:tc>
          <w:tcPr>
            <w:tcW w:type="dxa" w:w="696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r>
              <w:rPr>
                <w:rFonts w:ascii="Arial" w:cs="Arial" w:eastAsia="Arial" w:hAnsi="Arial"/>
                <w:b/>
                <w:bCs/>
                <w:color w:val="FFFFFF"/>
                <w:sz w:val="20"/>
                <w:szCs w:val="20"/>
              </w:rPr>
              <w:t xml:space="preserve">Detail</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Chair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Chief Risk Officer</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Members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Chief Technology Officer | Chief Compliance Officer | Chief Legal Officer | Head of Data | Head of Internal Audit (observer)</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Meeting Cadence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Monthly standard meeting. Emergency sessions convened within 24 hours for P1 incidents or urgent deployment decisions.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Quorum</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CRO + CCO + CTO. Decisions on High Risk system deployments require unanimous agreement from all three.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Decision Rights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Approve or reject new High Risk AI system deployments. Approve conformity assessments. Mandate system suspension for P1 incidents. Approve policy exceptions.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Record Keeping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Written minutes produced within 3 business days of each meeting. Retained for minimum 5 years. Available to Internal Audit and external regulators on request.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Board Reporting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Quarterly AI Portfolio Risk Report submitted to Board Risk Committee. Annual AI Governance Report submitted to full Board.</w:t>
            </w:r>
          </w:p>
        </w:tc>
      </w:tr>
    </w:tbl>
    <w:p>
      <w:pPr>
        <w:spacing w:after="60" w:before="60"/>
      </w:pPr>
      <w:r>
        <w:t xml:space="preserve"/>
      </w:r>
    </w:p>
    <w:p>
      <w:pPr>
        <w:pStyle w:val="Heading2"/>
        <w:spacing w:after="80" w:before="240"/>
      </w:pPr>
      <w:r>
        <w:rPr>
          <w:rFonts w:ascii="Arial" w:cs="Arial" w:eastAsia="Arial" w:hAnsi="Arial"/>
          <w:b/>
          <w:bCs/>
          <w:color w:val="2E5FA3"/>
          <w:sz w:val="24"/>
          <w:szCs w:val="24"/>
        </w:rPr>
        <w:t xml:space="preserve">2.3 System Owner Responsibilities</w:t>
      </w:r>
    </w:p>
    <w:p>
      <w:pPr>
        <w:spacing w:after="60" w:before="60"/>
      </w:pPr>
      <w:r>
        <w:rPr>
          <w:rFonts w:ascii="Arial" w:cs="Arial" w:eastAsia="Arial" w:hAnsi="Arial"/>
          <w:sz w:val="22"/>
          <w:szCs w:val="22"/>
        </w:rPr>
        <w:t xml:space="preserve">System owners are the frontline of AI governance at NorthStar. The following table defines exactly what each system owner must do and when.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5560"/>
      </w:tblGrid>
      <w:tr>
        <w:tc>
          <w:tcPr>
            <w:tcW w:type="dxa" w:w="16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r>
              <w:rPr>
                <w:rFonts w:ascii="Arial" w:cs="Arial" w:eastAsia="Arial" w:hAnsi="Arial"/>
                <w:b/>
                <w:bCs/>
                <w:color w:val="FFFFFF"/>
                <w:sz w:val="20"/>
                <w:szCs w:val="20"/>
              </w:rPr>
              <w:t xml:space="preserve">Frequency</w:t>
            </w:r>
          </w:p>
        </w:tc>
        <w:tc>
          <w:tcPr>
            <w:tcW w:type="dxa" w:w="22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r>
              <w:rPr>
                <w:rFonts w:ascii="Arial" w:cs="Arial" w:eastAsia="Arial" w:hAnsi="Arial"/>
                <w:b/>
                <w:bCs/>
                <w:color w:val="FFFFFF"/>
                <w:sz w:val="20"/>
                <w:szCs w:val="20"/>
              </w:rPr>
              <w:t xml:space="preserve">Activity</w:t>
            </w:r>
          </w:p>
        </w:tc>
        <w:tc>
          <w:tcPr>
            <w:tcW w:type="dxa" w:w="556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r>
              <w:rPr>
                <w:rFonts w:ascii="Arial" w:cs="Arial" w:eastAsia="Arial" w:hAnsi="Arial"/>
                <w:b/>
                <w:bCs/>
                <w:color w:val="FFFFFF"/>
                <w:sz w:val="20"/>
                <w:szCs w:val="20"/>
              </w:rPr>
              <w:t xml:space="preserve">Detail</w:t>
            </w:r>
          </w:p>
        </w:tc>
      </w:tr>
      <w:tr>
        <w:tc>
          <w:tcPr>
            <w:tcW w:type="dxa" w:w="1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20"/>
                <w:szCs w:val="20"/>
              </w:rPr>
              <w:t xml:space="preserve">Ongoing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Performance monitoring</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Monitor system performance against defined thresholds. Escalate to AI Risk Committee if thresholds breached.</w:t>
            </w:r>
          </w:p>
        </w:tc>
      </w:tr>
      <w:tr>
        <w:tc>
          <w:tcPr>
            <w:tcW w:type="dxa" w:w="1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20"/>
                <w:szCs w:val="20"/>
              </w:rPr>
              <w:t xml:space="preserve">Ongoing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Incident monitoring</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Monitor for AI incidents. Classify and escalate per incident severity framework in Responsible AI Policy Section 9.</w:t>
            </w:r>
          </w:p>
        </w:tc>
      </w:tr>
      <w:tr>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2E5FA3"/>
                <w:sz w:val="20"/>
                <w:szCs w:val="20"/>
              </w:rPr>
              <w:t xml:space="preserve">Monthly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Performance report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Submit one-page system performance summary to AI Risk Committee covering: accuracy metrics, override rates, incident log, open actions.</w:t>
            </w:r>
          </w:p>
        </w:tc>
      </w:tr>
      <w:tr>
        <w:tc>
          <w:tcPr>
            <w:tcW w:type="dxa" w:w="1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color w:val="7F6000"/>
                <w:sz w:val="20"/>
                <w:szCs w:val="20"/>
              </w:rPr>
              <w:t xml:space="preserve">Quarterly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Compliance attestation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Submit signed compliance attestation confirming system is operating within policy requirements and all documentation is current.</w:t>
            </w:r>
          </w:p>
        </w:tc>
      </w:tr>
      <w:tr>
        <w:tc>
          <w:tcPr>
            <w:tcW w:type="dxa" w:w="16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bCs/>
                <w:color w:val="C00000"/>
                <w:sz w:val="20"/>
                <w:szCs w:val="20"/>
              </w:rPr>
              <w:t xml:space="preserve">Annually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Bias audit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High Risk systems only. Commission bias audit covering all protected characteristics. Submit results to AI Risk Committee within 30 days of completion.</w:t>
            </w:r>
          </w:p>
        </w:tc>
      </w:tr>
      <w:tr>
        <w:tc>
          <w:tcPr>
            <w:tcW w:type="dxa" w:w="16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bCs/>
                <w:color w:val="C00000"/>
                <w:sz w:val="20"/>
                <w:szCs w:val="20"/>
              </w:rPr>
              <w:t xml:space="preserve">Annually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Conformity review</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High Risk systems only. Review conformity assessment currency. Update Declaration of Conformity if material changes have occurred.</w:t>
            </w:r>
          </w:p>
        </w:tc>
      </w:tr>
      <w:tr>
        <w:tc>
          <w:tcPr>
            <w:tcW w:type="dxa" w:w="16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bCs/>
                <w:color w:val="C00000"/>
                <w:sz w:val="20"/>
                <w:szCs w:val="20"/>
              </w:rPr>
              <w:t xml:space="preserve">Annually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Technical documentation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Review and update technical documentation to reflect any changes to system design, data inputs, or operational parameters.</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On change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Change notification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Notify AI Risk Committee within 5 business days of any material change to system design, purpose, data inputs, or vendor model version.</w:t>
            </w:r>
          </w:p>
        </w:tc>
      </w:tr>
    </w:tbl>
    <w:p>
      <w:r>
        <w:br w:type="page"/>
      </w:r>
    </w:p>
    <w:p>
      <w:pPr>
        <w:pStyle w:val="Heading1"/>
        <w:pBdr>
          <w:bottom w:val="single" w:color="2E5FA3" w:sz="6" w:space="4"/>
        </w:pBdr>
        <w:spacing w:after="120" w:before="360"/>
      </w:pPr>
      <w:r>
        <w:rPr>
          <w:rFonts w:ascii="Arial" w:cs="Arial" w:eastAsia="Arial" w:hAnsi="Arial"/>
          <w:b/>
          <w:bCs/>
          <w:color w:val="1F3864"/>
          <w:sz w:val="28"/>
          <w:szCs w:val="28"/>
        </w:rPr>
        <w:t xml:space="preserve">3. Core Governance Processes</w:t>
      </w:r>
    </w:p>
    <w:p>
      <w:pPr>
        <w:pStyle w:val="Heading2"/>
        <w:spacing w:after="80" w:before="240"/>
      </w:pPr>
      <w:r>
        <w:rPr>
          <w:rFonts w:ascii="Arial" w:cs="Arial" w:eastAsia="Arial" w:hAnsi="Arial"/>
          <w:b/>
          <w:bCs/>
          <w:color w:val="2E5FA3"/>
          <w:sz w:val="24"/>
          <w:szCs w:val="24"/>
        </w:rPr>
        <w:t xml:space="preserve">3.1 New AI System Onboarding Process</w:t>
      </w:r>
    </w:p>
    <w:p>
      <w:pPr>
        <w:spacing w:after="60" w:before="60"/>
      </w:pPr>
      <w:r>
        <w:rPr>
          <w:rFonts w:ascii="Arial" w:cs="Arial" w:eastAsia="Arial" w:hAnsi="Arial"/>
          <w:sz w:val="22"/>
          <w:szCs w:val="22"/>
        </w:rPr>
        <w:t xml:space="preserve">No AI system may be deployed to production at NorthStar without completing the following onboarding process. This applies to both internally developed and vendor-supplied systems.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3000"/>
        <w:gridCol w:w="3760"/>
      </w:tblGrid>
      <w:tr>
        <w:tc>
          <w:tcPr>
            <w:tcW w:type="dxa" w:w="6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r>
              <w:rPr>
                <w:rFonts w:ascii="Arial" w:cs="Arial" w:eastAsia="Arial" w:hAnsi="Arial"/>
                <w:b/>
                <w:bCs/>
                <w:color w:val="FFFFFF"/>
                <w:sz w:val="20"/>
                <w:szCs w:val="20"/>
              </w:rPr>
              <w:t xml:space="preserve">Step</w:t>
            </w:r>
          </w:p>
        </w:tc>
        <w:tc>
          <w:tcPr>
            <w:tcW w:type="dxa" w:w="20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r>
              <w:rPr>
                <w:rFonts w:ascii="Arial" w:cs="Arial" w:eastAsia="Arial" w:hAnsi="Arial"/>
                <w:b/>
                <w:bCs/>
                <w:color w:val="FFFFFF"/>
                <w:sz w:val="20"/>
                <w:szCs w:val="20"/>
              </w:rPr>
              <w:t xml:space="preserve">Stage</w:t>
            </w:r>
          </w:p>
        </w:tc>
        <w:tc>
          <w:tcPr>
            <w:tcW w:type="dxa" w:w="30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r>
              <w:rPr>
                <w:rFonts w:ascii="Arial" w:cs="Arial" w:eastAsia="Arial" w:hAnsi="Arial"/>
                <w:b/>
                <w:bCs/>
                <w:color w:val="FFFFFF"/>
                <w:sz w:val="20"/>
                <w:szCs w:val="20"/>
              </w:rPr>
              <w:t xml:space="preserve">Owner</w:t>
            </w:r>
          </w:p>
        </w:tc>
        <w:tc>
          <w:tcPr>
            <w:tcW w:type="dxa" w:w="376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r>
              <w:rPr>
                <w:rFonts w:ascii="Arial" w:cs="Arial" w:eastAsia="Arial" w:hAnsi="Arial"/>
                <w:b/>
                <w:bCs/>
                <w:color w:val="FFFFFF"/>
                <w:sz w:val="20"/>
                <w:szCs w:val="20"/>
              </w:rPr>
              <w:t xml:space="preserve">Gate Condition</w:t>
            </w:r>
          </w:p>
        </w:tc>
      </w:tr>
      <w:tr>
        <w:tc>
          <w:tcPr>
            <w:tcW w:type="dxa" w:w="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0000"/>
                <w:sz w:val="20"/>
                <w:szCs w:val="20"/>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Register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System Owner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AI System Registration Form submitted to AI Risk Committee. System added to AI System Inventory.</w:t>
            </w:r>
          </w:p>
        </w:tc>
      </w:tr>
      <w:tr>
        <w:tc>
          <w:tcPr>
            <w:tcW w:type="dxa" w:w="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0000"/>
                <w:sz w:val="20"/>
                <w:szCs w:val="20"/>
              </w:rPr>
              <w:t xml:space="preserve">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Classify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AI Risk Committee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EU AI Act risk tier formally assigned. Classification documented in inventory. If High Risk — Steps 3-6 mandatory before deployment.</w:t>
            </w:r>
          </w:p>
        </w:tc>
      </w:tr>
      <w:tr>
        <w:tc>
          <w:tcPr>
            <w:tcW w:type="dxa" w:w="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0000"/>
                <w:sz w:val="20"/>
                <w:szCs w:val="20"/>
              </w:rPr>
              <w:t xml:space="preserve">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Risk assess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System Owner + ML Engineering</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Risk register entry completed. Affected population documented. Bias assessment on training data completed.</w:t>
            </w:r>
          </w:p>
        </w:tc>
      </w:tr>
      <w:tr>
        <w:tc>
          <w:tcPr>
            <w:tcW w:type="dxa" w:w="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0000"/>
                <w:sz w:val="20"/>
                <w:szCs w:val="20"/>
              </w:rPr>
              <w:t xml:space="preserve">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Document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ML Engineering</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Technical documentation completed per Article 11. Logging implemented per Article 12. Explainability tooling documented per Article 13.</w:t>
            </w:r>
          </w:p>
        </w:tc>
      </w:tr>
      <w:tr>
        <w:tc>
          <w:tcPr>
            <w:tcW w:type="dxa" w:w="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0000"/>
                <w:sz w:val="20"/>
                <w:szCs w:val="20"/>
              </w:rPr>
              <w:t xml:space="preserve">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Conform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System Owner + Legal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Conformity assessment completed per Article 43. Declaration of Conformity issued. System registered in EU AI database per Article 71.</w:t>
            </w:r>
          </w:p>
        </w:tc>
      </w:tr>
      <w:tr>
        <w:tc>
          <w:tcPr>
            <w:tcW w:type="dxa" w:w="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0000"/>
                <w:sz w:val="20"/>
                <w:szCs w:val="20"/>
              </w:rPr>
              <w:t xml:space="preserve">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Approve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AI Risk Committee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AI Risk Committee unanimous approval required for High Risk systems. CRO formal sign-off documented.</w:t>
            </w:r>
          </w:p>
        </w:tc>
      </w:tr>
      <w:tr>
        <w:tc>
          <w:tcPr>
            <w:tcW w:type="dxa" w:w="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0000"/>
                <w:sz w:val="20"/>
                <w:szCs w:val="20"/>
              </w:rPr>
              <w:t xml:space="preserve">7</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Deploy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ML Engineering</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Human oversight mechanism live and tested. Monitoring dashboards active. System owner briefed and trained.</w:t>
            </w:r>
          </w:p>
        </w:tc>
      </w:tr>
      <w:tr>
        <w:tc>
          <w:tcPr>
            <w:tcW w:type="dxa" w:w="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0000"/>
                <w:sz w:val="20"/>
                <w:szCs w:val="20"/>
              </w:rPr>
              <w:t xml:space="preserve">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Monitor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System Owner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Ongoing monitoring commenced. Monthly performance reports initiated. Annual review cycle scheduled.</w:t>
            </w:r>
          </w:p>
        </w:tc>
      </w:tr>
    </w:tbl>
    <w:p>
      <w:pPr>
        <w:spacing w:after="60" w:before="60"/>
      </w:pPr>
      <w:r>
        <w:t xml:space="preserve"/>
      </w:r>
    </w:p>
    <w:p>
      <w:pPr>
        <w:pStyle w:val="Heading2"/>
        <w:spacing w:after="80" w:before="240"/>
      </w:pPr>
      <w:r>
        <w:rPr>
          <w:rFonts w:ascii="Arial" w:cs="Arial" w:eastAsia="Arial" w:hAnsi="Arial"/>
          <w:b/>
          <w:bCs/>
          <w:color w:val="2E5FA3"/>
          <w:sz w:val="24"/>
          <w:szCs w:val="24"/>
        </w:rPr>
        <w:t xml:space="preserve">3.2 Escalation Framework</w:t>
      </w:r>
    </w:p>
    <w:p>
      <w:pPr>
        <w:spacing w:after="60" w:before="60"/>
      </w:pPr>
      <w:r>
        <w:rPr>
          <w:rFonts w:ascii="Arial" w:cs="Arial" w:eastAsia="Arial" w:hAnsi="Arial"/>
          <w:sz w:val="22"/>
          <w:szCs w:val="22"/>
        </w:rPr>
        <w:t xml:space="preserve">The following escalation paths apply to all AI governance issues at NorthStar. System owners are responsible for initiating escalation within the timeframes defined.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760"/>
        <w:gridCol w:w="2800"/>
      </w:tblGrid>
      <w:tr>
        <w:tc>
          <w:tcPr>
            <w:tcW w:type="dxa" w:w="18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r>
              <w:rPr>
                <w:rFonts w:ascii="Arial" w:cs="Arial" w:eastAsia="Arial" w:hAnsi="Arial"/>
                <w:b/>
                <w:bCs/>
                <w:color w:val="FFFFFF"/>
                <w:sz w:val="20"/>
                <w:szCs w:val="20"/>
              </w:rPr>
              <w:t xml:space="preserve">Trigger</w:t>
            </w:r>
          </w:p>
        </w:tc>
        <w:tc>
          <w:tcPr>
            <w:tcW w:type="dxa" w:w="20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r>
              <w:rPr>
                <w:rFonts w:ascii="Arial" w:cs="Arial" w:eastAsia="Arial" w:hAnsi="Arial"/>
                <w:b/>
                <w:bCs/>
                <w:color w:val="FFFFFF"/>
                <w:sz w:val="20"/>
                <w:szCs w:val="20"/>
              </w:rPr>
              <w:t xml:space="preserve">Severity</w:t>
            </w:r>
          </w:p>
        </w:tc>
        <w:tc>
          <w:tcPr>
            <w:tcW w:type="dxa" w:w="276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r>
              <w:rPr>
                <w:rFonts w:ascii="Arial" w:cs="Arial" w:eastAsia="Arial" w:hAnsi="Arial"/>
                <w:b/>
                <w:bCs/>
                <w:color w:val="FFFFFF"/>
                <w:sz w:val="20"/>
                <w:szCs w:val="20"/>
              </w:rPr>
              <w:t xml:space="preserve">Escalation Path</w:t>
            </w:r>
          </w:p>
        </w:tc>
        <w:tc>
          <w:tcPr>
            <w:tcW w:type="dxa" w:w="28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r>
              <w:rPr>
                <w:rFonts w:ascii="Arial" w:cs="Arial" w:eastAsia="Arial" w:hAnsi="Arial"/>
                <w:b/>
                <w:bCs/>
                <w:color w:val="FFFFFF"/>
                <w:sz w:val="20"/>
                <w:szCs w:val="20"/>
              </w:rPr>
              <w:t xml:space="preserve">Timeframe</w:t>
            </w:r>
          </w:p>
        </w:tc>
      </w:tr>
      <w:tr>
        <w:tc>
          <w:tcPr>
            <w:tcW w:type="dxa" w:w="18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Discriminatory outcomes at scale | Regulatory breach | System causing harm</w:t>
            </w:r>
          </w:p>
        </w:tc>
        <w:tc>
          <w:tcPr>
            <w:tcW w:type="dxa" w:w="20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bCs/>
                <w:color w:val="C00000"/>
                <w:sz w:val="20"/>
                <w:szCs w:val="20"/>
              </w:rPr>
              <w:t xml:space="preserve">P1 Critical</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System Owner → CRO (immediate) → Board (24hrs) → Regulator (72hrs)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Immediate suspension</w:t>
            </w:r>
          </w:p>
        </w:tc>
      </w:tr>
      <w:tr>
        <w:tc>
          <w:tcPr>
            <w:tcW w:type="dxa" w:w="18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Material accuracy degradation | Compliance gap | Individual harm</w:t>
            </w:r>
          </w:p>
        </w:tc>
        <w:tc>
          <w:tcPr>
            <w:tcW w:type="dxa" w:w="20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bCs/>
                <w:color w:val="C55A11"/>
                <w:sz w:val="20"/>
                <w:szCs w:val="20"/>
              </w:rPr>
              <w:t xml:space="preserve">P2 High</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System Owner → AI Risk Committee within 24 hours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Remediation plan within 5 days</w:t>
            </w:r>
          </w:p>
        </w:tc>
      </w:tr>
      <w:tr>
        <w:tc>
          <w:tcPr>
            <w:tcW w:type="dxa" w:w="1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Performance below threshold | Minor compliance gap | Near-miss</w:t>
            </w:r>
          </w:p>
        </w:tc>
        <w:tc>
          <w:tcPr>
            <w:tcW w:type="dxa" w:w="2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color w:val="7F6000"/>
                <w:sz w:val="20"/>
                <w:szCs w:val="20"/>
              </w:rPr>
              <w:t xml:space="preserve">P3 Medium</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System Owner investigates → Report at next monthly AI Risk Committee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Investigation within 48 hours</w:t>
            </w:r>
          </w:p>
        </w:tc>
      </w:tr>
      <w:tr>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Isolated anomaly | No harm | Within acceptable parameters</w:t>
            </w:r>
          </w:p>
        </w:tc>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20"/>
                <w:szCs w:val="20"/>
              </w:rPr>
              <w:t xml:space="preserve">P4 Low</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Logged in incident register → Reviewed at quarterly governance meeting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Logged within 5 business days</w:t>
            </w:r>
          </w:p>
        </w:tc>
      </w:tr>
    </w:tbl>
    <w:p>
      <w:pPr>
        <w:spacing w:after="60" w:before="60"/>
      </w:pPr>
      <w:r>
        <w:t xml:space="preserve"/>
      </w:r>
    </w:p>
    <w:p>
      <w:pPr>
        <w:pStyle w:val="Heading2"/>
        <w:spacing w:after="80" w:before="240"/>
      </w:pPr>
      <w:r>
        <w:rPr>
          <w:rFonts w:ascii="Arial" w:cs="Arial" w:eastAsia="Arial" w:hAnsi="Arial"/>
          <w:b/>
          <w:bCs/>
          <w:color w:val="2E5FA3"/>
          <w:sz w:val="24"/>
          <w:szCs w:val="24"/>
        </w:rPr>
        <w:t xml:space="preserve">3.3 Annual Governance Review Cycle</w:t>
      </w:r>
    </w:p>
    <w:p>
      <w:pPr>
        <w:spacing w:after="60" w:before="60"/>
      </w:pPr>
      <w:r>
        <w:rPr>
          <w:rFonts w:ascii="Arial" w:cs="Arial" w:eastAsia="Arial" w:hAnsi="Arial"/>
          <w:sz w:val="22"/>
          <w:szCs w:val="22"/>
        </w:rPr>
        <w:t xml:space="preserve">The following activities constitute NorthStar's annual AI governance review cycle. This cycle runs January to December each year, with the first full cycle commencing January 2027.</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3360"/>
        <w:gridCol w:w="2400"/>
      </w:tblGrid>
      <w:tr>
        <w:tc>
          <w:tcPr>
            <w:tcW w:type="dxa" w:w="12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r>
              <w:rPr>
                <w:rFonts w:ascii="Arial" w:cs="Arial" w:eastAsia="Arial" w:hAnsi="Arial"/>
                <w:b/>
                <w:bCs/>
                <w:color w:val="FFFFFF"/>
                <w:sz w:val="20"/>
                <w:szCs w:val="20"/>
              </w:rPr>
              <w:t xml:space="preserve">Quarter</w:t>
            </w:r>
          </w:p>
        </w:tc>
        <w:tc>
          <w:tcPr>
            <w:tcW w:type="dxa" w:w="24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r>
              <w:rPr>
                <w:rFonts w:ascii="Arial" w:cs="Arial" w:eastAsia="Arial" w:hAnsi="Arial"/>
                <w:b/>
                <w:bCs/>
                <w:color w:val="FFFFFF"/>
                <w:sz w:val="20"/>
                <w:szCs w:val="20"/>
              </w:rPr>
              <w:t xml:space="preserve">Activity</w:t>
            </w:r>
          </w:p>
        </w:tc>
        <w:tc>
          <w:tcPr>
            <w:tcW w:type="dxa" w:w="336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r>
              <w:rPr>
                <w:rFonts w:ascii="Arial" w:cs="Arial" w:eastAsia="Arial" w:hAnsi="Arial"/>
                <w:b/>
                <w:bCs/>
                <w:color w:val="FFFFFF"/>
                <w:sz w:val="20"/>
                <w:szCs w:val="20"/>
              </w:rPr>
              <w:t xml:space="preserve">Output</w:t>
            </w:r>
          </w:p>
        </w:tc>
        <w:tc>
          <w:tcPr>
            <w:tcW w:type="dxa" w:w="24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r>
              <w:rPr>
                <w:rFonts w:ascii="Arial" w:cs="Arial" w:eastAsia="Arial" w:hAnsi="Arial"/>
                <w:b/>
                <w:bCs/>
                <w:color w:val="FFFFFF"/>
                <w:sz w:val="20"/>
                <w:szCs w:val="20"/>
              </w:rPr>
              <w:t xml:space="preserve">Owner</w:t>
            </w:r>
          </w:p>
        </w:tc>
      </w:tr>
      <w:tr>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0000"/>
                <w:sz w:val="20"/>
                <w:szCs w:val="20"/>
              </w:rPr>
              <w:t xml:space="preserve">Q1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Annual bias audits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Bias audit reports for all High Risk systems submitted to AI Risk Committee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System Owners</w:t>
            </w:r>
          </w:p>
        </w:tc>
      </w:tr>
      <w:tr>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0000"/>
                <w:sz w:val="20"/>
                <w:szCs w:val="20"/>
              </w:rPr>
              <w:t xml:space="preserve">Q2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Conformity review</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Updated Declarations of Conformity. EU database registrations updated where required.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System Owners + Legal</w:t>
            </w:r>
          </w:p>
        </w:tc>
      </w:tr>
      <w:tr>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0000"/>
                <w:sz w:val="20"/>
                <w:szCs w:val="20"/>
              </w:rPr>
              <w:t xml:space="preserve">Q3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Technical documentation review</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All technical documentation reviewed and updated. Inventory classifications confirmed.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ML Engineering</w:t>
            </w:r>
          </w:p>
        </w:tc>
      </w:tr>
      <w:tr>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0000"/>
                <w:sz w:val="20"/>
                <w:szCs w:val="20"/>
              </w:rPr>
              <w:t xml:space="preserve">Q4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Annual AI Governance Report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Full portfolio review. Policy review and update. Board presentation. Following year governance plan approved.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CRO + AI Risk Committee</w:t>
            </w:r>
          </w:p>
        </w:tc>
      </w:tr>
    </w:tbl>
    <w:p>
      <w:r>
        <w:br w:type="page"/>
      </w:r>
    </w:p>
    <w:p>
      <w:pPr>
        <w:pStyle w:val="Heading1"/>
        <w:pBdr>
          <w:bottom w:val="single" w:color="2E5FA3" w:sz="6" w:space="4"/>
        </w:pBdr>
        <w:spacing w:after="120" w:before="360"/>
      </w:pPr>
      <w:r>
        <w:rPr>
          <w:rFonts w:ascii="Arial" w:cs="Arial" w:eastAsia="Arial" w:hAnsi="Arial"/>
          <w:b/>
          <w:bCs/>
          <w:color w:val="1F3864"/>
          <w:sz w:val="28"/>
          <w:szCs w:val="28"/>
        </w:rPr>
        <w:t xml:space="preserve">4. Information Flows and Reporting</w:t>
      </w:r>
    </w:p>
    <w:p>
      <w:pPr>
        <w:pStyle w:val="Heading2"/>
        <w:spacing w:after="80" w:before="240"/>
      </w:pPr>
      <w:r>
        <w:rPr>
          <w:rFonts w:ascii="Arial" w:cs="Arial" w:eastAsia="Arial" w:hAnsi="Arial"/>
          <w:b/>
          <w:bCs/>
          <w:color w:val="2E5FA3"/>
          <w:sz w:val="24"/>
          <w:szCs w:val="24"/>
        </w:rPr>
        <w:t xml:space="preserve">4.1 Reporting Structure</w:t>
      </w:r>
    </w:p>
    <w:p>
      <w:pPr>
        <w:spacing w:after="60" w:before="60"/>
      </w:pPr>
      <w:r>
        <w:rPr>
          <w:rFonts w:ascii="Arial" w:cs="Arial" w:eastAsia="Arial" w:hAnsi="Arial"/>
          <w:sz w:val="22"/>
          <w:szCs w:val="22"/>
        </w:rPr>
        <w:t xml:space="preserve">The following diagram describes how AI governance information flows through NorthStar's organisation — from technical monitoring at system level to Board-level reporting.</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r>
              <w:rPr>
                <w:rFonts w:ascii="Arial" w:cs="Arial" w:eastAsia="Arial" w:hAnsi="Arial"/>
                <w:b/>
                <w:bCs/>
                <w:color w:val="FFFFFF"/>
                <w:sz w:val="20"/>
                <w:szCs w:val="20"/>
              </w:rPr>
              <w:t xml:space="preserve">ML Engineering</w:t>
            </w:r>
          </w:p>
        </w:tc>
        <w:tc>
          <w:tcPr>
            <w:tcW w:type="dxa" w:w="234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r>
              <w:rPr>
                <w:rFonts w:ascii="Arial" w:cs="Arial" w:eastAsia="Arial" w:hAnsi="Arial"/>
                <w:b/>
                <w:bCs/>
                <w:color w:val="FFFFFF"/>
                <w:sz w:val="20"/>
                <w:szCs w:val="20"/>
              </w:rPr>
              <w:t xml:space="preserve">System Owners</w:t>
            </w:r>
          </w:p>
        </w:tc>
        <w:tc>
          <w:tcPr>
            <w:tcW w:type="dxa" w:w="234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r>
              <w:rPr>
                <w:rFonts w:ascii="Arial" w:cs="Arial" w:eastAsia="Arial" w:hAnsi="Arial"/>
                <w:b/>
                <w:bCs/>
                <w:color w:val="FFFFFF"/>
                <w:sz w:val="20"/>
                <w:szCs w:val="20"/>
              </w:rPr>
              <w:t xml:space="preserve">AI Risk Committee</w:t>
            </w:r>
          </w:p>
        </w:tc>
        <w:tc>
          <w:tcPr>
            <w:tcW w:type="dxa" w:w="234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r>
              <w:rPr>
                <w:rFonts w:ascii="Arial" w:cs="Arial" w:eastAsia="Arial" w:hAnsi="Arial"/>
                <w:b/>
                <w:bCs/>
                <w:color w:val="FFFFFF"/>
                <w:sz w:val="20"/>
                <w:szCs w:val="20"/>
              </w:rPr>
              <w:t xml:space="preserve">Board</w:t>
            </w:r>
          </w:p>
        </w:tc>
      </w:tr>
      <w:tr>
        <w:tc>
          <w:tcPr>
            <w:tcW w:type="dxa" w:w="234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Daily: Model performance metrics, drift alerts, anomaly flags</w:t>
            </w:r>
          </w:p>
        </w:tc>
        <w:tc>
          <w:tcPr>
            <w:tcW w:type="dxa" w:w="2340"/>
            <w:tcBorders>
              <w:top w:val="single" w:color="CCCCCC" w:sz="1"/>
              <w:left w:val="single" w:color="CCCCCC" w:sz="1"/>
              <w:bottom w:val="single" w:color="CCCCCC" w:sz="1"/>
              <w:right w:val="single" w:color="CCCCCC" w:sz="1"/>
            </w:tcBorders>
            <w:shd w:fill="D2E3FC"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Monthly: Performance report to AI Risk Committee. Immediate: Incident escalation.</w:t>
            </w:r>
          </w:p>
        </w:tc>
        <w:tc>
          <w:tcPr>
            <w:tcW w:type="dxa" w:w="2340"/>
            <w:tcBorders>
              <w:top w:val="single" w:color="CCCCCC" w:sz="1"/>
              <w:left w:val="single" w:color="CCCCCC" w:sz="1"/>
              <w:bottom w:val="single" w:color="CCCCCC" w:sz="1"/>
              <w:right w:val="single" w:color="CCCCCC" w:sz="1"/>
            </w:tcBorders>
            <w:shd w:fill="AECBFA"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Monthly: Portfolio review. Quarterly: Board report. Immediate: P1 escalation to Board.</w:t>
            </w:r>
          </w:p>
        </w:tc>
        <w:tc>
          <w:tcPr>
            <w:tcW w:type="dxa" w:w="2340"/>
            <w:tcBorders>
              <w:top w:val="single" w:color="CCCCCC" w:sz="1"/>
              <w:left w:val="single" w:color="CCCCCC" w:sz="1"/>
              <w:bottom w:val="single" w:color="CCCCCC" w:sz="1"/>
              <w:right w:val="single" w:color="CCCCCC" w:sz="1"/>
            </w:tcBorders>
            <w:shd w:fill="8AB4F8"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Quarterly: AI Portfolio Risk Report. Annually: Full AI Governance Report.</w:t>
            </w:r>
          </w:p>
        </w:tc>
      </w:tr>
    </w:tbl>
    <w:p>
      <w:pPr>
        <w:spacing w:after="60" w:before="60"/>
      </w:pPr>
      <w:r>
        <w:t xml:space="preserve"/>
      </w:r>
    </w:p>
    <w:p>
      <w:pPr>
        <w:pStyle w:val="Heading2"/>
        <w:spacing w:after="80" w:before="240"/>
      </w:pPr>
      <w:r>
        <w:rPr>
          <w:rFonts w:ascii="Arial" w:cs="Arial" w:eastAsia="Arial" w:hAnsi="Arial"/>
          <w:b/>
          <w:bCs/>
          <w:color w:val="2E5FA3"/>
          <w:sz w:val="24"/>
          <w:szCs w:val="24"/>
        </w:rPr>
        <w:t xml:space="preserve">4.2 Mandatory Reports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2000"/>
        <w:gridCol w:w="1800"/>
        <w:gridCol w:w="1560"/>
      </w:tblGrid>
      <w:tr>
        <w:tc>
          <w:tcPr>
            <w:tcW w:type="dxa" w:w="25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r>
              <w:rPr>
                <w:rFonts w:ascii="Arial" w:cs="Arial" w:eastAsia="Arial" w:hAnsi="Arial"/>
                <w:b/>
                <w:bCs/>
                <w:color w:val="FFFFFF"/>
                <w:sz w:val="20"/>
                <w:szCs w:val="20"/>
              </w:rPr>
              <w:t xml:space="preserve">Report</w:t>
            </w:r>
          </w:p>
        </w:tc>
        <w:tc>
          <w:tcPr>
            <w:tcW w:type="dxa" w:w="15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r>
              <w:rPr>
                <w:rFonts w:ascii="Arial" w:cs="Arial" w:eastAsia="Arial" w:hAnsi="Arial"/>
                <w:b/>
                <w:bCs/>
                <w:color w:val="FFFFFF"/>
                <w:sz w:val="20"/>
                <w:szCs w:val="20"/>
              </w:rPr>
              <w:t xml:space="preserve">Frequency</w:t>
            </w:r>
          </w:p>
        </w:tc>
        <w:tc>
          <w:tcPr>
            <w:tcW w:type="dxa" w:w="20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r>
              <w:rPr>
                <w:rFonts w:ascii="Arial" w:cs="Arial" w:eastAsia="Arial" w:hAnsi="Arial"/>
                <w:b/>
                <w:bCs/>
                <w:color w:val="FFFFFF"/>
                <w:sz w:val="20"/>
                <w:szCs w:val="20"/>
              </w:rPr>
              <w:t xml:space="preserve">Audience</w:t>
            </w:r>
          </w:p>
        </w:tc>
        <w:tc>
          <w:tcPr>
            <w:tcW w:type="dxa" w:w="18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r>
              <w:rPr>
                <w:rFonts w:ascii="Arial" w:cs="Arial" w:eastAsia="Arial" w:hAnsi="Arial"/>
                <w:b/>
                <w:bCs/>
                <w:color w:val="FFFFFF"/>
                <w:sz w:val="20"/>
                <w:szCs w:val="20"/>
              </w:rPr>
              <w:t xml:space="preserve">Produced By</w:t>
            </w:r>
          </w:p>
        </w:tc>
        <w:tc>
          <w:tcPr>
            <w:tcW w:type="dxa" w:w="156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r>
              <w:rPr>
                <w:rFonts w:ascii="Arial" w:cs="Arial" w:eastAsia="Arial" w:hAnsi="Arial"/>
                <w:b/>
                <w:bCs/>
                <w:color w:val="FFFFFF"/>
                <w:sz w:val="20"/>
                <w:szCs w:val="20"/>
              </w:rPr>
              <w:t xml:space="preserve">Format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System Performance Report</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Monthly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AI Risk Committee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System Owner</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1-page memo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AI Portfolio Risk Report</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Quarterly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Board Risk Committee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4-page report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Bias Audit Report</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Annual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AI Risk Committee + Legal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System Owner</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Full report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AI Governance Report</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Annual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Full Board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Executive deck</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Incident Report</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As required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AI Risk Committee / Board / Regulator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System Owner + CRO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Incident template</w:t>
            </w:r>
          </w:p>
        </w:tc>
      </w:tr>
    </w:tbl>
    <w:p>
      <w:r>
        <w:br w:type="page"/>
      </w:r>
    </w:p>
    <w:p>
      <w:pPr>
        <w:pStyle w:val="Heading1"/>
        <w:pBdr>
          <w:bottom w:val="single" w:color="2E5FA3" w:sz="6" w:space="4"/>
        </w:pBdr>
        <w:spacing w:after="120" w:before="360"/>
      </w:pPr>
      <w:r>
        <w:rPr>
          <w:rFonts w:ascii="Arial" w:cs="Arial" w:eastAsia="Arial" w:hAnsi="Arial"/>
          <w:b/>
          <w:bCs/>
          <w:color w:val="1F3864"/>
          <w:sz w:val="28"/>
          <w:szCs w:val="28"/>
        </w:rPr>
        <w:t xml:space="preserve">5. Current System Owner Map</w:t>
      </w:r>
    </w:p>
    <w:p>
      <w:pPr>
        <w:spacing w:after="60" w:before="60"/>
      </w:pPr>
      <w:r>
        <w:rPr>
          <w:rFonts w:ascii="Arial" w:cs="Arial" w:eastAsia="Arial" w:hAnsi="Arial"/>
          <w:sz w:val="22"/>
          <w:szCs w:val="22"/>
        </w:rPr>
        <w:t xml:space="preserve">The following table identifies the current system owner for each AI system in NorthStar's inventory and their primary governance obligations under this Operating Model.</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000"/>
        <w:gridCol w:w="1560"/>
        <w:gridCol w:w="2200"/>
      </w:tblGrid>
      <w:tr>
        <w:tc>
          <w:tcPr>
            <w:tcW w:type="dxa" w:w="14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r>
              <w:rPr>
                <w:rFonts w:ascii="Arial" w:cs="Arial" w:eastAsia="Arial" w:hAnsi="Arial"/>
                <w:b/>
                <w:bCs/>
                <w:color w:val="FFFFFF"/>
                <w:sz w:val="20"/>
                <w:szCs w:val="20"/>
              </w:rPr>
              <w:t xml:space="preserve">System ID</w:t>
            </w:r>
          </w:p>
        </w:tc>
        <w:tc>
          <w:tcPr>
            <w:tcW w:type="dxa" w:w="22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r>
              <w:rPr>
                <w:rFonts w:ascii="Arial" w:cs="Arial" w:eastAsia="Arial" w:hAnsi="Arial"/>
                <w:b/>
                <w:bCs/>
                <w:color w:val="FFFFFF"/>
                <w:sz w:val="20"/>
                <w:szCs w:val="20"/>
              </w:rPr>
              <w:t xml:space="preserve">System</w:t>
            </w:r>
          </w:p>
        </w:tc>
        <w:tc>
          <w:tcPr>
            <w:tcW w:type="dxa" w:w="20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r>
              <w:rPr>
                <w:rFonts w:ascii="Arial" w:cs="Arial" w:eastAsia="Arial" w:hAnsi="Arial"/>
                <w:b/>
                <w:bCs/>
                <w:color w:val="FFFFFF"/>
                <w:sz w:val="20"/>
                <w:szCs w:val="20"/>
              </w:rPr>
              <w:t xml:space="preserve">System Owner</w:t>
            </w:r>
          </w:p>
        </w:tc>
        <w:tc>
          <w:tcPr>
            <w:tcW w:type="dxa" w:w="156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r>
              <w:rPr>
                <w:rFonts w:ascii="Arial" w:cs="Arial" w:eastAsia="Arial" w:hAnsi="Arial"/>
                <w:b/>
                <w:bCs/>
                <w:color w:val="FFFFFF"/>
                <w:sz w:val="20"/>
                <w:szCs w:val="20"/>
              </w:rPr>
              <w:t xml:space="preserve">Risk Tier</w:t>
            </w:r>
          </w:p>
        </w:tc>
        <w:tc>
          <w:tcPr>
            <w:tcW w:type="dxa" w:w="22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r>
              <w:rPr>
                <w:rFonts w:ascii="Arial" w:cs="Arial" w:eastAsia="Arial" w:hAnsi="Arial"/>
                <w:b/>
                <w:bCs/>
                <w:color w:val="FFFFFF"/>
                <w:sz w:val="20"/>
                <w:szCs w:val="20"/>
              </w:rPr>
              <w:t xml:space="preserve">Priority Action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NS-AI-001</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CreditScore Pro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Head of Credit Risk</w:t>
            </w:r>
          </w:p>
        </w:tc>
        <w:tc>
          <w:tcPr>
            <w:tcW w:type="dxa" w:w="156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bCs/>
                <w:color w:val="C00000"/>
                <w:sz w:val="20"/>
                <w:szCs w:val="20"/>
              </w:rPr>
              <w:t xml:space="preserve">High Risk</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Conformity assessment + SHAP documentation within 60 days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NS-AI-002</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FraudGuard 360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Head of Payment Operations</w:t>
            </w:r>
          </w:p>
        </w:tc>
        <w:tc>
          <w:tcPr>
            <w:tcW w:type="dxa" w:w="15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color w:val="7F6000"/>
                <w:sz w:val="20"/>
                <w:szCs w:val="20"/>
              </w:rPr>
              <w:t xml:space="preserve">Limited Risk</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Update vendor contract at next renewal</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NS-AI-003</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TalentMatch AI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HR Director</w:t>
            </w:r>
          </w:p>
        </w:tc>
        <w:tc>
          <w:tcPr>
            <w:tcW w:type="dxa" w:w="156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bCs/>
                <w:color w:val="C00000"/>
                <w:sz w:val="20"/>
                <w:szCs w:val="20"/>
              </w:rPr>
              <w:t xml:space="preserve">High Risk</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Immediate human override. Bias audit within 30 days. Conformity assessment within 60 days.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NS-AI-004</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SupportBot Aria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Head of Customer Experience</w:t>
            </w:r>
          </w:p>
        </w:tc>
        <w:tc>
          <w:tcPr>
            <w:tcW w:type="dxa" w:w="15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color w:val="7F6000"/>
                <w:sz w:val="20"/>
                <w:szCs w:val="20"/>
              </w:rPr>
              <w:t xml:space="preserve">Limited Risk</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Mobile disclosure within 30 days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NS-AI-005</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MarketSense Personaliser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Chief Marketing Officer</w:t>
            </w:r>
          </w:p>
        </w:tc>
        <w:tc>
          <w:tcPr>
            <w:tcW w:type="dxa" w:w="1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20"/>
                <w:szCs w:val="20"/>
              </w:rPr>
              <w:t xml:space="preserve">Minimal Risk</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Annual review sufficient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NS-AI-006</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DocIntel Underwriting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Head of Insurance Underwriting</w:t>
            </w:r>
          </w:p>
        </w:tc>
        <w:tc>
          <w:tcPr>
            <w:tcW w:type="dxa" w:w="156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bCs/>
                <w:color w:val="C00000"/>
                <w:sz w:val="20"/>
                <w:szCs w:val="20"/>
              </w:rPr>
              <w:t xml:space="preserve">High Risk (pilot)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Governance gate review before any production deployment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NS-AI-007</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RegulatoryRadar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Chief Compliance Officer</w:t>
            </w:r>
          </w:p>
        </w:tc>
        <w:tc>
          <w:tcPr>
            <w:tcW w:type="dxa" w:w="1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20"/>
                <w:szCs w:val="20"/>
              </w:rPr>
              <w:t xml:space="preserve">Minimal Risk</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Annual review sufficient</w:t>
            </w:r>
          </w:p>
        </w:tc>
      </w:tr>
    </w:tbl>
    <w:p>
      <w:r>
        <w:br w:type="page"/>
      </w:r>
    </w:p>
    <w:p>
      <w:pPr>
        <w:pStyle w:val="Heading1"/>
        <w:pBdr>
          <w:bottom w:val="single" w:color="2E5FA3" w:sz="6" w:space="4"/>
        </w:pBdr>
        <w:spacing w:after="120" w:before="360"/>
      </w:pPr>
      <w:r>
        <w:rPr>
          <w:rFonts w:ascii="Arial" w:cs="Arial" w:eastAsia="Arial" w:hAnsi="Arial"/>
          <w:b/>
          <w:bCs/>
          <w:color w:val="1F3864"/>
          <w:sz w:val="28"/>
          <w:szCs w:val="28"/>
        </w:rPr>
        <w:t xml:space="preserve">6. Training and Competency Requirements</w:t>
      </w:r>
    </w:p>
    <w:p>
      <w:pPr>
        <w:spacing w:after="60" w:before="60"/>
      </w:pPr>
      <w:r>
        <w:rPr>
          <w:rFonts w:ascii="Arial" w:cs="Arial" w:eastAsia="Arial" w:hAnsi="Arial"/>
          <w:sz w:val="22"/>
          <w:szCs w:val="22"/>
        </w:rPr>
        <w:t xml:space="preserve">AI governance competence is a professional requirement at NorthStar — not optional. The following training obligations apply to all roles with AI governance responsibilities.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1800"/>
        <w:gridCol w:w="1800"/>
      </w:tblGrid>
      <w:tr>
        <w:tc>
          <w:tcPr>
            <w:tcW w:type="dxa" w:w="24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r>
              <w:rPr>
                <w:rFonts w:ascii="Arial" w:cs="Arial" w:eastAsia="Arial" w:hAnsi="Arial"/>
                <w:b/>
                <w:bCs/>
                <w:color w:val="FFFFFF"/>
                <w:sz w:val="20"/>
                <w:szCs w:val="20"/>
              </w:rPr>
              <w:t xml:space="preserve">Role</w:t>
            </w:r>
          </w:p>
        </w:tc>
        <w:tc>
          <w:tcPr>
            <w:tcW w:type="dxa" w:w="336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r>
              <w:rPr>
                <w:rFonts w:ascii="Arial" w:cs="Arial" w:eastAsia="Arial" w:hAnsi="Arial"/>
                <w:b/>
                <w:bCs/>
                <w:color w:val="FFFFFF"/>
                <w:sz w:val="20"/>
                <w:szCs w:val="20"/>
              </w:rPr>
              <w:t xml:space="preserve">Training Required</w:t>
            </w:r>
          </w:p>
        </w:tc>
        <w:tc>
          <w:tcPr>
            <w:tcW w:type="dxa" w:w="18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r>
              <w:rPr>
                <w:rFonts w:ascii="Arial" w:cs="Arial" w:eastAsia="Arial" w:hAnsi="Arial"/>
                <w:b/>
                <w:bCs/>
                <w:color w:val="FFFFFF"/>
                <w:sz w:val="20"/>
                <w:szCs w:val="20"/>
              </w:rPr>
              <w:t xml:space="preserve">Completion Deadline</w:t>
            </w:r>
          </w:p>
        </w:tc>
        <w:tc>
          <w:tcPr>
            <w:tcW w:type="dxa" w:w="18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r>
              <w:rPr>
                <w:rFonts w:ascii="Arial" w:cs="Arial" w:eastAsia="Arial" w:hAnsi="Arial"/>
                <w:b/>
                <w:bCs/>
                <w:color w:val="FFFFFF"/>
                <w:sz w:val="20"/>
                <w:szCs w:val="20"/>
              </w:rPr>
              <w:t xml:space="preserve">Frequency</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All System Owners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AI Governance Foundations | EU AI Act Obligations | NIST AI RMF Fundamentals | Incident Escalation Procedures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60 days of appointment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Annual refresh</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AI Risk Committee Members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Advanced AI Governance | Regulatory Developments | Conformity Assessment Process | Board Reporting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30 days of appointment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Semi-annual</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ML Engineering</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Technical Governance Requirements | Logging and Monitoring Standards | Explainability Implementation | Bias Testing Methodology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Immediate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Annual</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HR Staff using TalentMatch AI</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AI Limitations Awareness | Human Oversight Obligations | Override Procedures | Bias Recognition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Immediate — Priority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Annual</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All NorthStar Employees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AI Awareness — what AI systems NorthStar uses and how to report concerns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Within 90 days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Annual</w:t>
            </w:r>
          </w:p>
        </w:tc>
      </w:tr>
    </w:tbl>
    <w:p>
      <w:pPr>
        <w:spacing w:after="60" w:before="60"/>
      </w:pPr>
      <w:r>
        <w:t xml:space="preserve"/>
      </w:r>
    </w:p>
    <w:p>
      <w:pPr>
        <w:pStyle w:val="Heading1"/>
        <w:pBdr>
          <w:bottom w:val="single" w:color="2E5FA3" w:sz="6" w:space="4"/>
        </w:pBdr>
        <w:spacing w:after="120" w:before="360"/>
      </w:pPr>
      <w:r>
        <w:rPr>
          <w:rFonts w:ascii="Arial" w:cs="Arial" w:eastAsia="Arial" w:hAnsi="Arial"/>
          <w:b/>
          <w:bCs/>
          <w:color w:val="1F3864"/>
          <w:sz w:val="28"/>
          <w:szCs w:val="28"/>
        </w:rPr>
        <w:t xml:space="preserve">7. Document Control</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3360"/>
        <w:gridCol w:w="2800"/>
      </w:tblGrid>
      <w:tr>
        <w:tc>
          <w:tcPr>
            <w:tcW w:type="dxa" w:w="12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r>
              <w:rPr>
                <w:rFonts w:ascii="Arial" w:cs="Arial" w:eastAsia="Arial" w:hAnsi="Arial"/>
                <w:b/>
                <w:bCs/>
                <w:color w:val="FFFFFF"/>
                <w:sz w:val="20"/>
                <w:szCs w:val="20"/>
              </w:rPr>
              <w:t xml:space="preserve">Version</w:t>
            </w:r>
          </w:p>
        </w:tc>
        <w:tc>
          <w:tcPr>
            <w:tcW w:type="dxa" w:w="20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r>
              <w:rPr>
                <w:rFonts w:ascii="Arial" w:cs="Arial" w:eastAsia="Arial" w:hAnsi="Arial"/>
                <w:b/>
                <w:bCs/>
                <w:color w:val="FFFFFF"/>
                <w:sz w:val="20"/>
                <w:szCs w:val="20"/>
              </w:rPr>
              <w:t xml:space="preserve">Date</w:t>
            </w:r>
          </w:p>
        </w:tc>
        <w:tc>
          <w:tcPr>
            <w:tcW w:type="dxa" w:w="336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r>
              <w:rPr>
                <w:rFonts w:ascii="Arial" w:cs="Arial" w:eastAsia="Arial" w:hAnsi="Arial"/>
                <w:b/>
                <w:bCs/>
                <w:color w:val="FFFFFF"/>
                <w:sz w:val="20"/>
                <w:szCs w:val="20"/>
              </w:rPr>
              <w:t xml:space="preserve">Changes</w:t>
            </w:r>
          </w:p>
        </w:tc>
        <w:tc>
          <w:tcPr>
            <w:tcW w:type="dxa" w:w="28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center"/>
          </w:tcPr>
          <w:p>
            <w:r>
              <w:rPr>
                <w:rFonts w:ascii="Arial" w:cs="Arial" w:eastAsia="Arial" w:hAnsi="Arial"/>
                <w:b/>
                <w:bCs/>
                <w:color w:val="FFFFFF"/>
                <w:sz w:val="20"/>
                <w:szCs w:val="20"/>
              </w:rPr>
              <w:t xml:space="preserve">Approved By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April 2026</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Initial release. Developed in response to Q1 2026 AI governance review findings.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Chief Risk Officer</w:t>
            </w:r>
          </w:p>
        </w:tc>
      </w:tr>
    </w:tbl>
    <w:p>
      <w:pPr>
        <w:spacing w:after="60" w:before="60"/>
      </w:pPr>
      <w:r>
        <w:t xml:space="preserve"/>
      </w:r>
    </w:p>
    <w:p>
      <w:pPr>
        <w:spacing w:after="60" w:before="60"/>
      </w:pPr>
      <w:r>
        <w:rPr>
          <w:rFonts w:ascii="Arial" w:cs="Arial" w:eastAsia="Arial" w:hAnsi="Arial"/>
          <w:sz w:val="22"/>
          <w:szCs w:val="22"/>
        </w:rPr>
        <w:t xml:space="preserve">This Operating Model is owned by the Chief Risk Officer and reviewed annually. Proposed changes must be approved by the AI Risk Committee before implementation. This document is classified Internal — Confidential and must not be shared outside NorthStar Financial Services without CRO approval.</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FA3" w:sz="4" w:space="4"/>
      </w:pBdr>
      <w:spacing w:after="0" w:before="120"/>
    </w:pPr>
    <w:r>
      <w:rPr>
        <w:rFonts w:ascii="Arial" w:cs="Arial" w:eastAsia="Arial" w:hAnsi="Arial"/>
        <w:color w:val="666666"/>
        <w:sz w:val="16"/>
        <w:szCs w:val="16"/>
      </w:rPr>
      <w:t xml:space="preserve">CONFIDENTIAL — Internal Use Only   |   NS-OM-AI-001   |   Version 1.0   |   April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3" w:sz="4" w:space="4"/>
      </w:pBdr>
      <w:spacing w:after="120" w:before="0"/>
    </w:pPr>
    <w:r>
      <w:rPr>
        <w:rFonts w:ascii="Arial" w:cs="Arial" w:eastAsia="Arial" w:hAnsi="Arial"/>
        <w:b/>
        <w:bCs/>
        <w:color w:val="1F3864"/>
        <w:sz w:val="18"/>
        <w:szCs w:val="18"/>
      </w:rPr>
      <w:t xml:space="preserve">NorthStar Financial Services</w:t>
    </w:r>
    <w:r>
      <w:rPr>
        <w:rFonts w:ascii="Arial" w:cs="Arial" w:eastAsia="Arial" w:hAnsi="Arial"/>
        <w:color w:val="666666"/>
        <w:sz w:val="18"/>
        <w:szCs w:val="18"/>
      </w:rPr>
      <w:t xml:space="preserve">   |   AI Governance Operating Model   |   Version 1.0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20" w:before="360"/>
      <w:outlineLvl w:val="0"/>
    </w:pPr>
    <w:rPr>
      <w:rFonts w:ascii="Arial" w:cs="Arial" w:eastAsia="Arial" w:hAnsi="Arial"/>
      <w:b/>
      <w:bCs/>
      <w:color w:val="1F3864"/>
      <w:sz w:val="28"/>
      <w:szCs w:val="28"/>
    </w:rPr>
  </w:style>
  <w:style w:type="paragraph" w:styleId="Heading2">
    <w:name w:val="Heading 2"/>
    <w:basedOn w:val="Normal"/>
    <w:next w:val="Normal"/>
    <w:pPr>
      <w:spacing w:after="80" w:before="240"/>
      <w:outlineLvl w:val="1"/>
    </w:pPr>
    <w:rPr>
      <w:rFonts w:ascii="Arial" w:cs="Arial" w:eastAsia="Arial" w:hAnsi="Arial"/>
      <w:b/>
      <w:bCs/>
      <w:color w:val="2E5FA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2026-04-22T14:31:34.442Z</dcterms:created>
  <dcterms:modified xsi:type="dcterms:W3CDTF">2026-04-22T14:31:34.480Z</dcterms:modified>
</cp:coreProperties>
</file>

<file path=docProps/custom.xml><?xml version="1.0" encoding="utf-8"?>
<Properties xmlns="http://schemas.openxmlformats.org/officeDocument/2006/custom-properties" xmlns:vt="http://schemas.openxmlformats.org/officeDocument/2006/docPropsVTypes"/>
</file>