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52"/>
          <w:szCs w:val="52"/>
        </w:rPr>
        <w:t xml:space="preserve">NORTHSTAR FINANCIAL SERVICES</w:t>
      </w:r>
    </w:p>
    <w:p>
      <w:pPr>
        <w:spacing w:after="60" w:before="0"/>
        <w:jc w:val="center"/>
      </w:pPr>
      <w:r>
        <w:rPr>
          <w:rFonts w:ascii="Arial" w:cs="Arial" w:eastAsia="Arial" w:hAnsi="Arial"/>
          <w:color w:val="2E5FA3"/>
          <w:sz w:val="36"/>
          <w:szCs w:val="36"/>
        </w:rPr>
        <w:t xml:space="preserve">AI Principles Statement</w:t>
      </w:r>
    </w:p>
    <w:p>
      <w:pPr>
        <w:pBdr>
          <w:bottom w:val="single" w:color="2E5FA3" w:sz="6" w:space="8"/>
        </w:pBdr>
        <w:spacing w:after="60" w:before="0"/>
        <w:jc w:val="center"/>
      </w:pPr>
      <w:r>
        <w:rPr>
          <w:rFonts w:ascii="Arial" w:cs="Arial" w:eastAsia="Arial" w:hAnsi="Arial"/>
          <w:i/>
          <w:iCs/>
          <w:color w:val="666666"/>
          <w:sz w:val="22"/>
          <w:szCs w:val="22"/>
        </w:rPr>
        <w:t xml:space="preserve">Our commitments to responsible artificial intelligence</w:t>
      </w:r>
    </w:p>
    <w:p>
      <w:pPr>
        <w:spacing w:after="80" w:before="80"/>
      </w:pPr>
      <w:r>
        <w:t xml:space="preserve"/>
      </w:r>
    </w:p>
    <w:p>
      <w:pPr>
        <w:spacing w:after="120" w:before="240"/>
      </w:pPr>
      <w:r>
        <w:rPr>
          <w:rFonts w:ascii="Arial" w:cs="Arial" w:eastAsia="Arial" w:hAnsi="Arial"/>
          <w:b/>
          <w:bCs/>
          <w:color w:val="1F3864"/>
          <w:sz w:val="28"/>
          <w:szCs w:val="28"/>
        </w:rPr>
        <w:t xml:space="preserve">Our Commitment</w:t>
      </w:r>
    </w:p>
    <w:p>
      <w:pPr>
        <w:spacing w:after="80" w:before="80"/>
      </w:pPr>
      <w:r>
        <w:rPr>
          <w:rFonts w:ascii="Arial" w:cs="Arial" w:eastAsia="Arial" w:hAnsi="Arial"/>
          <w:sz w:val="22"/>
          <w:szCs w:val="22"/>
        </w:rPr>
        <w:t xml:space="preserve">NorthStar Financial Services uses artificial intelligence to improve outcomes for our customers, our people, and our business. AI helps us assess credit risk more accurately, detect fraud in real time, match talent to opportunity, and serve customers around the clock.</w:t>
      </w:r>
    </w:p>
    <w:p>
      <w:pPr>
        <w:spacing w:after="80" w:before="80"/>
      </w:pPr>
      <w:r>
        <w:t xml:space="preserve"/>
      </w:r>
    </w:p>
    <w:p>
      <w:pPr>
        <w:spacing w:after="80" w:before="80"/>
      </w:pPr>
      <w:r>
        <w:rPr>
          <w:rFonts w:ascii="Arial" w:cs="Arial" w:eastAsia="Arial" w:hAnsi="Arial"/>
          <w:sz w:val="22"/>
          <w:szCs w:val="22"/>
        </w:rPr>
        <w:t xml:space="preserve">With that capability comes responsibility. AI systems that influence financial decisions, employment outcomes, and access to services carry real consequences for real people. An AI that is biased, opaque, or ungoverned does not just create regulatory risk — it causes harm.</w:t>
      </w:r>
    </w:p>
    <w:p>
      <w:pPr>
        <w:spacing w:after="80" w:before="80"/>
      </w:pPr>
      <w:r>
        <w:t xml:space="preserve"/>
      </w:r>
    </w:p>
    <w:p>
      <w:pPr>
        <w:spacing w:after="80" w:before="80"/>
      </w:pPr>
      <w:r>
        <w:rPr>
          <w:rFonts w:ascii="Arial" w:cs="Arial" w:eastAsia="Arial" w:hAnsi="Arial"/>
          <w:sz w:val="22"/>
          <w:szCs w:val="22"/>
        </w:rPr>
        <w:t xml:space="preserve">These six principles define how NorthStar uses AI. They apply to every AI system we operate — whether built in-house or supplied by a vendor. They are not aspirational. They are operational commitments backed by governance controls, and they are enforceable through our Responsible AI Policy.</w:t>
      </w:r>
    </w:p>
    <w:p>
      <w:pPr>
        <w:spacing w:after="80" w:before="80"/>
      </w:pPr>
      <w:r>
        <w:t xml:space="preserve"/>
      </w:r>
    </w:p>
    <w:p>
      <w:pPr>
        <w:spacing w:after="80" w:before="80"/>
      </w:pPr>
      <w:r>
        <w:rPr>
          <w:rFonts w:ascii="Arial" w:cs="Arial" w:eastAsia="Arial" w:hAnsi="Arial"/>
          <w:sz w:val="22"/>
          <w:szCs w:val="22"/>
        </w:rPr>
        <w:t xml:space="preserve">Every person at NorthStar who uses, builds, or oversees an AI system is accountable to these principles.</w:t>
      </w:r>
    </w:p>
    <w:p>
      <w:pPr>
        <w:spacing w:after="80" w:before="80"/>
      </w:pPr>
      <w:r>
        <w:t xml:space="preserve"/>
      </w:r>
    </w:p>
    <w:p>
      <w:pPr>
        <w:spacing w:after="80" w:before="80"/>
      </w:pPr>
      <w:r>
        <w:t xml:space="preserve"/>
      </w:r>
    </w:p>
    <w:p>
      <w:pPr>
        <w:shd w:fill="1F3864" w:val="clear"/>
        <w:spacing w:after="80" w:before="240"/>
      </w:pPr>
      <w:r>
        <w:rPr>
          <w:rFonts w:ascii="Arial" w:cs="Arial" w:eastAsia="Arial" w:hAnsi="Arial"/>
          <w:b/>
          <w:bCs/>
          <w:color w:val="FFFFFF"/>
          <w:sz w:val="24"/>
          <w:szCs w:val="24"/>
        </w:rPr>
        <w:t xml:space="preserve">  Principle 1 — </w:t>
      </w:r>
      <w:r>
        <w:rPr>
          <w:rFonts w:ascii="Arial" w:cs="Arial" w:eastAsia="Arial" w:hAnsi="Arial"/>
          <w:b/>
          <w:bCs/>
          <w:color w:val="FFFFFF"/>
          <w:sz w:val="24"/>
          <w:szCs w:val="24"/>
        </w:rPr>
        <w:t xml:space="preserve">Fairness</w:t>
      </w:r>
    </w:p>
    <w:p>
      <w:pPr>
        <w:spacing w:after="80" w:before="80"/>
      </w:pPr>
      <w:r>
        <w:t xml:space="preserve"/>
      </w:r>
    </w:p>
    <w:p>
      <w:pPr>
        <w:spacing w:after="60" w:before="60"/>
        <w:ind w:left="200"/>
      </w:pPr>
      <w:r>
        <w:rPr>
          <w:rFonts w:ascii="Arial" w:cs="Arial" w:eastAsia="Arial" w:hAnsi="Arial"/>
          <w:color w:val="333333"/>
          <w:sz w:val="21"/>
          <w:szCs w:val="21"/>
        </w:rPr>
        <w:t xml:space="preserve">We will not use AI to discriminate. Our AI systems must produce fair outcomes across all groups of people they affect — regardless of gender, ethnicity, age, disability, religion, or national origin.</w:t>
      </w:r>
    </w:p>
    <w:p>
      <w:pPr>
        <w:spacing w:after="80" w:before="80"/>
      </w:pPr>
      <w:r>
        <w:t xml:space="preserve"/>
      </w:r>
    </w:p>
    <w:p>
      <w:pPr>
        <w:spacing w:after="60" w:before="60"/>
        <w:ind w:left="200"/>
      </w:pPr>
      <w:r>
        <w:rPr>
          <w:rFonts w:ascii="Arial" w:cs="Arial" w:eastAsia="Arial" w:hAnsi="Arial"/>
          <w:color w:val="333333"/>
          <w:sz w:val="21"/>
          <w:szCs w:val="21"/>
        </w:rPr>
        <w:t xml:space="preserve">What this means in practice:</w:t>
      </w:r>
    </w:p>
    <w:p>
      <w:pPr>
        <w:pStyle w:val="ListParagraph"/>
        <w:numPr>
          <w:ilvl w:val="0"/>
          <w:numId w:val="2"/>
        </w:numPr>
        <w:spacing w:after="40" w:before="40"/>
      </w:pPr>
      <w:r>
        <w:rPr>
          <w:rFonts w:ascii="Arial" w:cs="Arial" w:eastAsia="Arial" w:hAnsi="Arial"/>
          <w:color w:val="333333"/>
          <w:sz w:val="21"/>
          <w:szCs w:val="21"/>
        </w:rPr>
        <w:t xml:space="preserve">Every High Risk AI system undergoes a bias audit before deployment and every year thereafter</w:t>
      </w:r>
    </w:p>
    <w:p>
      <w:pPr>
        <w:pStyle w:val="ListParagraph"/>
        <w:numPr>
          <w:ilvl w:val="0"/>
          <w:numId w:val="2"/>
        </w:numPr>
        <w:spacing w:after="40" w:before="40"/>
      </w:pPr>
      <w:r>
        <w:rPr>
          <w:rFonts w:ascii="Arial" w:cs="Arial" w:eastAsia="Arial" w:hAnsi="Arial"/>
          <w:color w:val="333333"/>
          <w:sz w:val="21"/>
          <w:szCs w:val="21"/>
        </w:rPr>
        <w:t xml:space="preserve">Proxy variables that encode protected characteristics are identified and controlled</w:t>
      </w:r>
    </w:p>
    <w:p>
      <w:pPr>
        <w:pStyle w:val="ListParagraph"/>
        <w:numPr>
          <w:ilvl w:val="0"/>
          <w:numId w:val="2"/>
        </w:numPr>
        <w:spacing w:after="40" w:before="40"/>
      </w:pPr>
      <w:r>
        <w:rPr>
          <w:rFonts w:ascii="Arial" w:cs="Arial" w:eastAsia="Arial" w:hAnsi="Arial"/>
          <w:color w:val="333333"/>
          <w:sz w:val="21"/>
          <w:szCs w:val="21"/>
        </w:rPr>
        <w:t xml:space="preserve">Shortlisting, credit scoring, and underwriting outcomes are monitored by demographic group</w:t>
      </w:r>
    </w:p>
    <w:p>
      <w:pPr>
        <w:pStyle w:val="ListParagraph"/>
        <w:numPr>
          <w:ilvl w:val="0"/>
          <w:numId w:val="2"/>
        </w:numPr>
        <w:spacing w:after="40" w:before="40"/>
      </w:pPr>
      <w:r>
        <w:rPr>
          <w:rFonts w:ascii="Arial" w:cs="Arial" w:eastAsia="Arial" w:hAnsi="Arial"/>
          <w:color w:val="333333"/>
          <w:sz w:val="21"/>
          <w:szCs w:val="21"/>
        </w:rPr>
        <w:t xml:space="preserve">Where discriminatory patterns are identified — the system is suspended until remediated</w:t>
      </w:r>
    </w:p>
    <w:p>
      <w:pPr>
        <w:spacing w:after="80" w:before="80"/>
      </w:pPr>
      <w:r>
        <w:t xml:space="preserve"/>
      </w:r>
    </w:p>
    <w:p>
      <w:pPr>
        <w:spacing w:after="60" w:before="60"/>
        <w:ind w:left="200"/>
      </w:pPr>
      <w:r>
        <w:rPr>
          <w:rFonts w:ascii="Arial" w:cs="Arial" w:eastAsia="Arial" w:hAnsi="Arial"/>
          <w:color w:val="333333"/>
          <w:sz w:val="21"/>
          <w:szCs w:val="21"/>
        </w:rPr>
        <w:t xml:space="preserve">Regulatory basis: EU AI Act Article 10 (data governance) | GDPR Article 22 (automated decision-making)</w:t>
      </w:r>
    </w:p>
    <w:p>
      <w:pPr>
        <w:spacing w:after="80" w:before="80"/>
      </w:pPr>
      <w:r>
        <w:t xml:space="preserve"/>
      </w:r>
    </w:p>
    <w:p>
      <w:pPr>
        <w:shd w:fill="2E5FA3" w:val="clear"/>
        <w:spacing w:after="80" w:before="240"/>
      </w:pPr>
      <w:r>
        <w:rPr>
          <w:rFonts w:ascii="Arial" w:cs="Arial" w:eastAsia="Arial" w:hAnsi="Arial"/>
          <w:b/>
          <w:bCs/>
          <w:color w:val="FFFFFF"/>
          <w:sz w:val="24"/>
          <w:szCs w:val="24"/>
        </w:rPr>
        <w:t xml:space="preserve">  Principle 2 — </w:t>
      </w:r>
      <w:r>
        <w:rPr>
          <w:rFonts w:ascii="Arial" w:cs="Arial" w:eastAsia="Arial" w:hAnsi="Arial"/>
          <w:b/>
          <w:bCs/>
          <w:color w:val="FFFFFF"/>
          <w:sz w:val="24"/>
          <w:szCs w:val="24"/>
        </w:rPr>
        <w:t xml:space="preserve">Transparency</w:t>
      </w:r>
    </w:p>
    <w:p>
      <w:pPr>
        <w:spacing w:after="80" w:before="80"/>
      </w:pPr>
      <w:r>
        <w:t xml:space="preserve"/>
      </w:r>
    </w:p>
    <w:p>
      <w:pPr>
        <w:spacing w:after="60" w:before="60"/>
        <w:ind w:left="200"/>
      </w:pPr>
      <w:r>
        <w:rPr>
          <w:rFonts w:ascii="Arial" w:cs="Arial" w:eastAsia="Arial" w:hAnsi="Arial"/>
          <w:color w:val="333333"/>
          <w:sz w:val="21"/>
          <w:szCs w:val="21"/>
        </w:rPr>
        <w:t xml:space="preserve">We will not hide AI from the people it affects. Our customers have the right to know when an AI system is involved in a decision that affects them. Our people have the right to understand how AI tools they use actually work.</w:t>
      </w:r>
    </w:p>
    <w:p>
      <w:pPr>
        <w:spacing w:after="80" w:before="80"/>
      </w:pPr>
      <w:r>
        <w:t xml:space="preserve"/>
      </w:r>
    </w:p>
    <w:p>
      <w:pPr>
        <w:spacing w:after="60" w:before="60"/>
        <w:ind w:left="200"/>
      </w:pPr>
      <w:r>
        <w:rPr>
          <w:rFonts w:ascii="Arial" w:cs="Arial" w:eastAsia="Arial" w:hAnsi="Arial"/>
          <w:color w:val="333333"/>
          <w:sz w:val="21"/>
          <w:szCs w:val="21"/>
        </w:rPr>
        <w:t xml:space="preserve">What this means in practice:</w:t>
      </w:r>
    </w:p>
    <w:p>
      <w:pPr>
        <w:pStyle w:val="ListParagraph"/>
        <w:numPr>
          <w:ilvl w:val="0"/>
          <w:numId w:val="2"/>
        </w:numPr>
        <w:spacing w:after="40" w:before="40"/>
      </w:pPr>
      <w:r>
        <w:rPr>
          <w:rFonts w:ascii="Arial" w:cs="Arial" w:eastAsia="Arial" w:hAnsi="Arial"/>
          <w:color w:val="333333"/>
          <w:sz w:val="21"/>
          <w:szCs w:val="21"/>
        </w:rPr>
        <w:t xml:space="preserve">Customers are always informed when they are interacting with an AI system — across every channel</w:t>
      </w:r>
    </w:p>
    <w:p>
      <w:pPr>
        <w:pStyle w:val="ListParagraph"/>
        <w:numPr>
          <w:ilvl w:val="0"/>
          <w:numId w:val="2"/>
        </w:numPr>
        <w:spacing w:after="40" w:before="40"/>
      </w:pPr>
      <w:r>
        <w:rPr>
          <w:rFonts w:ascii="Arial" w:cs="Arial" w:eastAsia="Arial" w:hAnsi="Arial"/>
          <w:color w:val="333333"/>
          <w:sz w:val="21"/>
          <w:szCs w:val="21"/>
        </w:rPr>
        <w:t xml:space="preserve">Customers affected by AI decisions can request an explanation of the factors that influenced the outcome</w:t>
      </w:r>
    </w:p>
    <w:p>
      <w:pPr>
        <w:pStyle w:val="ListParagraph"/>
        <w:numPr>
          <w:ilvl w:val="0"/>
          <w:numId w:val="2"/>
        </w:numPr>
        <w:spacing w:after="40" w:before="40"/>
      </w:pPr>
      <w:r>
        <w:rPr>
          <w:rFonts w:ascii="Arial" w:cs="Arial" w:eastAsia="Arial" w:hAnsi="Arial"/>
          <w:color w:val="333333"/>
          <w:sz w:val="21"/>
          <w:szCs w:val="21"/>
        </w:rPr>
        <w:t xml:space="preserve">Explainability tooling is implemented and documented for all High Risk AI systems</w:t>
      </w:r>
    </w:p>
    <w:p>
      <w:pPr>
        <w:pStyle w:val="ListParagraph"/>
        <w:numPr>
          <w:ilvl w:val="0"/>
          <w:numId w:val="2"/>
        </w:numPr>
        <w:spacing w:after="40" w:before="40"/>
      </w:pPr>
      <w:r>
        <w:rPr>
          <w:rFonts w:ascii="Arial" w:cs="Arial" w:eastAsia="Arial" w:hAnsi="Arial"/>
          <w:color w:val="333333"/>
          <w:sz w:val="21"/>
          <w:szCs w:val="21"/>
        </w:rPr>
        <w:t xml:space="preserve">Technical documentation describing each system's logic, data, and limitations is maintained and kept current</w:t>
      </w:r>
    </w:p>
    <w:p>
      <w:pPr>
        <w:spacing w:after="80" w:before="80"/>
      </w:pPr>
      <w:r>
        <w:t xml:space="preserve"/>
      </w:r>
    </w:p>
    <w:p>
      <w:pPr>
        <w:spacing w:after="60" w:before="60"/>
        <w:ind w:left="200"/>
      </w:pPr>
      <w:r>
        <w:rPr>
          <w:rFonts w:ascii="Arial" w:cs="Arial" w:eastAsia="Arial" w:hAnsi="Arial"/>
          <w:color w:val="333333"/>
          <w:sz w:val="21"/>
          <w:szCs w:val="21"/>
        </w:rPr>
        <w:t xml:space="preserve">Regulatory basis: EU AI Act Article 13 (transparency) | Article 52 (AI disclosure obligations)</w:t>
      </w:r>
    </w:p>
    <w:p>
      <w:pPr>
        <w:spacing w:after="80" w:before="80"/>
      </w:pPr>
      <w:r>
        <w:t xml:space="preserve"/>
      </w:r>
    </w:p>
    <w:p>
      <w:pPr>
        <w:shd w:fill="185FA5" w:val="clear"/>
        <w:spacing w:after="80" w:before="240"/>
      </w:pPr>
      <w:r>
        <w:rPr>
          <w:rFonts w:ascii="Arial" w:cs="Arial" w:eastAsia="Arial" w:hAnsi="Arial"/>
          <w:b/>
          <w:bCs/>
          <w:color w:val="FFFFFF"/>
          <w:sz w:val="24"/>
          <w:szCs w:val="24"/>
        </w:rPr>
        <w:t xml:space="preserve">  Principle 3 — </w:t>
      </w:r>
      <w:r>
        <w:rPr>
          <w:rFonts w:ascii="Arial" w:cs="Arial" w:eastAsia="Arial" w:hAnsi="Arial"/>
          <w:b/>
          <w:bCs/>
          <w:color w:val="FFFFFF"/>
          <w:sz w:val="24"/>
          <w:szCs w:val="24"/>
        </w:rPr>
        <w:t xml:space="preserve">Human Oversight</w:t>
      </w:r>
    </w:p>
    <w:p>
      <w:pPr>
        <w:spacing w:after="80" w:before="80"/>
      </w:pPr>
      <w:r>
        <w:t xml:space="preserve"/>
      </w:r>
    </w:p>
    <w:p>
      <w:pPr>
        <w:spacing w:after="60" w:before="60"/>
        <w:ind w:left="200"/>
      </w:pPr>
      <w:r>
        <w:rPr>
          <w:rFonts w:ascii="Arial" w:cs="Arial" w:eastAsia="Arial" w:hAnsi="Arial"/>
          <w:color w:val="333333"/>
          <w:sz w:val="21"/>
          <w:szCs w:val="21"/>
        </w:rPr>
        <w:t xml:space="preserve">AI at NorthStar assists human decision-makers — it does not replace them. Where AI influences decisions that significantly affect people's lives, a qualified human must retain meaningful authority to review, challenge, and override the AI's recommendation.</w:t>
      </w:r>
    </w:p>
    <w:p>
      <w:pPr>
        <w:spacing w:after="80" w:before="80"/>
      </w:pPr>
      <w:r>
        <w:t xml:space="preserve"/>
      </w:r>
    </w:p>
    <w:p>
      <w:pPr>
        <w:spacing w:after="60" w:before="60"/>
        <w:ind w:left="200"/>
      </w:pPr>
      <w:r>
        <w:rPr>
          <w:rFonts w:ascii="Arial" w:cs="Arial" w:eastAsia="Arial" w:hAnsi="Arial"/>
          <w:color w:val="333333"/>
          <w:sz w:val="21"/>
          <w:szCs w:val="21"/>
        </w:rPr>
        <w:t xml:space="preserve">What this means in practice:</w:t>
      </w:r>
    </w:p>
    <w:p>
      <w:pPr>
        <w:pStyle w:val="ListParagraph"/>
        <w:numPr>
          <w:ilvl w:val="0"/>
          <w:numId w:val="2"/>
        </w:numPr>
        <w:spacing w:after="40" w:before="40"/>
      </w:pPr>
      <w:r>
        <w:rPr>
          <w:rFonts w:ascii="Arial" w:cs="Arial" w:eastAsia="Arial" w:hAnsi="Arial"/>
          <w:color w:val="333333"/>
          <w:sz w:val="21"/>
          <w:szCs w:val="21"/>
        </w:rPr>
        <w:t xml:space="preserve">Every High Risk AI system has named human reviewers with documented authority to override AI decisions</w:t>
      </w:r>
    </w:p>
    <w:p>
      <w:pPr>
        <w:pStyle w:val="ListParagraph"/>
        <w:numPr>
          <w:ilvl w:val="0"/>
          <w:numId w:val="2"/>
        </w:numPr>
        <w:spacing w:after="40" w:before="40"/>
      </w:pPr>
      <w:r>
        <w:rPr>
          <w:rFonts w:ascii="Arial" w:cs="Arial" w:eastAsia="Arial" w:hAnsi="Arial"/>
          <w:color w:val="333333"/>
          <w:sz w:val="21"/>
          <w:szCs w:val="21"/>
        </w:rPr>
        <w:t xml:space="preserve">Human override rates are monitored — rates near zero indicate automation bias and trigger review</w:t>
      </w:r>
    </w:p>
    <w:p>
      <w:pPr>
        <w:pStyle w:val="ListParagraph"/>
        <w:numPr>
          <w:ilvl w:val="0"/>
          <w:numId w:val="2"/>
        </w:numPr>
        <w:spacing w:after="40" w:before="40"/>
      </w:pPr>
      <w:r>
        <w:rPr>
          <w:rFonts w:ascii="Arial" w:cs="Arial" w:eastAsia="Arial" w:hAnsi="Arial"/>
          <w:color w:val="333333"/>
          <w:sz w:val="21"/>
          <w:szCs w:val="21"/>
        </w:rPr>
        <w:t xml:space="preserve">All staff acting as AI reviewers receive documented training on AI limitations and their oversight responsibilities</w:t>
      </w:r>
    </w:p>
    <w:p>
      <w:pPr>
        <w:pStyle w:val="ListParagraph"/>
        <w:numPr>
          <w:ilvl w:val="0"/>
          <w:numId w:val="2"/>
        </w:numPr>
        <w:spacing w:after="40" w:before="40"/>
      </w:pPr>
      <w:r>
        <w:rPr>
          <w:rFonts w:ascii="Arial" w:cs="Arial" w:eastAsia="Arial" w:hAnsi="Arial"/>
          <w:color w:val="333333"/>
          <w:sz w:val="21"/>
          <w:szCs w:val="21"/>
        </w:rPr>
        <w:t xml:space="preserve">No consequential decision — loan approval, candidate rejection, insurance underwriting — is fully automated without human sign-off</w:t>
      </w:r>
    </w:p>
    <w:p>
      <w:pPr>
        <w:spacing w:after="80" w:before="80"/>
      </w:pPr>
      <w:r>
        <w:t xml:space="preserve"/>
      </w:r>
    </w:p>
    <w:p>
      <w:pPr>
        <w:spacing w:after="60" w:before="60"/>
        <w:ind w:left="200"/>
      </w:pPr>
      <w:r>
        <w:rPr>
          <w:rFonts w:ascii="Arial" w:cs="Arial" w:eastAsia="Arial" w:hAnsi="Arial"/>
          <w:color w:val="333333"/>
          <w:sz w:val="21"/>
          <w:szCs w:val="21"/>
        </w:rPr>
        <w:t xml:space="preserve">Regulatory basis: EU AI Act Article 14 (human oversight measures)</w:t>
      </w:r>
    </w:p>
    <w:p>
      <w:pPr>
        <w:spacing w:after="80" w:before="80"/>
      </w:pPr>
      <w:r>
        <w:t xml:space="preserve"/>
      </w:r>
    </w:p>
    <w:p>
      <w:pPr>
        <w:shd w:fill="0C447C" w:val="clear"/>
        <w:spacing w:after="80" w:before="240"/>
      </w:pPr>
      <w:r>
        <w:rPr>
          <w:rFonts w:ascii="Arial" w:cs="Arial" w:eastAsia="Arial" w:hAnsi="Arial"/>
          <w:b/>
          <w:bCs/>
          <w:color w:val="FFFFFF"/>
          <w:sz w:val="24"/>
          <w:szCs w:val="24"/>
        </w:rPr>
        <w:t xml:space="preserve">  Principle 4 — </w:t>
      </w:r>
      <w:r>
        <w:rPr>
          <w:rFonts w:ascii="Arial" w:cs="Arial" w:eastAsia="Arial" w:hAnsi="Arial"/>
          <w:b/>
          <w:bCs/>
          <w:color w:val="FFFFFF"/>
          <w:sz w:val="24"/>
          <w:szCs w:val="24"/>
        </w:rPr>
        <w:t xml:space="preserve">Accountability</w:t>
      </w:r>
    </w:p>
    <w:p>
      <w:pPr>
        <w:spacing w:after="80" w:before="80"/>
      </w:pPr>
      <w:r>
        <w:t xml:space="preserve"/>
      </w:r>
    </w:p>
    <w:p>
      <w:pPr>
        <w:spacing w:after="60" w:before="60"/>
        <w:ind w:left="200"/>
      </w:pPr>
      <w:r>
        <w:rPr>
          <w:rFonts w:ascii="Arial" w:cs="Arial" w:eastAsia="Arial" w:hAnsi="Arial"/>
          <w:color w:val="333333"/>
          <w:sz w:val="21"/>
          <w:szCs w:val="21"/>
        </w:rPr>
        <w:t xml:space="preserve">Every AI system at NorthStar has a named owner. That owner is accountable for its performance, its compliance, and its impact. Accountability for AI does not sit with technology alone — it sits with the business leaders who deploy it.</w:t>
      </w:r>
    </w:p>
    <w:p>
      <w:pPr>
        <w:spacing w:after="80" w:before="80"/>
      </w:pPr>
      <w:r>
        <w:t xml:space="preserve"/>
      </w:r>
    </w:p>
    <w:p>
      <w:pPr>
        <w:spacing w:after="60" w:before="60"/>
        <w:ind w:left="200"/>
      </w:pPr>
      <w:r>
        <w:rPr>
          <w:rFonts w:ascii="Arial" w:cs="Arial" w:eastAsia="Arial" w:hAnsi="Arial"/>
          <w:color w:val="333333"/>
          <w:sz w:val="21"/>
          <w:szCs w:val="21"/>
        </w:rPr>
        <w:t xml:space="preserve">What this means in practice:</w:t>
      </w:r>
    </w:p>
    <w:p>
      <w:pPr>
        <w:pStyle w:val="ListParagraph"/>
        <w:numPr>
          <w:ilvl w:val="0"/>
          <w:numId w:val="2"/>
        </w:numPr>
        <w:spacing w:after="40" w:before="40"/>
      </w:pPr>
      <w:r>
        <w:rPr>
          <w:rFonts w:ascii="Arial" w:cs="Arial" w:eastAsia="Arial" w:hAnsi="Arial"/>
          <w:color w:val="333333"/>
          <w:sz w:val="21"/>
          <w:szCs w:val="21"/>
        </w:rPr>
        <w:t xml:space="preserve">Every AI system is listed in NorthStar's AI System Inventory with a named, trained system owner</w:t>
      </w:r>
    </w:p>
    <w:p>
      <w:pPr>
        <w:pStyle w:val="ListParagraph"/>
        <w:numPr>
          <w:ilvl w:val="0"/>
          <w:numId w:val="2"/>
        </w:numPr>
        <w:spacing w:after="40" w:before="40"/>
      </w:pPr>
      <w:r>
        <w:rPr>
          <w:rFonts w:ascii="Arial" w:cs="Arial" w:eastAsia="Arial" w:hAnsi="Arial"/>
          <w:color w:val="333333"/>
          <w:sz w:val="21"/>
          <w:szCs w:val="21"/>
        </w:rPr>
        <w:t xml:space="preserve">System owners complete AI governance training within 60 days of appointment</w:t>
      </w:r>
    </w:p>
    <w:p>
      <w:pPr>
        <w:pStyle w:val="ListParagraph"/>
        <w:numPr>
          <w:ilvl w:val="0"/>
          <w:numId w:val="2"/>
        </w:numPr>
        <w:spacing w:after="40" w:before="40"/>
      </w:pPr>
      <w:r>
        <w:rPr>
          <w:rFonts w:ascii="Arial" w:cs="Arial" w:eastAsia="Arial" w:hAnsi="Arial"/>
          <w:color w:val="333333"/>
          <w:sz w:val="21"/>
          <w:szCs w:val="21"/>
        </w:rPr>
        <w:t xml:space="preserve">The AI Risk Committee — chaired by the Chief Risk Officer — oversees all High Risk systems</w:t>
      </w:r>
    </w:p>
    <w:p>
      <w:pPr>
        <w:pStyle w:val="ListParagraph"/>
        <w:numPr>
          <w:ilvl w:val="0"/>
          <w:numId w:val="2"/>
        </w:numPr>
        <w:spacing w:after="40" w:before="40"/>
      </w:pPr>
      <w:r>
        <w:rPr>
          <w:rFonts w:ascii="Arial" w:cs="Arial" w:eastAsia="Arial" w:hAnsi="Arial"/>
          <w:color w:val="333333"/>
          <w:sz w:val="21"/>
          <w:szCs w:val="21"/>
        </w:rPr>
        <w:t xml:space="preserve">The Board receives an AI Governance Report quarterly covering portfolio risk, compliance status, and incidents</w:t>
      </w:r>
    </w:p>
    <w:p>
      <w:pPr>
        <w:spacing w:after="80" w:before="80"/>
      </w:pPr>
      <w:r>
        <w:t xml:space="preserve"/>
      </w:r>
    </w:p>
    <w:p>
      <w:pPr>
        <w:spacing w:after="60" w:before="60"/>
        <w:ind w:left="200"/>
      </w:pPr>
      <w:r>
        <w:rPr>
          <w:rFonts w:ascii="Arial" w:cs="Arial" w:eastAsia="Arial" w:hAnsi="Arial"/>
          <w:color w:val="333333"/>
          <w:sz w:val="21"/>
          <w:szCs w:val="21"/>
        </w:rPr>
        <w:t xml:space="preserve">Regulatory basis: EU AI Act Article 9 (risk management system) | NIST AI RMF — GOVERN function</w:t>
      </w:r>
    </w:p>
    <w:p>
      <w:pPr>
        <w:spacing w:after="80" w:before="80"/>
      </w:pPr>
      <w:r>
        <w:t xml:space="preserve"/>
      </w:r>
    </w:p>
    <w:p>
      <w:pPr>
        <w:shd w:fill="042C53" w:val="clear"/>
        <w:spacing w:after="80" w:before="240"/>
      </w:pPr>
      <w:r>
        <w:rPr>
          <w:rFonts w:ascii="Arial" w:cs="Arial" w:eastAsia="Arial" w:hAnsi="Arial"/>
          <w:b/>
          <w:bCs/>
          <w:color w:val="FFFFFF"/>
          <w:sz w:val="24"/>
          <w:szCs w:val="24"/>
        </w:rPr>
        <w:t xml:space="preserve">  Principle 5 — </w:t>
      </w:r>
      <w:r>
        <w:rPr>
          <w:rFonts w:ascii="Arial" w:cs="Arial" w:eastAsia="Arial" w:hAnsi="Arial"/>
          <w:b/>
          <w:bCs/>
          <w:color w:val="FFFFFF"/>
          <w:sz w:val="24"/>
          <w:szCs w:val="24"/>
        </w:rPr>
        <w:t xml:space="preserve">Privacy</w:t>
      </w:r>
    </w:p>
    <w:p>
      <w:pPr>
        <w:spacing w:after="80" w:before="80"/>
      </w:pPr>
      <w:r>
        <w:t xml:space="preserve"/>
      </w:r>
    </w:p>
    <w:p>
      <w:pPr>
        <w:spacing w:after="60" w:before="60"/>
        <w:ind w:left="200"/>
      </w:pPr>
      <w:r>
        <w:rPr>
          <w:rFonts w:ascii="Arial" w:cs="Arial" w:eastAsia="Arial" w:hAnsi="Arial"/>
          <w:color w:val="333333"/>
          <w:sz w:val="21"/>
          <w:szCs w:val="21"/>
        </w:rPr>
        <w:t xml:space="preserve">Our AI systems handle personal data belonging to our customers, our employees, and our partners. We treat that data with the same care and respect we would want applied to our own. AI does not create an exception to privacy — it makes privacy more important.</w:t>
      </w:r>
    </w:p>
    <w:p>
      <w:pPr>
        <w:spacing w:after="80" w:before="80"/>
      </w:pPr>
      <w:r>
        <w:t xml:space="preserve"/>
      </w:r>
    </w:p>
    <w:p>
      <w:pPr>
        <w:spacing w:after="60" w:before="60"/>
        <w:ind w:left="200"/>
      </w:pPr>
      <w:r>
        <w:rPr>
          <w:rFonts w:ascii="Arial" w:cs="Arial" w:eastAsia="Arial" w:hAnsi="Arial"/>
          <w:color w:val="333333"/>
          <w:sz w:val="21"/>
          <w:szCs w:val="21"/>
        </w:rPr>
        <w:t xml:space="preserve">What this means in practice:</w:t>
      </w:r>
    </w:p>
    <w:p>
      <w:pPr>
        <w:pStyle w:val="ListParagraph"/>
        <w:numPr>
          <w:ilvl w:val="0"/>
          <w:numId w:val="2"/>
        </w:numPr>
        <w:spacing w:after="40" w:before="40"/>
      </w:pPr>
      <w:r>
        <w:rPr>
          <w:rFonts w:ascii="Arial" w:cs="Arial" w:eastAsia="Arial" w:hAnsi="Arial"/>
          <w:color w:val="333333"/>
          <w:sz w:val="21"/>
          <w:szCs w:val="21"/>
        </w:rPr>
        <w:t xml:space="preserve">AI systems process only the personal data necessary for their stated purpose — no more</w:t>
      </w:r>
    </w:p>
    <w:p>
      <w:pPr>
        <w:pStyle w:val="ListParagraph"/>
        <w:numPr>
          <w:ilvl w:val="0"/>
          <w:numId w:val="2"/>
        </w:numPr>
        <w:spacing w:after="40" w:before="40"/>
      </w:pPr>
      <w:r>
        <w:rPr>
          <w:rFonts w:ascii="Arial" w:cs="Arial" w:eastAsia="Arial" w:hAnsi="Arial"/>
          <w:color w:val="333333"/>
          <w:sz w:val="21"/>
          <w:szCs w:val="21"/>
        </w:rPr>
        <w:t xml:space="preserve">Customers provide informed consent before their data is used for AI-driven profiling or personalisation</w:t>
      </w:r>
    </w:p>
    <w:p>
      <w:pPr>
        <w:pStyle w:val="ListParagraph"/>
        <w:numPr>
          <w:ilvl w:val="0"/>
          <w:numId w:val="2"/>
        </w:numPr>
        <w:spacing w:after="40" w:before="40"/>
      </w:pPr>
      <w:r>
        <w:rPr>
          <w:rFonts w:ascii="Arial" w:cs="Arial" w:eastAsia="Arial" w:hAnsi="Arial"/>
          <w:color w:val="333333"/>
          <w:sz w:val="21"/>
          <w:szCs w:val="21"/>
        </w:rPr>
        <w:t xml:space="preserve">Customers can opt out of AI-driven profiling at any time</w:t>
      </w:r>
    </w:p>
    <w:p>
      <w:pPr>
        <w:pStyle w:val="ListParagraph"/>
        <w:numPr>
          <w:ilvl w:val="0"/>
          <w:numId w:val="2"/>
        </w:numPr>
        <w:spacing w:after="40" w:before="40"/>
      </w:pPr>
      <w:r>
        <w:rPr>
          <w:rFonts w:ascii="Arial" w:cs="Arial" w:eastAsia="Arial" w:hAnsi="Arial"/>
          <w:color w:val="333333"/>
          <w:sz w:val="21"/>
          <w:szCs w:val="21"/>
        </w:rPr>
        <w:t xml:space="preserve">Personal data used to train AI systems is documented, assessed for bias, and subject to data minimisation principles</w:t>
      </w:r>
    </w:p>
    <w:p>
      <w:pPr>
        <w:spacing w:after="80" w:before="80"/>
      </w:pPr>
      <w:r>
        <w:t xml:space="preserve"/>
      </w:r>
    </w:p>
    <w:p>
      <w:pPr>
        <w:spacing w:after="60" w:before="60"/>
        <w:ind w:left="200"/>
      </w:pPr>
      <w:r>
        <w:rPr>
          <w:rFonts w:ascii="Arial" w:cs="Arial" w:eastAsia="Arial" w:hAnsi="Arial"/>
          <w:color w:val="333333"/>
          <w:sz w:val="21"/>
          <w:szCs w:val="21"/>
        </w:rPr>
        <w:t xml:space="preserve">Regulatory basis: GDPR Articles 5, 6, 22 | EU AI Act Article 10 (training data governance)</w:t>
      </w:r>
    </w:p>
    <w:p>
      <w:pPr>
        <w:spacing w:after="80" w:before="80"/>
      </w:pPr>
      <w:r>
        <w:t xml:space="preserve"/>
      </w:r>
    </w:p>
    <w:p>
      <w:pPr>
        <w:shd w:fill="1F3864" w:val="clear"/>
        <w:spacing w:after="80" w:before="240"/>
      </w:pPr>
      <w:r>
        <w:rPr>
          <w:rFonts w:ascii="Arial" w:cs="Arial" w:eastAsia="Arial" w:hAnsi="Arial"/>
          <w:b/>
          <w:bCs/>
          <w:color w:val="FFFFFF"/>
          <w:sz w:val="24"/>
          <w:szCs w:val="24"/>
        </w:rPr>
        <w:t xml:space="preserve">  Principle 6 — </w:t>
      </w:r>
      <w:r>
        <w:rPr>
          <w:rFonts w:ascii="Arial" w:cs="Arial" w:eastAsia="Arial" w:hAnsi="Arial"/>
          <w:b/>
          <w:bCs/>
          <w:color w:val="FFFFFF"/>
          <w:sz w:val="24"/>
          <w:szCs w:val="24"/>
        </w:rPr>
        <w:t xml:space="preserve">Robustness</w:t>
      </w:r>
    </w:p>
    <w:p>
      <w:pPr>
        <w:spacing w:after="80" w:before="80"/>
      </w:pPr>
      <w:r>
        <w:t xml:space="preserve"/>
      </w:r>
    </w:p>
    <w:p>
      <w:pPr>
        <w:spacing w:after="60" w:before="60"/>
        <w:ind w:left="200"/>
      </w:pPr>
      <w:r>
        <w:rPr>
          <w:rFonts w:ascii="Arial" w:cs="Arial" w:eastAsia="Arial" w:hAnsi="Arial"/>
          <w:color w:val="333333"/>
          <w:sz w:val="21"/>
          <w:szCs w:val="21"/>
        </w:rPr>
        <w:t xml:space="preserve">We will not deploy AI systems that we cannot trust to perform reliably. AI systems that degrade silently, that fail under pressure, or that can be manipulated into producing harmful outputs have no place at NorthStar.</w:t>
      </w:r>
    </w:p>
    <w:p>
      <w:pPr>
        <w:spacing w:after="80" w:before="80"/>
      </w:pPr>
      <w:r>
        <w:t xml:space="preserve"/>
      </w:r>
    </w:p>
    <w:p>
      <w:pPr>
        <w:spacing w:after="60" w:before="60"/>
        <w:ind w:left="200"/>
      </w:pPr>
      <w:r>
        <w:rPr>
          <w:rFonts w:ascii="Arial" w:cs="Arial" w:eastAsia="Arial" w:hAnsi="Arial"/>
          <w:color w:val="333333"/>
          <w:sz w:val="21"/>
          <w:szCs w:val="21"/>
        </w:rPr>
        <w:t xml:space="preserve">What this means in practice:</w:t>
      </w:r>
    </w:p>
    <w:p>
      <w:pPr>
        <w:pStyle w:val="ListParagraph"/>
        <w:numPr>
          <w:ilvl w:val="0"/>
          <w:numId w:val="2"/>
        </w:numPr>
        <w:spacing w:after="40" w:before="40"/>
      </w:pPr>
      <w:r>
        <w:rPr>
          <w:rFonts w:ascii="Arial" w:cs="Arial" w:eastAsia="Arial" w:hAnsi="Arial"/>
          <w:color w:val="333333"/>
          <w:sz w:val="21"/>
          <w:szCs w:val="21"/>
        </w:rPr>
        <w:t xml:space="preserve">All High Risk AI systems have defined performance thresholds — accuracy, fairness, and reliability metrics</w:t>
      </w:r>
    </w:p>
    <w:p>
      <w:pPr>
        <w:pStyle w:val="ListParagraph"/>
        <w:numPr>
          <w:ilvl w:val="0"/>
          <w:numId w:val="2"/>
        </w:numPr>
        <w:spacing w:after="40" w:before="40"/>
      </w:pPr>
      <w:r>
        <w:rPr>
          <w:rFonts w:ascii="Arial" w:cs="Arial" w:eastAsia="Arial" w:hAnsi="Arial"/>
          <w:color w:val="333333"/>
          <w:sz w:val="21"/>
          <w:szCs w:val="21"/>
        </w:rPr>
        <w:t xml:space="preserve">Model drift is monitored continuously — degradation beyond defined thresholds triggers mandatory review</w:t>
      </w:r>
    </w:p>
    <w:p>
      <w:pPr>
        <w:pStyle w:val="ListParagraph"/>
        <w:numPr>
          <w:ilvl w:val="0"/>
          <w:numId w:val="2"/>
        </w:numPr>
        <w:spacing w:after="40" w:before="40"/>
      </w:pPr>
      <w:r>
        <w:rPr>
          <w:rFonts w:ascii="Arial" w:cs="Arial" w:eastAsia="Arial" w:hAnsi="Arial"/>
          <w:color w:val="333333"/>
          <w:sz w:val="21"/>
          <w:szCs w:val="21"/>
        </w:rPr>
        <w:t xml:space="preserve">AI systems are assessed for resilience against adversarial inputs and manipulation</w:t>
      </w:r>
    </w:p>
    <w:p>
      <w:pPr>
        <w:pStyle w:val="ListParagraph"/>
        <w:numPr>
          <w:ilvl w:val="0"/>
          <w:numId w:val="2"/>
        </w:numPr>
        <w:spacing w:after="40" w:before="40"/>
      </w:pPr>
      <w:r>
        <w:rPr>
          <w:rFonts w:ascii="Arial" w:cs="Arial" w:eastAsia="Arial" w:hAnsi="Arial"/>
          <w:color w:val="333333"/>
          <w:sz w:val="21"/>
          <w:szCs w:val="21"/>
        </w:rPr>
        <w:t xml:space="preserve">Vendor performance claims for High Risk systems are independently validated — NorthStar does not rely solely on vendor-reported metrics</w:t>
      </w:r>
    </w:p>
    <w:p>
      <w:pPr>
        <w:spacing w:after="80" w:before="80"/>
      </w:pPr>
      <w:r>
        <w:t xml:space="preserve"/>
      </w:r>
    </w:p>
    <w:p>
      <w:pPr>
        <w:spacing w:after="60" w:before="60"/>
        <w:ind w:left="200"/>
      </w:pPr>
      <w:r>
        <w:rPr>
          <w:rFonts w:ascii="Arial" w:cs="Arial" w:eastAsia="Arial" w:hAnsi="Arial"/>
          <w:color w:val="333333"/>
          <w:sz w:val="21"/>
          <w:szCs w:val="21"/>
        </w:rPr>
        <w:t xml:space="preserve">Regulatory basis: EU AI Act Article 15 (accuracy, robustness, cybersecurity)</w:t>
      </w:r>
    </w:p>
    <w:p>
      <w:pPr>
        <w:spacing w:after="80" w:before="80"/>
      </w:pPr>
      <w:r>
        <w:t xml:space="preserve"/>
      </w:r>
    </w:p>
    <w:p>
      <w:pPr>
        <w:spacing w:after="80" w:before="80"/>
      </w:pPr>
      <w:r>
        <w:t xml:space="preserve"/>
      </w:r>
    </w:p>
    <w:p>
      <w:pPr>
        <w:pBdr>
          <w:top w:val="single" w:color="2E5FA3" w:sz="4" w:space="8"/>
        </w:pBdr>
        <w:spacing w:after="120" w:before="240"/>
      </w:pPr>
      <w:r>
        <w:rPr>
          <w:rFonts w:ascii="Arial" w:cs="Arial" w:eastAsia="Arial" w:hAnsi="Arial"/>
          <w:b/>
          <w:bCs/>
          <w:color w:val="1F3864"/>
          <w:sz w:val="26"/>
          <w:szCs w:val="26"/>
        </w:rPr>
        <w:t xml:space="preserve">Governance and Review</w:t>
      </w:r>
    </w:p>
    <w:p>
      <w:pPr>
        <w:spacing w:after="80" w:before="80"/>
      </w:pPr>
      <w:r>
        <w:rPr>
          <w:rFonts w:ascii="Arial" w:cs="Arial" w:eastAsia="Arial" w:hAnsi="Arial"/>
          <w:sz w:val="22"/>
          <w:szCs w:val="22"/>
        </w:rPr>
        <w:t xml:space="preserve">These principles are given operational effect through NorthStar's Responsible AI Policy (NS-POL-AI-001), AI Governance Operating Model (NS-OM-AI-001), and AI System Inventory (NS-INV-001). Together these documents constitute NorthStar's AI Governance Framework.</w:t>
      </w:r>
    </w:p>
    <w:p>
      <w:pPr>
        <w:spacing w:after="80" w:before="80"/>
      </w:pPr>
      <w:r>
        <w:t xml:space="preserve"/>
      </w:r>
    </w:p>
    <w:p>
      <w:pPr>
        <w:spacing w:after="80" w:before="80"/>
      </w:pPr>
      <w:r>
        <w:rPr>
          <w:rFonts w:ascii="Arial" w:cs="Arial" w:eastAsia="Arial" w:hAnsi="Arial"/>
          <w:sz w:val="22"/>
          <w:szCs w:val="22"/>
        </w:rPr>
        <w:t xml:space="preserve">This Principles Statement is reviewed annually by the Chief Risk Officer and approved by the Board of Directors. It is updated upon material change to NorthStar's AI portfolio or applicable regulatory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Document Reference</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Approved By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NS-PRIN-AI-001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April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of Directors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after="0" w:before="120"/>
    </w:pPr>
    <w:r>
      <w:rPr>
        <w:rFonts w:ascii="Arial" w:cs="Arial" w:eastAsia="Arial" w:hAnsi="Arial"/>
        <w:color w:val="666666"/>
        <w:sz w:val="16"/>
        <w:szCs w:val="16"/>
      </w:rPr>
      <w:t xml:space="preserve">CONFIDENTIAL — Internal Use Only   |   NS-PRIN-AI-001   |   Version 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120" w:before="0"/>
    </w:pPr>
    <w:r>
      <w:rPr>
        <w:rFonts w:ascii="Arial" w:cs="Arial" w:eastAsia="Arial" w:hAnsi="Arial"/>
        <w:b/>
        <w:bCs/>
        <w:color w:val="1F3864"/>
        <w:sz w:val="18"/>
        <w:szCs w:val="18"/>
      </w:rPr>
      <w:t xml:space="preserve">NorthStar Financial Services</w:t>
    </w:r>
    <w:r>
      <w:rPr>
        <w:rFonts w:ascii="Arial" w:cs="Arial" w:eastAsia="Arial" w:hAnsi="Arial"/>
        <w:color w:val="666666"/>
        <w:sz w:val="18"/>
        <w:szCs w:val="18"/>
      </w:rPr>
      <w:t xml:space="preserve">   |   AI Principles Statement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2026-04-22T08:06:47.801Z</dcterms:created>
  <dcterms:modified xsi:type="dcterms:W3CDTF">2026-04-22T08:06:47.802Z</dcterms:modified>
</cp:coreProperties>
</file>

<file path=docProps/custom.xml><?xml version="1.0" encoding="utf-8"?>
<Properties xmlns="http://schemas.openxmlformats.org/officeDocument/2006/custom-properties" xmlns:vt="http://schemas.openxmlformats.org/officeDocument/2006/docPropsVTypes"/>
</file>