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48"/>
          <w:szCs w:val="48"/>
        </w:rPr>
        <w:t xml:space="preserve">NORTHSTAR FINANCIAL SERVICES</w:t>
      </w:r>
    </w:p>
    <w:p>
      <w:pPr>
        <w:pBdr>
          <w:bottom w:val="single" w:color="2E5FA3" w:sz="8" w:space="8"/>
        </w:pBdr>
        <w:spacing w:after="480" w:before="0"/>
        <w:jc w:val="center"/>
      </w:pPr>
      <w:r>
        <w:rPr>
          <w:rFonts w:ascii="Arial" w:cs="Arial" w:eastAsia="Arial" w:hAnsi="Arial"/>
          <w:b w:val="false"/>
          <w:bCs w:val="false"/>
          <w:color w:val="2E5FA3"/>
          <w:sz w:val="40"/>
          <w:szCs w:val="40"/>
        </w:rPr>
        <w:t xml:space="preserve">Responsible AI Policy</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NS-POL-AI-001</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Initial Release</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Confidential</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April 2026</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April 2027</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NorthStar Board of Directors</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Regulatory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 AI Act (Regulation 2024/1689) | NIST AI RMF 1.0 | GDPR</w:t>
            </w:r>
          </w:p>
        </w:tc>
      </w:tr>
    </w:tbl>
    <w:p>
      <w:pPr>
        <w:spacing w:after="60" w:before="60"/>
      </w:pPr>
      <w:r>
        <w:t xml:space="preserve"/>
      </w:r>
    </w:p>
    <w:p>
      <w:pPr>
        <w:spacing w:after="0" w:before="480"/>
        <w:jc w:val="center"/>
      </w:pPr>
      <w:r>
        <w:rPr>
          <w:rFonts w:ascii="Arial" w:cs="Arial" w:eastAsia="Arial" w:hAnsi="Arial"/>
          <w:b/>
          <w:bCs/>
          <w:color w:val="666666"/>
          <w:sz w:val="18"/>
          <w:szCs w:val="18"/>
        </w:rPr>
        <w:t xml:space="preserve">THIS DOCUMENT IS SUBJECT TO ANNUAL REVIEW</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 Executive Summary</w:t>
      </w:r>
    </w:p>
    <w:p>
      <w:pPr>
        <w:spacing w:after="60" w:before="60"/>
      </w:pPr>
      <w:r>
        <w:rPr>
          <w:rFonts w:ascii="Arial" w:cs="Arial" w:eastAsia="Arial" w:hAnsi="Arial"/>
          <w:sz w:val="22"/>
          <w:szCs w:val="22"/>
        </w:rPr>
        <w:t xml:space="preserve">NorthStar Financial Services operates seven AI systems across retail lending, payment operations, human resources, customer experience, marketing, insurance, and compliance. An AI governance review conducted in Q1 2026 identified material regulatory exposure: three systems carry High Risk classification under the EU AI Act, two of which are in production without completed conformity assessments.</w:t>
      </w:r>
    </w:p>
    <w:p>
      <w:pPr>
        <w:spacing w:after="60" w:before="60"/>
      </w:pPr>
      <w:r>
        <w:t xml:space="preserve"/>
      </w:r>
    </w:p>
    <w:p>
      <w:pPr>
        <w:spacing w:after="60" w:before="60"/>
      </w:pPr>
      <w:r>
        <w:rPr>
          <w:rFonts w:ascii="Arial" w:cs="Arial" w:eastAsia="Arial" w:hAnsi="Arial"/>
          <w:sz w:val="22"/>
          <w:szCs w:val="22"/>
        </w:rPr>
        <w:t xml:space="preserve">This Responsible AI Policy establishes the governance framework under which NorthStar deploys, monitors, and decommissions AI systems. It is mandatory for all business units, system owners, vendors, and employees who interact with AI systems on behalf of NorthStar.</w:t>
      </w:r>
    </w:p>
    <w:p>
      <w:pPr>
        <w:spacing w:after="60" w:before="60"/>
      </w:pPr>
      <w:r>
        <w:t xml:space="preserve"/>
      </w:r>
    </w:p>
    <w:p>
      <w:pPr>
        <w:spacing w:after="60" w:before="60"/>
      </w:pPr>
      <w:r>
        <w:rPr>
          <w:rFonts w:ascii="Arial" w:cs="Arial" w:eastAsia="Arial" w:hAnsi="Arial"/>
          <w:sz w:val="22"/>
          <w:szCs w:val="22"/>
        </w:rPr>
        <w:t xml:space="preserve">The policy is effective from 1 April 2026 and supersedes all prior guidance on AI use within the organisation.</w:t>
      </w:r>
    </w:p>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2. Scope</w:t>
      </w:r>
    </w:p>
    <w:p>
      <w:pPr>
        <w:pStyle w:val="Heading2"/>
        <w:spacing w:after="80" w:before="240"/>
      </w:pPr>
      <w:r>
        <w:rPr>
          <w:rFonts w:ascii="Arial" w:cs="Arial" w:eastAsia="Arial" w:hAnsi="Arial"/>
          <w:b/>
          <w:bCs/>
          <w:color w:val="2E5FA3"/>
          <w:sz w:val="24"/>
          <w:szCs w:val="24"/>
        </w:rPr>
        <w:t xml:space="preserve">2.1 Systems Covered</w:t>
      </w:r>
    </w:p>
    <w:p>
      <w:pPr>
        <w:spacing w:after="60" w:before="60"/>
      </w:pPr>
      <w:r>
        <w:rPr>
          <w:rFonts w:ascii="Arial" w:cs="Arial" w:eastAsia="Arial" w:hAnsi="Arial"/>
          <w:sz w:val="22"/>
          <w:szCs w:val="22"/>
        </w:rPr>
        <w:t xml:space="preserve">This policy applies to all AI systems operated by or on behalf of NorthStar Financial Services, including:</w:t>
      </w:r>
    </w:p>
    <w:p>
      <w:pPr>
        <w:pStyle w:val="ListParagraph"/>
        <w:numPr>
          <w:ilvl w:val="0"/>
          <w:numId w:val="2"/>
        </w:numPr>
        <w:spacing w:after="40" w:before="40"/>
      </w:pPr>
      <w:r>
        <w:rPr>
          <w:rFonts w:ascii="Arial" w:cs="Arial" w:eastAsia="Arial" w:hAnsi="Arial"/>
          <w:sz w:val="22"/>
          <w:szCs w:val="22"/>
        </w:rPr>
        <w:t xml:space="preserve">All seven systems documented in the NorthStar AI System Inventory (NS-INV-001)</w:t>
      </w:r>
    </w:p>
    <w:p>
      <w:pPr>
        <w:pStyle w:val="ListParagraph"/>
        <w:numPr>
          <w:ilvl w:val="0"/>
          <w:numId w:val="2"/>
        </w:numPr>
        <w:spacing w:after="40" w:before="40"/>
      </w:pPr>
      <w:r>
        <w:rPr>
          <w:rFonts w:ascii="Arial" w:cs="Arial" w:eastAsia="Arial" w:hAnsi="Arial"/>
          <w:sz w:val="22"/>
          <w:szCs w:val="22"/>
        </w:rPr>
        <w:t xml:space="preserve">Any AI system deployed after the effective date of this policy</w:t>
      </w:r>
    </w:p>
    <w:p>
      <w:pPr>
        <w:pStyle w:val="ListParagraph"/>
        <w:numPr>
          <w:ilvl w:val="0"/>
          <w:numId w:val="2"/>
        </w:numPr>
        <w:spacing w:after="40" w:before="40"/>
      </w:pPr>
      <w:r>
        <w:rPr>
          <w:rFonts w:ascii="Arial" w:cs="Arial" w:eastAsia="Arial" w:hAnsi="Arial"/>
          <w:sz w:val="22"/>
          <w:szCs w:val="22"/>
        </w:rPr>
        <w:t xml:space="preserve">AI systems operated by third-party vendors where NorthStar is the deployer</w:t>
      </w:r>
    </w:p>
    <w:p>
      <w:pPr>
        <w:pStyle w:val="ListParagraph"/>
        <w:numPr>
          <w:ilvl w:val="0"/>
          <w:numId w:val="2"/>
        </w:numPr>
        <w:spacing w:after="40" w:before="40"/>
      </w:pPr>
      <w:r>
        <w:rPr>
          <w:rFonts w:ascii="Arial" w:cs="Arial" w:eastAsia="Arial" w:hAnsi="Arial"/>
          <w:sz w:val="22"/>
          <w:szCs w:val="22"/>
        </w:rPr>
        <w:t xml:space="preserve">AI systems under development or in pilot phases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2.2 Persons Covered</w:t>
      </w:r>
    </w:p>
    <w:p>
      <w:pPr>
        <w:spacing w:after="60" w:before="60"/>
      </w:pPr>
      <w:r>
        <w:rPr>
          <w:rFonts w:ascii="Arial" w:cs="Arial" w:eastAsia="Arial" w:hAnsi="Arial"/>
          <w:sz w:val="22"/>
          <w:szCs w:val="22"/>
        </w:rPr>
        <w:t xml:space="preserve">This policy applies to:</w:t>
      </w:r>
    </w:p>
    <w:p>
      <w:pPr>
        <w:pStyle w:val="ListParagraph"/>
        <w:numPr>
          <w:ilvl w:val="0"/>
          <w:numId w:val="2"/>
        </w:numPr>
        <w:spacing w:after="40" w:before="40"/>
      </w:pPr>
      <w:r>
        <w:rPr>
          <w:rFonts w:ascii="Arial" w:cs="Arial" w:eastAsia="Arial" w:hAnsi="Arial"/>
          <w:sz w:val="22"/>
          <w:szCs w:val="22"/>
        </w:rPr>
        <w:t xml:space="preserve">All NorthStar employees who use, oversee, or make decisions informed by AI systems</w:t>
      </w:r>
    </w:p>
    <w:p>
      <w:pPr>
        <w:pStyle w:val="ListParagraph"/>
        <w:numPr>
          <w:ilvl w:val="0"/>
          <w:numId w:val="2"/>
        </w:numPr>
        <w:spacing w:after="40" w:before="40"/>
      </w:pPr>
      <w:r>
        <w:rPr>
          <w:rFonts w:ascii="Arial" w:cs="Arial" w:eastAsia="Arial" w:hAnsi="Arial"/>
          <w:sz w:val="22"/>
          <w:szCs w:val="22"/>
        </w:rPr>
        <w:t xml:space="preserve">System owners named in the AI System Inventory</w:t>
      </w:r>
    </w:p>
    <w:p>
      <w:pPr>
        <w:pStyle w:val="ListParagraph"/>
        <w:numPr>
          <w:ilvl w:val="0"/>
          <w:numId w:val="2"/>
        </w:numPr>
        <w:spacing w:after="40" w:before="40"/>
      </w:pPr>
      <w:r>
        <w:rPr>
          <w:rFonts w:ascii="Arial" w:cs="Arial" w:eastAsia="Arial" w:hAnsi="Arial"/>
          <w:sz w:val="22"/>
          <w:szCs w:val="22"/>
        </w:rPr>
        <w:t xml:space="preserve">Third-party vendors supplying or operating AI systems on behalf of NorthStar</w:t>
      </w:r>
    </w:p>
    <w:p>
      <w:pPr>
        <w:pStyle w:val="ListParagraph"/>
        <w:numPr>
          <w:ilvl w:val="0"/>
          <w:numId w:val="2"/>
        </w:numPr>
        <w:spacing w:after="40" w:before="40"/>
      </w:pPr>
      <w:r>
        <w:rPr>
          <w:rFonts w:ascii="Arial" w:cs="Arial" w:eastAsia="Arial" w:hAnsi="Arial"/>
          <w:sz w:val="22"/>
          <w:szCs w:val="22"/>
        </w:rPr>
        <w:t xml:space="preserve">Members of the AI Risk Committee and Board Risk Committee</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2.3 Geographic Scope</w:t>
      </w:r>
    </w:p>
    <w:p>
      <w:pPr>
        <w:spacing w:after="60" w:before="60"/>
      </w:pPr>
      <w:r>
        <w:rPr>
          <w:rFonts w:ascii="Arial" w:cs="Arial" w:eastAsia="Arial" w:hAnsi="Arial"/>
          <w:sz w:val="22"/>
          <w:szCs w:val="22"/>
        </w:rPr>
        <w:t xml:space="preserve">This policy applies to all NorthStar operations within the European Union, with primary application in Germany and the Netherlands where regulated AI systems are deployed. The policy reflects obligations under EU AI Act Regulation 2024/1689.</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3. Regulatory Basis</w:t>
      </w:r>
    </w:p>
    <w:p>
      <w:pPr>
        <w:spacing w:after="60" w:before="60"/>
      </w:pPr>
      <w:r>
        <w:rPr>
          <w:rFonts w:ascii="Arial" w:cs="Arial" w:eastAsia="Arial" w:hAnsi="Arial"/>
          <w:sz w:val="22"/>
          <w:szCs w:val="22"/>
        </w:rPr>
        <w:t xml:space="preserve">This policy gives effect to NorthStar's obligations under the following regulatory frameworks: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Framework</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Reference</w:t>
            </w:r>
          </w:p>
        </w:tc>
        <w:tc>
          <w:tcPr>
            <w:tcW w:type="dxa" w:w="4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Relevance to NorthStar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EU AI 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 2024/1689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Risk classification, conformity assessment, human oversight, transparency, registration obligations for High Risk AI systems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NIST AI RMF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AI RMF 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Govern, Map, Measure, Manage framework applied to all AI systems in NorthStar inventory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GDPR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 2016/679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Personal data processing by AI systems, automated decision-making rights, profiling consent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EBA Guidelines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EBA/GL/2021/04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Internal governance and model risk management applicable to credit and operational AI systems</w:t>
            </w:r>
          </w:p>
        </w:tc>
      </w:tr>
    </w:tbl>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4. AI Risk Classification</w:t>
      </w:r>
    </w:p>
    <w:p>
      <w:pPr>
        <w:pStyle w:val="Heading2"/>
        <w:spacing w:after="80" w:before="240"/>
      </w:pPr>
      <w:r>
        <w:rPr>
          <w:rFonts w:ascii="Arial" w:cs="Arial" w:eastAsia="Arial" w:hAnsi="Arial"/>
          <w:b/>
          <w:bCs/>
          <w:color w:val="2E5FA3"/>
          <w:sz w:val="24"/>
          <w:szCs w:val="24"/>
        </w:rPr>
        <w:t xml:space="preserve">4.1 Classification Framework</w:t>
      </w:r>
    </w:p>
    <w:p>
      <w:pPr>
        <w:spacing w:after="60" w:before="60"/>
      </w:pPr>
      <w:r>
        <w:rPr>
          <w:rFonts w:ascii="Arial" w:cs="Arial" w:eastAsia="Arial" w:hAnsi="Arial"/>
          <w:sz w:val="22"/>
          <w:szCs w:val="22"/>
        </w:rPr>
        <w:t xml:space="preserve">All AI systems operated by NorthStar must be classified under the EU AI Act risk tier framework before deployment. Classification determines the level of governance obligation attached to each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 Tier</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Regulatory Status</w:t>
            </w:r>
          </w:p>
        </w:tc>
        <w:tc>
          <w:tcPr>
            <w:tcW w:type="dxa" w:w="5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NorthStar Systems</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Unacceptable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Prohibited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None currently deployed. Any system meeting prohibited criteria must not be deployed and must be escalated to the CRO immediately.</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obligations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NS-AI-001 CreditScore Pro | NS-AI-003 TalentMatch AI | NS-AI-006 DocIntel Underwriting (provisional)</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Limited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Transparency only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NS-AI-002 FraudGuard 360 | NS-AI-004 SupportBot Aria</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Minimal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specific obligations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NS-AI-005 MarketSense Personaliser | NS-AI-007 RegulatoryRadar</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4.2 Classification Process</w:t>
      </w:r>
    </w:p>
    <w:p>
      <w:pPr>
        <w:spacing w:after="60" w:before="60"/>
      </w:pPr>
      <w:r>
        <w:rPr>
          <w:rFonts w:ascii="Arial" w:cs="Arial" w:eastAsia="Arial" w:hAnsi="Arial"/>
          <w:sz w:val="22"/>
          <w:szCs w:val="22"/>
        </w:rPr>
        <w:t xml:space="preserve">Every new AI system must be classified before deployment using the following process:</w:t>
      </w:r>
    </w:p>
    <w:p>
      <w:pPr>
        <w:pStyle w:val="ListParagraph"/>
        <w:numPr>
          <w:ilvl w:val="0"/>
          <w:numId w:val="2"/>
        </w:numPr>
        <w:spacing w:after="40" w:before="40"/>
      </w:pPr>
      <w:r>
        <w:rPr>
          <w:rFonts w:ascii="Arial" w:cs="Arial" w:eastAsia="Arial" w:hAnsi="Arial"/>
          <w:sz w:val="22"/>
          <w:szCs w:val="22"/>
        </w:rPr>
        <w:t xml:space="preserve">Step 1 — System owner submits AI System Registration Form to the AI Risk Committee</w:t>
      </w:r>
    </w:p>
    <w:p>
      <w:pPr>
        <w:pStyle w:val="ListParagraph"/>
        <w:numPr>
          <w:ilvl w:val="0"/>
          <w:numId w:val="2"/>
        </w:numPr>
        <w:spacing w:after="40" w:before="40"/>
      </w:pPr>
      <w:r>
        <w:rPr>
          <w:rFonts w:ascii="Arial" w:cs="Arial" w:eastAsia="Arial" w:hAnsi="Arial"/>
          <w:sz w:val="22"/>
          <w:szCs w:val="22"/>
        </w:rPr>
        <w:t xml:space="preserve">Step 2 — AI Risk Committee applies the EU AI Act three-question classification test</w:t>
      </w:r>
    </w:p>
    <w:p>
      <w:pPr>
        <w:pStyle w:val="ListParagraph"/>
        <w:numPr>
          <w:ilvl w:val="0"/>
          <w:numId w:val="2"/>
        </w:numPr>
        <w:spacing w:after="40" w:before="40"/>
      </w:pPr>
      <w:r>
        <w:rPr>
          <w:rFonts w:ascii="Arial" w:cs="Arial" w:eastAsia="Arial" w:hAnsi="Arial"/>
          <w:sz w:val="22"/>
          <w:szCs w:val="22"/>
        </w:rPr>
        <w:t xml:space="preserve">Step 3 — Classification is documented in the AI System Inventory within 10 business days</w:t>
      </w:r>
    </w:p>
    <w:p>
      <w:pPr>
        <w:pStyle w:val="ListParagraph"/>
        <w:numPr>
          <w:ilvl w:val="0"/>
          <w:numId w:val="2"/>
        </w:numPr>
        <w:spacing w:after="40" w:before="40"/>
      </w:pPr>
      <w:r>
        <w:rPr>
          <w:rFonts w:ascii="Arial" w:cs="Arial" w:eastAsia="Arial" w:hAnsi="Arial"/>
          <w:sz w:val="22"/>
          <w:szCs w:val="22"/>
        </w:rPr>
        <w:t xml:space="preserve">Step 4 — If classified as High Risk, conformity assessment process is initiated before go-live</w:t>
      </w:r>
    </w:p>
    <w:p>
      <w:pPr>
        <w:pStyle w:val="ListParagraph"/>
        <w:numPr>
          <w:ilvl w:val="0"/>
          <w:numId w:val="2"/>
        </w:numPr>
        <w:spacing w:after="40" w:before="40"/>
      </w:pPr>
      <w:r>
        <w:rPr>
          <w:rFonts w:ascii="Arial" w:cs="Arial" w:eastAsia="Arial" w:hAnsi="Arial"/>
          <w:sz w:val="22"/>
          <w:szCs w:val="22"/>
        </w:rPr>
        <w:t xml:space="preserve">Step 5 — Classification is reviewed annually or upon material change to system purpose or design</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5. NorthStar AI Principles</w:t>
      </w:r>
    </w:p>
    <w:p>
      <w:pPr>
        <w:spacing w:after="60" w:before="60"/>
      </w:pPr>
      <w:r>
        <w:rPr>
          <w:rFonts w:ascii="Arial" w:cs="Arial" w:eastAsia="Arial" w:hAnsi="Arial"/>
          <w:sz w:val="22"/>
          <w:szCs w:val="22"/>
        </w:rPr>
        <w:t xml:space="preserve">NorthStar's use of AI is guided by six principles. These principles are not aspirational — they are operational requirements that translate directly into specific governance controls.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Principle 1 — Fairness</w:t>
      </w:r>
    </w:p>
    <w:p>
      <w:pPr>
        <w:spacing w:after="60" w:before="60"/>
      </w:pPr>
      <w:r>
        <w:rPr>
          <w:rFonts w:ascii="Arial" w:cs="Arial" w:eastAsia="Arial" w:hAnsi="Arial"/>
          <w:sz w:val="22"/>
          <w:szCs w:val="22"/>
        </w:rPr>
        <w:t xml:space="preserve">NorthStar AI systems must not produce outcomes that discriminate against individuals on the basis of protected characteristics including gender, ethnicity, age, disability, religion, or national origin.</w:t>
      </w:r>
    </w:p>
    <w:p>
      <w:pPr>
        <w:pStyle w:val="ListParagraph"/>
        <w:numPr>
          <w:ilvl w:val="0"/>
          <w:numId w:val="2"/>
        </w:numPr>
        <w:spacing w:after="40" w:before="40"/>
      </w:pPr>
      <w:r>
        <w:rPr>
          <w:rFonts w:ascii="Arial" w:cs="Arial" w:eastAsia="Arial" w:hAnsi="Arial"/>
          <w:sz w:val="22"/>
          <w:szCs w:val="22"/>
        </w:rPr>
        <w:t xml:space="preserve">All High Risk AI systems must undergo bias audit before deployment and annually thereafter</w:t>
      </w:r>
    </w:p>
    <w:p>
      <w:pPr>
        <w:pStyle w:val="ListParagraph"/>
        <w:numPr>
          <w:ilvl w:val="0"/>
          <w:numId w:val="2"/>
        </w:numPr>
        <w:spacing w:after="40" w:before="40"/>
      </w:pPr>
      <w:r>
        <w:rPr>
          <w:rFonts w:ascii="Arial" w:cs="Arial" w:eastAsia="Arial" w:hAnsi="Arial"/>
          <w:sz w:val="22"/>
          <w:szCs w:val="22"/>
        </w:rPr>
        <w:t xml:space="preserve">Bias audits must assess outcomes by demographic group using statistically valid methodologies</w:t>
      </w:r>
    </w:p>
    <w:p>
      <w:pPr>
        <w:pStyle w:val="ListParagraph"/>
        <w:numPr>
          <w:ilvl w:val="0"/>
          <w:numId w:val="2"/>
        </w:numPr>
        <w:spacing w:after="40" w:before="40"/>
      </w:pPr>
      <w:r>
        <w:rPr>
          <w:rFonts w:ascii="Arial" w:cs="Arial" w:eastAsia="Arial" w:hAnsi="Arial"/>
          <w:sz w:val="22"/>
          <w:szCs w:val="22"/>
        </w:rPr>
        <w:t xml:space="preserve">Proxy variables that encode protected characteristics must be identified and either removed or risk-mitigated</w:t>
      </w:r>
    </w:p>
    <w:p>
      <w:pPr>
        <w:pStyle w:val="ListParagraph"/>
        <w:numPr>
          <w:ilvl w:val="0"/>
          <w:numId w:val="2"/>
        </w:numPr>
        <w:spacing w:after="40" w:before="40"/>
      </w:pPr>
      <w:r>
        <w:rPr>
          <w:rFonts w:ascii="Arial" w:cs="Arial" w:eastAsia="Arial" w:hAnsi="Arial"/>
          <w:sz w:val="22"/>
          <w:szCs w:val="22"/>
        </w:rPr>
        <w:t xml:space="preserve">CreditScore Pro and TalentMatch AI are subject to immediate bias audit remediation as a priority action</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Principle 2 — Transparency</w:t>
      </w:r>
    </w:p>
    <w:p>
      <w:pPr>
        <w:spacing w:after="60" w:before="60"/>
      </w:pPr>
      <w:r>
        <w:rPr>
          <w:rFonts w:ascii="Arial" w:cs="Arial" w:eastAsia="Arial" w:hAnsi="Arial"/>
          <w:sz w:val="22"/>
          <w:szCs w:val="22"/>
        </w:rPr>
        <w:t xml:space="preserve">NorthStar AI systems must be explainable to those who are affected by their decisions and to those who oversee them.</w:t>
      </w:r>
    </w:p>
    <w:p>
      <w:pPr>
        <w:pStyle w:val="ListParagraph"/>
        <w:numPr>
          <w:ilvl w:val="0"/>
          <w:numId w:val="2"/>
        </w:numPr>
        <w:spacing w:after="40" w:before="40"/>
      </w:pPr>
      <w:r>
        <w:rPr>
          <w:rFonts w:ascii="Arial" w:cs="Arial" w:eastAsia="Arial" w:hAnsi="Arial"/>
          <w:sz w:val="22"/>
          <w:szCs w:val="22"/>
        </w:rPr>
        <w:t xml:space="preserve">High Risk AI systems must implement explainability tooling to the standard required by EU AI Act Article 13</w:t>
      </w:r>
    </w:p>
    <w:p>
      <w:pPr>
        <w:pStyle w:val="ListParagraph"/>
        <w:numPr>
          <w:ilvl w:val="0"/>
          <w:numId w:val="2"/>
        </w:numPr>
        <w:spacing w:after="40" w:before="40"/>
      </w:pPr>
      <w:r>
        <w:rPr>
          <w:rFonts w:ascii="Arial" w:cs="Arial" w:eastAsia="Arial" w:hAnsi="Arial"/>
          <w:sz w:val="22"/>
          <w:szCs w:val="22"/>
        </w:rPr>
        <w:t xml:space="preserve">Customers affected by AI decisions must be able to request an explanation of the factors that influenced the outcome</w:t>
      </w:r>
    </w:p>
    <w:p>
      <w:pPr>
        <w:pStyle w:val="ListParagraph"/>
        <w:numPr>
          <w:ilvl w:val="0"/>
          <w:numId w:val="2"/>
        </w:numPr>
        <w:spacing w:after="40" w:before="40"/>
      </w:pPr>
      <w:r>
        <w:rPr>
          <w:rFonts w:ascii="Arial" w:cs="Arial" w:eastAsia="Arial" w:hAnsi="Arial"/>
          <w:sz w:val="22"/>
          <w:szCs w:val="22"/>
        </w:rPr>
        <w:t xml:space="preserve">AI systems that interact directly with customers must disclose their AI nature under Article 52(1) — across all channels including web and mobile</w:t>
      </w:r>
    </w:p>
    <w:p>
      <w:pPr>
        <w:pStyle w:val="ListParagraph"/>
        <w:numPr>
          <w:ilvl w:val="0"/>
          <w:numId w:val="2"/>
        </w:numPr>
        <w:spacing w:after="40" w:before="40"/>
      </w:pPr>
      <w:r>
        <w:rPr>
          <w:rFonts w:ascii="Arial" w:cs="Arial" w:eastAsia="Arial" w:hAnsi="Arial"/>
          <w:sz w:val="22"/>
          <w:szCs w:val="22"/>
        </w:rPr>
        <w:t xml:space="preserve">Technical documentation must describe the system's logic, training data, known limitations, and performance metrics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Principle 3 — Human Oversight</w:t>
      </w:r>
    </w:p>
    <w:p>
      <w:pPr>
        <w:spacing w:after="60" w:before="60"/>
      </w:pPr>
      <w:r>
        <w:rPr>
          <w:rFonts w:ascii="Arial" w:cs="Arial" w:eastAsia="Arial" w:hAnsi="Arial"/>
          <w:sz w:val="22"/>
          <w:szCs w:val="22"/>
        </w:rPr>
        <w:t xml:space="preserve">NorthStar AI systems that make or influence consequential decisions must operate under meaningful human oversight.</w:t>
      </w:r>
    </w:p>
    <w:p>
      <w:pPr>
        <w:pStyle w:val="ListParagraph"/>
        <w:numPr>
          <w:ilvl w:val="0"/>
          <w:numId w:val="2"/>
        </w:numPr>
        <w:spacing w:after="40" w:before="40"/>
      </w:pPr>
      <w:r>
        <w:rPr>
          <w:rFonts w:ascii="Arial" w:cs="Arial" w:eastAsia="Arial" w:hAnsi="Arial"/>
          <w:sz w:val="22"/>
          <w:szCs w:val="22"/>
        </w:rPr>
        <w:t xml:space="preserve">Human oversight must be genuine — not a rubber-stamp. Reviewers must have the authority and training to override AI recommendations</w:t>
      </w:r>
    </w:p>
    <w:p>
      <w:pPr>
        <w:pStyle w:val="ListParagraph"/>
        <w:numPr>
          <w:ilvl w:val="0"/>
          <w:numId w:val="2"/>
        </w:numPr>
        <w:spacing w:after="40" w:before="40"/>
      </w:pPr>
      <w:r>
        <w:rPr>
          <w:rFonts w:ascii="Arial" w:cs="Arial" w:eastAsia="Arial" w:hAnsi="Arial"/>
          <w:sz w:val="22"/>
          <w:szCs w:val="22"/>
        </w:rPr>
        <w:t xml:space="preserve">Override rates must be monitored. Rates consistently near zero indicate automation bias and will trigger a governance review</w:t>
      </w:r>
    </w:p>
    <w:p>
      <w:pPr>
        <w:pStyle w:val="ListParagraph"/>
        <w:numPr>
          <w:ilvl w:val="0"/>
          <w:numId w:val="2"/>
        </w:numPr>
        <w:spacing w:after="40" w:before="40"/>
      </w:pPr>
      <w:r>
        <w:rPr>
          <w:rFonts w:ascii="Arial" w:cs="Arial" w:eastAsia="Arial" w:hAnsi="Arial"/>
          <w:sz w:val="22"/>
          <w:szCs w:val="22"/>
        </w:rPr>
        <w:t xml:space="preserve">High Risk AI systems must implement the human oversight requirements of EU AI Act Article 14</w:t>
      </w:r>
    </w:p>
    <w:p>
      <w:pPr>
        <w:pStyle w:val="ListParagraph"/>
        <w:numPr>
          <w:ilvl w:val="0"/>
          <w:numId w:val="2"/>
        </w:numPr>
        <w:spacing w:after="40" w:before="40"/>
      </w:pPr>
      <w:r>
        <w:rPr>
          <w:rFonts w:ascii="Arial" w:cs="Arial" w:eastAsia="Arial" w:hAnsi="Arial"/>
          <w:sz w:val="22"/>
          <w:szCs w:val="22"/>
        </w:rPr>
        <w:t xml:space="preserve">All staff who act as human reviewers of AI outputs must receive documented AI governance training</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Principle 4 — Accountability</w:t>
      </w:r>
    </w:p>
    <w:p>
      <w:pPr>
        <w:spacing w:after="60" w:before="60"/>
      </w:pPr>
      <w:r>
        <w:rPr>
          <w:rFonts w:ascii="Arial" w:cs="Arial" w:eastAsia="Arial" w:hAnsi="Arial"/>
          <w:sz w:val="22"/>
          <w:szCs w:val="22"/>
        </w:rPr>
        <w:t xml:space="preserve">Every AI system operated by NorthStar must have a named, trained, and empowered owner who is accountable for its governance.</w:t>
      </w:r>
    </w:p>
    <w:p>
      <w:pPr>
        <w:pStyle w:val="ListParagraph"/>
        <w:numPr>
          <w:ilvl w:val="0"/>
          <w:numId w:val="2"/>
        </w:numPr>
        <w:spacing w:after="40" w:before="40"/>
      </w:pPr>
      <w:r>
        <w:rPr>
          <w:rFonts w:ascii="Arial" w:cs="Arial" w:eastAsia="Arial" w:hAnsi="Arial"/>
          <w:sz w:val="22"/>
          <w:szCs w:val="22"/>
        </w:rPr>
        <w:t xml:space="preserve">System owners are listed in the AI System Inventory and are responsible for compliance with this policy</w:t>
      </w:r>
    </w:p>
    <w:p>
      <w:pPr>
        <w:pStyle w:val="ListParagraph"/>
        <w:numPr>
          <w:ilvl w:val="0"/>
          <w:numId w:val="2"/>
        </w:numPr>
        <w:spacing w:after="40" w:before="40"/>
      </w:pPr>
      <w:r>
        <w:rPr>
          <w:rFonts w:ascii="Arial" w:cs="Arial" w:eastAsia="Arial" w:hAnsi="Arial"/>
          <w:sz w:val="22"/>
          <w:szCs w:val="22"/>
        </w:rPr>
        <w:t xml:space="preserve">System owners must receive AI governance training within 60 days of appointment</w:t>
      </w:r>
    </w:p>
    <w:p>
      <w:pPr>
        <w:pStyle w:val="ListParagraph"/>
        <w:numPr>
          <w:ilvl w:val="0"/>
          <w:numId w:val="2"/>
        </w:numPr>
        <w:spacing w:after="40" w:before="40"/>
      </w:pPr>
      <w:r>
        <w:rPr>
          <w:rFonts w:ascii="Arial" w:cs="Arial" w:eastAsia="Arial" w:hAnsi="Arial"/>
          <w:sz w:val="22"/>
          <w:szCs w:val="22"/>
        </w:rPr>
        <w:t xml:space="preserve">The AI Risk Committee has oversight of all High Risk systems and reports to the Board Risk Committee quarterly</w:t>
      </w:r>
    </w:p>
    <w:p>
      <w:pPr>
        <w:pStyle w:val="ListParagraph"/>
        <w:numPr>
          <w:ilvl w:val="0"/>
          <w:numId w:val="2"/>
        </w:numPr>
        <w:spacing w:after="40" w:before="40"/>
      </w:pPr>
      <w:r>
        <w:rPr>
          <w:rFonts w:ascii="Arial" w:cs="Arial" w:eastAsia="Arial" w:hAnsi="Arial"/>
          <w:sz w:val="22"/>
          <w:szCs w:val="22"/>
        </w:rPr>
        <w:t xml:space="preserve">The Board receives an annual AI Governance Report covering portfolio risk, compliance status, and material incidents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Principle 5 — Privacy</w:t>
      </w:r>
    </w:p>
    <w:p>
      <w:pPr>
        <w:spacing w:after="60" w:before="60"/>
      </w:pPr>
      <w:r>
        <w:rPr>
          <w:rFonts w:ascii="Arial" w:cs="Arial" w:eastAsia="Arial" w:hAnsi="Arial"/>
          <w:sz w:val="22"/>
          <w:szCs w:val="22"/>
        </w:rPr>
        <w:t xml:space="preserve">NorthStar AI systems must handle personal data in accordance with GDPR and NorthStar's Data Protection Policy.</w:t>
      </w:r>
    </w:p>
    <w:p>
      <w:pPr>
        <w:pStyle w:val="ListParagraph"/>
        <w:numPr>
          <w:ilvl w:val="0"/>
          <w:numId w:val="2"/>
        </w:numPr>
        <w:spacing w:after="40" w:before="40"/>
      </w:pPr>
      <w:r>
        <w:rPr>
          <w:rFonts w:ascii="Arial" w:cs="Arial" w:eastAsia="Arial" w:hAnsi="Arial"/>
          <w:sz w:val="22"/>
          <w:szCs w:val="22"/>
        </w:rPr>
        <w:t xml:space="preserve">AI systems must process only the personal data necessary for their stated purpose</w:t>
      </w:r>
    </w:p>
    <w:p>
      <w:pPr>
        <w:pStyle w:val="ListParagraph"/>
        <w:numPr>
          <w:ilvl w:val="0"/>
          <w:numId w:val="2"/>
        </w:numPr>
        <w:spacing w:after="40" w:before="40"/>
      </w:pPr>
      <w:r>
        <w:rPr>
          <w:rFonts w:ascii="Arial" w:cs="Arial" w:eastAsia="Arial" w:hAnsi="Arial"/>
          <w:sz w:val="22"/>
          <w:szCs w:val="22"/>
        </w:rPr>
        <w:t xml:space="preserve">Consent for profiling by AI systems must be obtained in accordance with GDPR Article 6</w:t>
      </w:r>
    </w:p>
    <w:p>
      <w:pPr>
        <w:pStyle w:val="ListParagraph"/>
        <w:numPr>
          <w:ilvl w:val="0"/>
          <w:numId w:val="2"/>
        </w:numPr>
        <w:spacing w:after="40" w:before="40"/>
      </w:pPr>
      <w:r>
        <w:rPr>
          <w:rFonts w:ascii="Arial" w:cs="Arial" w:eastAsia="Arial" w:hAnsi="Arial"/>
          <w:sz w:val="22"/>
          <w:szCs w:val="22"/>
        </w:rPr>
        <w:t xml:space="preserve">Customers have the right to object to automated decisions with significant effects under GDPR Article 22</w:t>
      </w:r>
    </w:p>
    <w:p>
      <w:pPr>
        <w:pStyle w:val="ListParagraph"/>
        <w:numPr>
          <w:ilvl w:val="0"/>
          <w:numId w:val="2"/>
        </w:numPr>
        <w:spacing w:after="40" w:before="40"/>
      </w:pPr>
      <w:r>
        <w:rPr>
          <w:rFonts w:ascii="Arial" w:cs="Arial" w:eastAsia="Arial" w:hAnsi="Arial"/>
          <w:sz w:val="22"/>
          <w:szCs w:val="22"/>
        </w:rPr>
        <w:t xml:space="preserve">Personal data used for AI training must be documented, assessed for bias, and handled in accordance with data minimisation principles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Principle 6 — Robustness</w:t>
      </w:r>
    </w:p>
    <w:p>
      <w:pPr>
        <w:spacing w:after="60" w:before="60"/>
      </w:pPr>
      <w:r>
        <w:rPr>
          <w:rFonts w:ascii="Arial" w:cs="Arial" w:eastAsia="Arial" w:hAnsi="Arial"/>
          <w:sz w:val="22"/>
          <w:szCs w:val="22"/>
        </w:rPr>
        <w:t xml:space="preserve">NorthStar AI systems must perform accurately and reliably across the range of conditions in which they operate.</w:t>
      </w:r>
    </w:p>
    <w:p>
      <w:pPr>
        <w:pStyle w:val="ListParagraph"/>
        <w:numPr>
          <w:ilvl w:val="0"/>
          <w:numId w:val="2"/>
        </w:numPr>
        <w:spacing w:after="40" w:before="40"/>
      </w:pPr>
      <w:r>
        <w:rPr>
          <w:rFonts w:ascii="Arial" w:cs="Arial" w:eastAsia="Arial" w:hAnsi="Arial"/>
          <w:sz w:val="22"/>
          <w:szCs w:val="22"/>
        </w:rPr>
        <w:t xml:space="preserve">High Risk AI systems must have defined performance thresholds — accuracy, precision, recall, and fairness metrics</w:t>
      </w:r>
    </w:p>
    <w:p>
      <w:pPr>
        <w:pStyle w:val="ListParagraph"/>
        <w:numPr>
          <w:ilvl w:val="0"/>
          <w:numId w:val="2"/>
        </w:numPr>
        <w:spacing w:after="40" w:before="40"/>
      </w:pPr>
      <w:r>
        <w:rPr>
          <w:rFonts w:ascii="Arial" w:cs="Arial" w:eastAsia="Arial" w:hAnsi="Arial"/>
          <w:sz w:val="22"/>
          <w:szCs w:val="22"/>
        </w:rPr>
        <w:t xml:space="preserve">Model drift must be monitored continuously. Degradation beyond defined thresholds triggers mandatory review and potential suspension</w:t>
      </w:r>
    </w:p>
    <w:p>
      <w:pPr>
        <w:pStyle w:val="ListParagraph"/>
        <w:numPr>
          <w:ilvl w:val="0"/>
          <w:numId w:val="2"/>
        </w:numPr>
        <w:spacing w:after="40" w:before="40"/>
      </w:pPr>
      <w:r>
        <w:rPr>
          <w:rFonts w:ascii="Arial" w:cs="Arial" w:eastAsia="Arial" w:hAnsi="Arial"/>
          <w:sz w:val="22"/>
          <w:szCs w:val="22"/>
        </w:rPr>
        <w:t xml:space="preserve">AI systems must be resilient to adversarial inputs and manipulation attempts</w:t>
      </w:r>
    </w:p>
    <w:p>
      <w:pPr>
        <w:pStyle w:val="ListParagraph"/>
        <w:numPr>
          <w:ilvl w:val="0"/>
          <w:numId w:val="2"/>
        </w:numPr>
        <w:spacing w:after="40" w:before="40"/>
      </w:pPr>
      <w:r>
        <w:rPr>
          <w:rFonts w:ascii="Arial" w:cs="Arial" w:eastAsia="Arial" w:hAnsi="Arial"/>
          <w:sz w:val="22"/>
          <w:szCs w:val="22"/>
        </w:rPr>
        <w:t xml:space="preserve">Vendor-supplied AI systems must provide performance evidence. NorthStar will not rely solely on vendor-reported metrics for High Risk systems</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6. Governance Obligations by Risk Tier</w:t>
      </w:r>
    </w:p>
    <w:p>
      <w:pPr>
        <w:pStyle w:val="Heading2"/>
        <w:spacing w:after="80" w:before="240"/>
      </w:pPr>
      <w:r>
        <w:rPr>
          <w:rFonts w:ascii="Arial" w:cs="Arial" w:eastAsia="Arial" w:hAnsi="Arial"/>
          <w:b/>
          <w:bCs/>
          <w:color w:val="2E5FA3"/>
          <w:sz w:val="24"/>
          <w:szCs w:val="24"/>
        </w:rPr>
        <w:t xml:space="preserve">6.1 High Risk AI Systems</w:t>
      </w:r>
    </w:p>
    <w:p>
      <w:pPr>
        <w:spacing w:after="60" w:before="60"/>
      </w:pPr>
      <w:r>
        <w:rPr>
          <w:rFonts w:ascii="Arial" w:cs="Arial" w:eastAsia="Arial" w:hAnsi="Arial"/>
          <w:sz w:val="22"/>
          <w:szCs w:val="22"/>
        </w:rPr>
        <w:t xml:space="preserve">The following obligations apply to NS-AI-001 CreditScore Pro, NS-AI-003 TalentMatch AI, and NS-AI-006 DocIntel Underwriting. These obligations are mandatory and non-negotiable under EU AI Act Regulation 2024/1689.</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Obligation</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EU AI Act Reference</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NorthStar 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Management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Documented risk management process for each High Risk system, reviewed annually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Training data documented, assessed for bias, and managed under data quality standards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11 + Annex IV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Full technical file maintained and updated at each system version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Logging and Traceability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Automated logs of all AI decisions retained for minimum 3 years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Transparency to Deployers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Explainability tooling implemented and documented to regulatory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Oversight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Named human reviewers with documented authority to override AI decisions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Accuracy and Robustness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Defined performance thresholds with continuous monitoring and drift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Conformity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43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Completed before initial deployment and upon material system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EU Database Registration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71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All High Risk systems registered in EU AI database before production deployment</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6.2 Limited Risk AI Systems</w:t>
      </w:r>
    </w:p>
    <w:p>
      <w:pPr>
        <w:spacing w:after="60" w:before="60"/>
      </w:pPr>
      <w:r>
        <w:rPr>
          <w:rFonts w:ascii="Arial" w:cs="Arial" w:eastAsia="Arial" w:hAnsi="Arial"/>
          <w:sz w:val="22"/>
          <w:szCs w:val="22"/>
        </w:rPr>
        <w:t xml:space="preserve">The following obligations apply to NS-AI-002 FraudGuard 360 and NS-AI-004 SupportBot Aria.</w:t>
      </w:r>
    </w:p>
    <w:p>
      <w:pPr>
        <w:pStyle w:val="ListParagraph"/>
        <w:numPr>
          <w:ilvl w:val="0"/>
          <w:numId w:val="2"/>
        </w:numPr>
        <w:spacing w:after="40" w:before="40"/>
      </w:pPr>
      <w:r>
        <w:rPr>
          <w:rFonts w:ascii="Arial" w:cs="Arial" w:eastAsia="Arial" w:hAnsi="Arial"/>
          <w:sz w:val="22"/>
          <w:szCs w:val="22"/>
        </w:rPr>
        <w:t xml:space="preserve">AI disclosure must be provided to all users under EU AI Act Article 52(1) — across all channels</w:t>
      </w:r>
    </w:p>
    <w:p>
      <w:pPr>
        <w:pStyle w:val="ListParagraph"/>
        <w:numPr>
          <w:ilvl w:val="0"/>
          <w:numId w:val="2"/>
        </w:numPr>
        <w:spacing w:after="40" w:before="40"/>
      </w:pPr>
      <w:r>
        <w:rPr>
          <w:rFonts w:ascii="Arial" w:cs="Arial" w:eastAsia="Arial" w:hAnsi="Arial"/>
          <w:sz w:val="22"/>
          <w:szCs w:val="22"/>
        </w:rPr>
        <w:t xml:space="preserve">SupportBot Aria mobile channel disclosure must be implemented within 30 days of this policy's effective date</w:t>
      </w:r>
    </w:p>
    <w:p>
      <w:pPr>
        <w:pStyle w:val="ListParagraph"/>
        <w:numPr>
          <w:ilvl w:val="0"/>
          <w:numId w:val="2"/>
        </w:numPr>
        <w:spacing w:after="40" w:before="40"/>
      </w:pPr>
      <w:r>
        <w:rPr>
          <w:rFonts w:ascii="Arial" w:cs="Arial" w:eastAsia="Arial" w:hAnsi="Arial"/>
          <w:sz w:val="22"/>
          <w:szCs w:val="22"/>
        </w:rPr>
        <w:t xml:space="preserve">Vendor contracts must be updated to include EU AI Act compliance representations at next renewal</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6.3 Minimal Risk AI Systems</w:t>
      </w:r>
    </w:p>
    <w:p>
      <w:pPr>
        <w:spacing w:after="60" w:before="60"/>
      </w:pPr>
      <w:r>
        <w:rPr>
          <w:rFonts w:ascii="Arial" w:cs="Arial" w:eastAsia="Arial" w:hAnsi="Arial"/>
          <w:sz w:val="22"/>
          <w:szCs w:val="22"/>
        </w:rPr>
        <w:t xml:space="preserve">The following applies to NS-AI-005 MarketSense Personaliser and NS-AI-007 RegulatoryRadar.</w:t>
      </w:r>
    </w:p>
    <w:p>
      <w:pPr>
        <w:pStyle w:val="ListParagraph"/>
        <w:numPr>
          <w:ilvl w:val="0"/>
          <w:numId w:val="2"/>
        </w:numPr>
        <w:spacing w:after="40" w:before="40"/>
      </w:pPr>
      <w:r>
        <w:rPr>
          <w:rFonts w:ascii="Arial" w:cs="Arial" w:eastAsia="Arial" w:hAnsi="Arial"/>
          <w:sz w:val="22"/>
          <w:szCs w:val="22"/>
        </w:rPr>
        <w:t xml:space="preserve">No specific EU AI Act obligations apply</w:t>
      </w:r>
    </w:p>
    <w:p>
      <w:pPr>
        <w:pStyle w:val="ListParagraph"/>
        <w:numPr>
          <w:ilvl w:val="0"/>
          <w:numId w:val="2"/>
        </w:numPr>
        <w:spacing w:after="40" w:before="40"/>
      </w:pPr>
      <w:r>
        <w:rPr>
          <w:rFonts w:ascii="Arial" w:cs="Arial" w:eastAsia="Arial" w:hAnsi="Arial"/>
          <w:sz w:val="22"/>
          <w:szCs w:val="22"/>
        </w:rPr>
        <w:t xml:space="preserve">GDPR consent and profiling obligations remain fully applicable</w:t>
      </w:r>
    </w:p>
    <w:p>
      <w:pPr>
        <w:pStyle w:val="ListParagraph"/>
        <w:numPr>
          <w:ilvl w:val="0"/>
          <w:numId w:val="2"/>
        </w:numPr>
        <w:spacing w:after="40" w:before="40"/>
      </w:pPr>
      <w:r>
        <w:rPr>
          <w:rFonts w:ascii="Arial" w:cs="Arial" w:eastAsia="Arial" w:hAnsi="Arial"/>
          <w:sz w:val="22"/>
          <w:szCs w:val="22"/>
        </w:rPr>
        <w:t xml:space="preserve">Annual review required to confirm risk classification remains accurate</w:t>
      </w:r>
    </w:p>
    <w:p>
      <w:pPr>
        <w:pStyle w:val="ListParagraph"/>
        <w:numPr>
          <w:ilvl w:val="0"/>
          <w:numId w:val="2"/>
        </w:numPr>
        <w:spacing w:after="40" w:before="40"/>
      </w:pPr>
      <w:r>
        <w:rPr>
          <w:rFonts w:ascii="Arial" w:cs="Arial" w:eastAsia="Arial" w:hAnsi="Arial"/>
          <w:sz w:val="22"/>
          <w:szCs w:val="22"/>
        </w:rPr>
        <w:t xml:space="preserve">Any material change to system purpose must trigger reclassification review</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7. AI Governance Structure</w:t>
      </w:r>
    </w:p>
    <w:p>
      <w:pPr>
        <w:pStyle w:val="Heading2"/>
        <w:spacing w:after="80" w:before="240"/>
      </w:pPr>
      <w:r>
        <w:rPr>
          <w:rFonts w:ascii="Arial" w:cs="Arial" w:eastAsia="Arial" w:hAnsi="Arial"/>
          <w:b/>
          <w:bCs/>
          <w:color w:val="2E5FA3"/>
          <w:sz w:val="24"/>
          <w:szCs w:val="24"/>
        </w:rPr>
        <w:t xml:space="preserve">7.1 Roles and Responsibilities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Board of Directors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Approve this policy annually. Receive AI Governance Report quarterly. Accountable for regulatory compliance at the highest 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Chief Risk Officer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Policy owner. Chair of AI Risk Committee. Accountable for portfolio-wide AI risk management. Escalation point for Critical and High priority findings.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 Risk Committee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Reviews all new AI system registrations. Approves High Risk system deployments. Reviews conformity assessments. Monitors portfolio maturity scores quarterly. Membership: CRO, CTO, CCO, CLO, Head of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System Owners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Accountable for day-to-day governance of assigned AI systems. Must complete AI governance training within 60 days of appointment. Responsible for maintaining technical documentation, monitoring performance, and escalating incidents.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Chief Compliance Officer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Monitors regulatory developments. Advises AI Risk Committee on EU AI Act and GDPR obligations. Reviews vendor AI Act compliance. Owns RegulatoryRadar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ML Engineering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Implements technical governance controls — logging, monitoring, explainability tooling. Responsible for model documentation and bias testing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Vendors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Must provide EU AI Act compliance representations in contracts. Must notify NorthStar of material model changes. Must supply bias audit results and performance evidence for High Risk systems on request.</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7.2 AI Risk Committee — Operating Model</w:t>
      </w:r>
    </w:p>
    <w:p>
      <w:pPr>
        <w:spacing w:after="60" w:before="60"/>
      </w:pPr>
      <w:r>
        <w:rPr>
          <w:rFonts w:ascii="Arial" w:cs="Arial" w:eastAsia="Arial" w:hAnsi="Arial"/>
          <w:sz w:val="22"/>
          <w:szCs w:val="22"/>
        </w:rPr>
        <w:t xml:space="preserve">The AI Risk Committee meets monthly. Quorum requires CRO, CCO, and CTO. Decisions on High Risk system deployments require unanimous agreement. The Committee produces a written record of all decisions which is retained for audit purposes.</w:t>
      </w:r>
    </w:p>
    <w:p>
      <w:pPr>
        <w:spacing w:after="60" w:before="60"/>
      </w:pPr>
      <w:r>
        <w:t xml:space="preserve"/>
      </w:r>
    </w:p>
    <w:p>
      <w:pPr>
        <w:spacing w:after="60" w:before="60"/>
      </w:pPr>
      <w:r>
        <w:rPr>
          <w:rFonts w:ascii="Arial" w:cs="Arial" w:eastAsia="Arial" w:hAnsi="Arial"/>
          <w:sz w:val="22"/>
          <w:szCs w:val="22"/>
        </w:rPr>
        <w:t xml:space="preserve">Quarterly, the Committee produces an AI Portfolio Risk Report for the Board Risk Committee covering: risk tier summary, maturity score movements, open remediation actions, incidents, and regulatory developments.</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8. AI System Deployment Lifecycle</w:t>
      </w:r>
    </w:p>
    <w:p>
      <w:pPr>
        <w:spacing w:after="60" w:before="60"/>
      </w:pPr>
      <w:r>
        <w:rPr>
          <w:rFonts w:ascii="Arial" w:cs="Arial" w:eastAsia="Arial" w:hAnsi="Arial"/>
          <w:sz w:val="22"/>
          <w:szCs w:val="22"/>
        </w:rPr>
        <w:t xml:space="preserve">All AI systems must follow this lifecycle. No system may be deployed to production without completing the applicable gate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Gate Requirement</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High Risk Additional Requirements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 approval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Submit AI System Registration Form. Classify under EU AI Act. Document in AI System Inventory.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2. Assess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assessment 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 risk register entry. Identify affected population. Conduct bias assessment on training data. Assess vendor compliance.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3.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file 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 technical documentation per Article 11 and Annex IV. Implement logging per Article 12. Document explainability approach per Article 13.</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4. Conform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Conformity assessment passed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 conformity assessment per Article 43. Issue Declaration of Conformity. Register system in EU AI database per Article 71.</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5. 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 sign-off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CRO formal sign-off required for High Risk systems. Human oversight mechanism live and tested. Monitoring dashboards active.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6. Monitor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Continuous performance and drift monitoring. Annual bias audit. Annual conformity review. Incident reporting per Section 9.</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7. Retire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 approval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Documented decommission plan. Data retention obligations reviewed. EU database registration updated.</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9. AI Incident Management</w:t>
      </w:r>
    </w:p>
    <w:p>
      <w:pPr>
        <w:pStyle w:val="Heading2"/>
        <w:spacing w:after="80" w:before="240"/>
      </w:pPr>
      <w:r>
        <w:rPr>
          <w:rFonts w:ascii="Arial" w:cs="Arial" w:eastAsia="Arial" w:hAnsi="Arial"/>
          <w:b/>
          <w:bCs/>
          <w:color w:val="2E5FA3"/>
          <w:sz w:val="24"/>
          <w:szCs w:val="24"/>
        </w:rPr>
        <w:t xml:space="preserve">9.1 Definition of an AI Incident</w:t>
      </w:r>
    </w:p>
    <w:p>
      <w:pPr>
        <w:spacing w:after="60" w:before="60"/>
      </w:pPr>
      <w:r>
        <w:rPr>
          <w:rFonts w:ascii="Arial" w:cs="Arial" w:eastAsia="Arial" w:hAnsi="Arial"/>
          <w:sz w:val="22"/>
          <w:szCs w:val="22"/>
        </w:rPr>
        <w:t xml:space="preserve">An AI incident is any event in which an AI system operated by NorthStar produces an output that causes or has the potential to cause harm to individuals, regulatory non-compliance, reputational damage, or financial loss. This includes but is not limited to:</w:t>
      </w:r>
    </w:p>
    <w:p>
      <w:pPr>
        <w:pStyle w:val="ListParagraph"/>
        <w:numPr>
          <w:ilvl w:val="0"/>
          <w:numId w:val="2"/>
        </w:numPr>
        <w:spacing w:after="40" w:before="40"/>
      </w:pPr>
      <w:r>
        <w:rPr>
          <w:rFonts w:ascii="Arial" w:cs="Arial" w:eastAsia="Arial" w:hAnsi="Arial"/>
          <w:sz w:val="22"/>
          <w:szCs w:val="22"/>
        </w:rPr>
        <w:t xml:space="preserve">Discriminatory outcomes identified in High Risk AI system outputs</w:t>
      </w:r>
    </w:p>
    <w:p>
      <w:pPr>
        <w:pStyle w:val="ListParagraph"/>
        <w:numPr>
          <w:ilvl w:val="0"/>
          <w:numId w:val="2"/>
        </w:numPr>
        <w:spacing w:after="40" w:before="40"/>
      </w:pPr>
      <w:r>
        <w:rPr>
          <w:rFonts w:ascii="Arial" w:cs="Arial" w:eastAsia="Arial" w:hAnsi="Arial"/>
          <w:sz w:val="22"/>
          <w:szCs w:val="22"/>
        </w:rPr>
        <w:t xml:space="preserve">Model drift causing material degradation in system accuracy or fairness</w:t>
      </w:r>
    </w:p>
    <w:p>
      <w:pPr>
        <w:pStyle w:val="ListParagraph"/>
        <w:numPr>
          <w:ilvl w:val="0"/>
          <w:numId w:val="2"/>
        </w:numPr>
        <w:spacing w:after="40" w:before="40"/>
      </w:pPr>
      <w:r>
        <w:rPr>
          <w:rFonts w:ascii="Arial" w:cs="Arial" w:eastAsia="Arial" w:hAnsi="Arial"/>
          <w:sz w:val="22"/>
          <w:szCs w:val="22"/>
        </w:rPr>
        <w:t xml:space="preserve">Adversarial manipulation or prompt injection of AI systems</w:t>
      </w:r>
    </w:p>
    <w:p>
      <w:pPr>
        <w:pStyle w:val="ListParagraph"/>
        <w:numPr>
          <w:ilvl w:val="0"/>
          <w:numId w:val="2"/>
        </w:numPr>
        <w:spacing w:after="40" w:before="40"/>
      </w:pPr>
      <w:r>
        <w:rPr>
          <w:rFonts w:ascii="Arial" w:cs="Arial" w:eastAsia="Arial" w:hAnsi="Arial"/>
          <w:sz w:val="22"/>
          <w:szCs w:val="22"/>
        </w:rPr>
        <w:t xml:space="preserve">Data leakage through AI system inputs or outputs</w:t>
      </w:r>
    </w:p>
    <w:p>
      <w:pPr>
        <w:pStyle w:val="ListParagraph"/>
        <w:numPr>
          <w:ilvl w:val="0"/>
          <w:numId w:val="2"/>
        </w:numPr>
        <w:spacing w:after="40" w:before="40"/>
      </w:pPr>
      <w:r>
        <w:rPr>
          <w:rFonts w:ascii="Arial" w:cs="Arial" w:eastAsia="Arial" w:hAnsi="Arial"/>
          <w:sz w:val="22"/>
          <w:szCs w:val="22"/>
        </w:rPr>
        <w:t xml:space="preserve">Failure of human oversight mechanisms</w:t>
      </w:r>
    </w:p>
    <w:p>
      <w:pPr>
        <w:pStyle w:val="ListParagraph"/>
        <w:numPr>
          <w:ilvl w:val="0"/>
          <w:numId w:val="2"/>
        </w:numPr>
        <w:spacing w:after="40" w:before="40"/>
      </w:pPr>
      <w:r>
        <w:rPr>
          <w:rFonts w:ascii="Arial" w:cs="Arial" w:eastAsia="Arial" w:hAnsi="Arial"/>
          <w:sz w:val="22"/>
          <w:szCs w:val="22"/>
        </w:rPr>
        <w:t xml:space="preserve">AI system producing outputs outside its intended operational scope</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9.2 Incident Severity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Severity</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w:t>
            </w:r>
          </w:p>
        </w:tc>
        <w:tc>
          <w:tcPr>
            <w:tcW w:type="dxa" w:w="54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Response Requirement</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P1 — 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Serious harm to individuals, regulatory breach, or system producing discriminatory outcomes at scale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Immediate system suspension. CRO notified within 1 hour. Regulatory notification within 72 hours where required. Board notified within 24 hours.</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55A11"/>
                <w:sz w:val="20"/>
                <w:szCs w:val="20"/>
              </w:rPr>
              <w:t xml:space="preserve">P2 — 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Material accuracy degradation, compliance gap identified, or individual harm caused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owner notified within 2 hours. AI Risk Committee notified within 24 hours. Remediation plan within 5 business days.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P3 — 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Performance below threshold, minor compliance gap, or near-miss event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owner investigation within 48 hours. Report to AI Risk Committee at next monthly meeting.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P4 — 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Isolated anomaly, no harm caused, within acceptable parameters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Logged in incident register. Reviewed at quarterly governance meeting.</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9.3 Regulatory Notification</w:t>
      </w:r>
    </w:p>
    <w:p>
      <w:pPr>
        <w:spacing w:after="60" w:before="60"/>
      </w:pPr>
      <w:r>
        <w:rPr>
          <w:rFonts w:ascii="Arial" w:cs="Arial" w:eastAsia="Arial" w:hAnsi="Arial"/>
          <w:sz w:val="22"/>
          <w:szCs w:val="22"/>
        </w:rPr>
        <w:t xml:space="preserve">Under EU AI Act Article 73, serious incidents involving High Risk AI systems must be reported to the relevant national competent authority without undue delay and no later than 72 hours after NorthStar becomes aware of the incident. The Chief Compliance Officer is responsible for all regulatory notifications.</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10. Vendor and Third Party AI Governance</w:t>
      </w:r>
    </w:p>
    <w:p>
      <w:pPr>
        <w:spacing w:after="60" w:before="60"/>
      </w:pPr>
      <w:r>
        <w:rPr>
          <w:rFonts w:ascii="Arial" w:cs="Arial" w:eastAsia="Arial" w:hAnsi="Arial"/>
          <w:sz w:val="22"/>
          <w:szCs w:val="22"/>
        </w:rPr>
        <w:t xml:space="preserve">Under EU AI Act Article 28, NorthStar as deployer bears responsibility for ensuring vendor-supplied AI systems comply with applicable obligations. The following requirements apply to all vendor AI relationships.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10.1 Contract Requirements</w:t>
      </w:r>
    </w:p>
    <w:p>
      <w:pPr>
        <w:spacing w:after="60" w:before="60"/>
      </w:pPr>
      <w:r>
        <w:rPr>
          <w:rFonts w:ascii="Arial" w:cs="Arial" w:eastAsia="Arial" w:hAnsi="Arial"/>
          <w:sz w:val="22"/>
          <w:szCs w:val="22"/>
        </w:rPr>
        <w:t xml:space="preserve">All new and renewed contracts for vendor AI systems must include:</w:t>
      </w:r>
    </w:p>
    <w:p>
      <w:pPr>
        <w:pStyle w:val="ListParagraph"/>
        <w:numPr>
          <w:ilvl w:val="0"/>
          <w:numId w:val="2"/>
        </w:numPr>
        <w:spacing w:after="40" w:before="40"/>
      </w:pPr>
      <w:r>
        <w:rPr>
          <w:rFonts w:ascii="Arial" w:cs="Arial" w:eastAsia="Arial" w:hAnsi="Arial"/>
          <w:sz w:val="22"/>
          <w:szCs w:val="22"/>
        </w:rPr>
        <w:t xml:space="preserve">Confirmation that the vendor's AI system complies with EU AI Act obligations applicable to providers</w:t>
      </w:r>
    </w:p>
    <w:p>
      <w:pPr>
        <w:pStyle w:val="ListParagraph"/>
        <w:numPr>
          <w:ilvl w:val="0"/>
          <w:numId w:val="2"/>
        </w:numPr>
        <w:spacing w:after="40" w:before="40"/>
      </w:pPr>
      <w:r>
        <w:rPr>
          <w:rFonts w:ascii="Arial" w:cs="Arial" w:eastAsia="Arial" w:hAnsi="Arial"/>
          <w:sz w:val="22"/>
          <w:szCs w:val="22"/>
        </w:rPr>
        <w:t xml:space="preserve">Right for NorthStar to audit vendor AI compliance on reasonable notice</w:t>
      </w:r>
    </w:p>
    <w:p>
      <w:pPr>
        <w:pStyle w:val="ListParagraph"/>
        <w:numPr>
          <w:ilvl w:val="0"/>
          <w:numId w:val="2"/>
        </w:numPr>
        <w:spacing w:after="40" w:before="40"/>
      </w:pPr>
      <w:r>
        <w:rPr>
          <w:rFonts w:ascii="Arial" w:cs="Arial" w:eastAsia="Arial" w:hAnsi="Arial"/>
          <w:sz w:val="22"/>
          <w:szCs w:val="22"/>
        </w:rPr>
        <w:t xml:space="preserve">Obligation for vendor to notify NorthStar of material model changes within 5 business days</w:t>
      </w:r>
    </w:p>
    <w:p>
      <w:pPr>
        <w:pStyle w:val="ListParagraph"/>
        <w:numPr>
          <w:ilvl w:val="0"/>
          <w:numId w:val="2"/>
        </w:numPr>
        <w:spacing w:after="40" w:before="40"/>
      </w:pPr>
      <w:r>
        <w:rPr>
          <w:rFonts w:ascii="Arial" w:cs="Arial" w:eastAsia="Arial" w:hAnsi="Arial"/>
          <w:sz w:val="22"/>
          <w:szCs w:val="22"/>
        </w:rPr>
        <w:t xml:space="preserve">Obligation for vendor to supply bias audit results and technical documentation for High Risk systems on request</w:t>
      </w:r>
    </w:p>
    <w:p>
      <w:pPr>
        <w:pStyle w:val="ListParagraph"/>
        <w:numPr>
          <w:ilvl w:val="0"/>
          <w:numId w:val="2"/>
        </w:numPr>
        <w:spacing w:after="40" w:before="40"/>
      </w:pPr>
      <w:r>
        <w:rPr>
          <w:rFonts w:ascii="Arial" w:cs="Arial" w:eastAsia="Arial" w:hAnsi="Arial"/>
          <w:sz w:val="22"/>
          <w:szCs w:val="22"/>
        </w:rPr>
        <w:t xml:space="preserve">Liability provisions specifying responsibility allocation for AI-caused harm</w:t>
      </w:r>
    </w:p>
    <w:p>
      <w:pPr>
        <w:pStyle w:val="ListParagraph"/>
        <w:numPr>
          <w:ilvl w:val="0"/>
          <w:numId w:val="2"/>
        </w:numPr>
        <w:spacing w:after="40" w:before="40"/>
      </w:pPr>
      <w:r>
        <w:rPr>
          <w:rFonts w:ascii="Arial" w:cs="Arial" w:eastAsia="Arial" w:hAnsi="Arial"/>
          <w:sz w:val="22"/>
          <w:szCs w:val="22"/>
        </w:rPr>
        <w:t xml:space="preserve">Termination rights if vendor fails to maintain compliance</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10.2 Priority Vendor Actions</w:t>
      </w:r>
    </w:p>
    <w:p>
      <w:pPr>
        <w:spacing w:after="60" w:before="60"/>
      </w:pPr>
      <w:r>
        <w:rPr>
          <w:rFonts w:ascii="Arial" w:cs="Arial" w:eastAsia="Arial" w:hAnsi="Arial"/>
          <w:sz w:val="22"/>
          <w:szCs w:val="22"/>
        </w:rPr>
        <w:t xml:space="preserve">The following vendor contract gaps were identified in the Q1 2026 governance review and must be addressed at next contract renewal:</w:t>
      </w:r>
    </w:p>
    <w:p>
      <w:pPr>
        <w:pStyle w:val="ListParagraph"/>
        <w:numPr>
          <w:ilvl w:val="0"/>
          <w:numId w:val="2"/>
        </w:numPr>
        <w:spacing w:after="40" w:before="40"/>
      </w:pPr>
      <w:r>
        <w:rPr>
          <w:rFonts w:ascii="Arial" w:cs="Arial" w:eastAsia="Arial" w:hAnsi="Arial"/>
          <w:sz w:val="22"/>
          <w:szCs w:val="22"/>
        </w:rPr>
        <w:t xml:space="preserve">FraudTech GmbH (FraudGuard 360) — contract renewed 2021, pre-dates EU AI Act, compliance clauses absent</w:t>
      </w:r>
    </w:p>
    <w:p>
      <w:pPr>
        <w:pStyle w:val="ListParagraph"/>
        <w:numPr>
          <w:ilvl w:val="0"/>
          <w:numId w:val="2"/>
        </w:numPr>
        <w:spacing w:after="40" w:before="40"/>
      </w:pPr>
      <w:r>
        <w:rPr>
          <w:rFonts w:ascii="Arial" w:cs="Arial" w:eastAsia="Arial" w:hAnsi="Arial"/>
          <w:sz w:val="22"/>
          <w:szCs w:val="22"/>
        </w:rPr>
        <w:t xml:space="preserve">HireFlow Technologies Ltd (TalentMatch AI) — bias audit results and training data documentation not supplied</w:t>
      </w:r>
    </w:p>
    <w:p>
      <w:pPr>
        <w:pStyle w:val="ListParagraph"/>
        <w:numPr>
          <w:ilvl w:val="0"/>
          <w:numId w:val="2"/>
        </w:numPr>
        <w:spacing w:after="40" w:before="40"/>
      </w:pPr>
      <w:r>
        <w:rPr>
          <w:rFonts w:ascii="Arial" w:cs="Arial" w:eastAsia="Arial" w:hAnsi="Arial"/>
          <w:sz w:val="22"/>
          <w:szCs w:val="22"/>
        </w:rPr>
        <w:t xml:space="preserve">DialogueTech (SupportBot Aria) — mobile channel AI disclosure implementation confirmation required</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11. Immediate Remediation Priorities</w:t>
      </w:r>
    </w:p>
    <w:p>
      <w:pPr>
        <w:spacing w:after="60" w:before="60"/>
      </w:pPr>
      <w:r>
        <w:rPr>
          <w:rFonts w:ascii="Arial" w:cs="Arial" w:eastAsia="Arial" w:hAnsi="Arial"/>
          <w:sz w:val="22"/>
          <w:szCs w:val="22"/>
        </w:rPr>
        <w:t xml:space="preserve">The following actions are required as a direct result of findings from the Q1 2026 AI governance review. These are not recommendations — they are mandatory governance actions with defined deadlines.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1660"/>
        <w:gridCol w:w="2500"/>
      </w:tblGrid>
      <w:tr>
        <w:tc>
          <w:tcPr>
            <w:tcW w:type="dxa" w:w="7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System</w:t>
            </w:r>
          </w:p>
        </w:tc>
        <w:tc>
          <w:tcPr>
            <w:tcW w:type="dxa" w:w="16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Deadline</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r>
      <w:tr>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Conduct full bias audit against gender, ethnicity, and age 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TalentMatch AI</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Director + ML Engineering</w:t>
            </w:r>
          </w:p>
        </w:tc>
      </w:tr>
      <w:tr>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 mandatory human override for all shortlisting decisions pending conformity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TalentMatch AI</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Director</w:t>
            </w:r>
          </w:p>
        </w:tc>
      </w:tr>
      <w:tr>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 conformity assessment and register in EU AI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CreditScore Pro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Credit Risk</w:t>
            </w:r>
          </w:p>
        </w:tc>
      </w:tr>
      <w:tr>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 conformity assessment and register in EU AI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TalentMatch AI</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Director</w:t>
            </w:r>
          </w:p>
        </w:tc>
      </w:tr>
      <w:tr>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Document SHAP explainability tooling to Article 13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CreditScore Pro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Credit Risk</w:t>
            </w:r>
          </w:p>
        </w:tc>
      </w:tr>
      <w:tr>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55A11"/>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 governance gate review before production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DocIntel Underwriting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go-live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Insurance</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 AI disclosure on mobile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SupportBot Aria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Customer Experience</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Update vendor contract with EU AI Act compliance clauses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FraudGuard 360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 renewal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Payment Operations</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Deliver AI governance training to all system owners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systems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12. Policy Compliance and Enforcement</w:t>
      </w:r>
    </w:p>
    <w:p>
      <w:pPr>
        <w:pStyle w:val="Heading2"/>
        <w:spacing w:after="80" w:before="240"/>
      </w:pPr>
      <w:r>
        <w:rPr>
          <w:rFonts w:ascii="Arial" w:cs="Arial" w:eastAsia="Arial" w:hAnsi="Arial"/>
          <w:b/>
          <w:bCs/>
          <w:color w:val="2E5FA3"/>
          <w:sz w:val="24"/>
          <w:szCs w:val="24"/>
        </w:rPr>
        <w:t xml:space="preserve">12.1 Compliance Monitoring</w:t>
      </w:r>
    </w:p>
    <w:p>
      <w:pPr>
        <w:spacing w:after="60" w:before="60"/>
      </w:pPr>
      <w:r>
        <w:rPr>
          <w:rFonts w:ascii="Arial" w:cs="Arial" w:eastAsia="Arial" w:hAnsi="Arial"/>
          <w:sz w:val="22"/>
          <w:szCs w:val="22"/>
        </w:rPr>
        <w:t xml:space="preserve">The AI Risk Committee monitors compliance with this policy quarterly. Each system owner must submit a compliance attestation confirming adherence to applicable obligations on a bi-annual basis.</w:t>
      </w:r>
    </w:p>
    <w:p>
      <w:pPr>
        <w:spacing w:after="60" w:before="60"/>
      </w:pPr>
      <w:r>
        <w:t xml:space="preserve"/>
      </w:r>
    </w:p>
    <w:p>
      <w:pPr>
        <w:spacing w:after="60" w:before="60"/>
      </w:pPr>
      <w:r>
        <w:rPr>
          <w:rFonts w:ascii="Arial" w:cs="Arial" w:eastAsia="Arial" w:hAnsi="Arial"/>
          <w:sz w:val="22"/>
          <w:szCs w:val="22"/>
        </w:rPr>
        <w:t xml:space="preserve">Internal Audit will conduct an independent review of AI governance compliance annually, with findings reported to the Audit Committee.</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12.2 Non-Compliance</w:t>
      </w:r>
    </w:p>
    <w:p>
      <w:pPr>
        <w:spacing w:after="60" w:before="60"/>
      </w:pPr>
      <w:r>
        <w:rPr>
          <w:rFonts w:ascii="Arial" w:cs="Arial" w:eastAsia="Arial" w:hAnsi="Arial"/>
          <w:sz w:val="22"/>
          <w:szCs w:val="22"/>
        </w:rPr>
        <w:t xml:space="preserve">Failure to comply with this policy may result in:</w:t>
      </w:r>
    </w:p>
    <w:p>
      <w:pPr>
        <w:pStyle w:val="ListParagraph"/>
        <w:numPr>
          <w:ilvl w:val="0"/>
          <w:numId w:val="2"/>
        </w:numPr>
        <w:spacing w:after="40" w:before="40"/>
      </w:pPr>
      <w:r>
        <w:rPr>
          <w:rFonts w:ascii="Arial" w:cs="Arial" w:eastAsia="Arial" w:hAnsi="Arial"/>
          <w:sz w:val="22"/>
          <w:szCs w:val="22"/>
        </w:rPr>
        <w:t xml:space="preserve">Mandatory suspension of the non-compliant AI system</w:t>
      </w:r>
    </w:p>
    <w:p>
      <w:pPr>
        <w:pStyle w:val="ListParagraph"/>
        <w:numPr>
          <w:ilvl w:val="0"/>
          <w:numId w:val="2"/>
        </w:numPr>
        <w:spacing w:after="40" w:before="40"/>
      </w:pPr>
      <w:r>
        <w:rPr>
          <w:rFonts w:ascii="Arial" w:cs="Arial" w:eastAsia="Arial" w:hAnsi="Arial"/>
          <w:sz w:val="22"/>
          <w:szCs w:val="22"/>
        </w:rPr>
        <w:t xml:space="preserve">Escalation to the Board Risk Committee</w:t>
      </w:r>
    </w:p>
    <w:p>
      <w:pPr>
        <w:pStyle w:val="ListParagraph"/>
        <w:numPr>
          <w:ilvl w:val="0"/>
          <w:numId w:val="2"/>
        </w:numPr>
        <w:spacing w:after="40" w:before="40"/>
      </w:pPr>
      <w:r>
        <w:rPr>
          <w:rFonts w:ascii="Arial" w:cs="Arial" w:eastAsia="Arial" w:hAnsi="Arial"/>
          <w:sz w:val="22"/>
          <w:szCs w:val="22"/>
        </w:rPr>
        <w:t xml:space="preserve">Disciplinary action for responsible individuals</w:t>
      </w:r>
    </w:p>
    <w:p>
      <w:pPr>
        <w:pStyle w:val="ListParagraph"/>
        <w:numPr>
          <w:ilvl w:val="0"/>
          <w:numId w:val="2"/>
        </w:numPr>
        <w:spacing w:after="40" w:before="40"/>
      </w:pPr>
      <w:r>
        <w:rPr>
          <w:rFonts w:ascii="Arial" w:cs="Arial" w:eastAsia="Arial" w:hAnsi="Arial"/>
          <w:sz w:val="22"/>
          <w:szCs w:val="22"/>
        </w:rPr>
        <w:t xml:space="preserve">Regulatory notification where required</w:t>
      </w:r>
    </w:p>
    <w:p>
      <w:pPr>
        <w:pStyle w:val="ListParagraph"/>
        <w:numPr>
          <w:ilvl w:val="0"/>
          <w:numId w:val="2"/>
        </w:numPr>
        <w:spacing w:after="40" w:before="40"/>
      </w:pPr>
      <w:r>
        <w:rPr>
          <w:rFonts w:ascii="Arial" w:cs="Arial" w:eastAsia="Arial" w:hAnsi="Arial"/>
          <w:sz w:val="22"/>
          <w:szCs w:val="22"/>
        </w:rPr>
        <w:t xml:space="preserve">Fines under EU AI Act of up to EUR 30 million or 6% of global annual turnover for violations involving High Risk systems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12.3 Policy Review</w:t>
      </w:r>
    </w:p>
    <w:p>
      <w:pPr>
        <w:spacing w:after="60" w:before="60"/>
      </w:pPr>
      <w:r>
        <w:rPr>
          <w:rFonts w:ascii="Arial" w:cs="Arial" w:eastAsia="Arial" w:hAnsi="Arial"/>
          <w:sz w:val="22"/>
          <w:szCs w:val="22"/>
        </w:rPr>
        <w:t xml:space="preserve">This policy is reviewed annually by the Chief Risk Officer and approved by the Board. It is updated immediately upon material change to applicable regulation or NorthStar's AI system portfolio.</w:t>
      </w:r>
    </w:p>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13. Key Definitions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 machine-based system designed to operate with varying levels of autonomy, that generates outputs such as predictions, recommendations, decisions, or content that influence real or virtual environments.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High Risk AI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An AI system classified as High Risk under EU AI Act Article 6 and Annex III, subject to full conformity assessment and ongoing governance obligations.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Conformity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 formal process under EU AI Act Article 43 by which a provider demonstrates that a High Risk AI system meets applicable legal requirements before deployment.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Bias Audit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 structured assessment of an AI system's outputs across demographic groups to identify discriminatory patterns, proxy variables, or unfair treatment.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 Drift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degradation of an AI system's performance over time as real-world data distributions diverge from the data on which the model was trained.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Human Oversight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capacity for a qualified human to monitor, interpret, override, or stop an AI system's operation. Must be genuine and not nominal under EU AI Act Article 14.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named individual accountable for the governance, performance, and compliance of a specific AI system as listed in the NorthStar AI System Inventory.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Deployer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Under EU AI Act Article 3(4), a natural or legal person who uses an AI system under its authority. NorthStar is the deployer for all vendor-supplied AI systems.</w:t>
            </w:r>
          </w:p>
        </w:tc>
      </w:tr>
    </w:tbl>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14. Policy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Author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Governance Programme Office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of Directors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bl>
    <w:p>
      <w:pPr>
        <w:spacing w:after="60" w:before="60"/>
      </w:pPr>
      <w:r>
        <w:t xml:space="preserve"/>
      </w:r>
    </w:p>
    <w:p>
      <w:pPr>
        <w:spacing w:after="60" w:before="120"/>
      </w:pPr>
      <w:r>
        <w:rPr>
          <w:rFonts w:ascii="Arial" w:cs="Arial" w:eastAsia="Arial" w:hAnsi="Arial"/>
          <w:sz w:val="22"/>
          <w:szCs w:val="22"/>
        </w:rPr>
        <w:t xml:space="preserve">Document Reference: NS-POL-AI-001 | Version 1.0 | Next Review: April 2027</w:t>
      </w:r>
    </w:p>
    <w:p>
      <w:pPr>
        <w:spacing w:after="0" w:before="0"/>
      </w:pPr>
      <w:r>
        <w:rPr>
          <w:rFonts w:ascii="Arial" w:cs="Arial" w:eastAsia="Arial" w:hAnsi="Arial"/>
          <w:sz w:val="22"/>
          <w:szCs w:val="22"/>
        </w:rPr>
        <w:t xml:space="preserve">This document is classified as Internal — Confidential. It must not be shared outside NorthStar Financial Services without CRO approval.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after="0" w:before="120"/>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Page </w:t>
    </w:r>
    <w:r>
      <w:rPr>
        <w:rFonts w:ascii="Arial" w:cs="Arial" w:eastAsia="Arial" w:hAnsi="Arial"/>
        <w:color w:val="666666"/>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b/>
        <w:bCs/>
        <w:color w:val="1F3864"/>
        <w:sz w:val="18"/>
        <w:szCs w:val="18"/>
      </w:rPr>
      <w:t xml:space="preserve">NorthStar Financial Services</w:t>
    </w:r>
    <w:r>
      <w:rPr>
        <w:rFonts w:ascii="Arial" w:cs="Arial" w:eastAsia="Arial" w:hAnsi="Arial"/>
        <w:color w:val="666666"/>
        <w:sz w:val="18"/>
        <w:szCs w:val="18"/>
      </w:rPr>
      <w:t xml:space="preserve">   |   Responsible AI Policy   |   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2026-04-22T07:45:37.258Z</dcterms:created>
  <dcterms:modified xsi:type="dcterms:W3CDTF">2026-04-22T07:45:37.259Z</dcterms:modified>
</cp:coreProperties>
</file>

<file path=docProps/custom.xml><?xml version="1.0" encoding="utf-8"?>
<Properties xmlns="http://schemas.openxmlformats.org/officeDocument/2006/custom-properties" xmlns:vt="http://schemas.openxmlformats.org/officeDocument/2006/docPropsVTypes"/>
</file>