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D71D5">
      <w:pPr>
        <w:shd w:val="clear" w:fill="1F3864"/>
        <w:spacing w:before="0" w:after="0"/>
        <w:jc w:val="center"/>
      </w:pPr>
      <w:r>
        <w:rPr>
          <w:rFonts w:ascii="Arial" w:hAnsi="Arial" w:eastAsia="Arial" w:cs="Arial"/>
          <w:b/>
          <w:bCs/>
          <w:color w:val="FFFFFF"/>
          <w:sz w:val="36"/>
          <w:szCs w:val="36"/>
        </w:rPr>
        <w:t>NORTHSTAR FINANCIAL SERVICES</w:t>
      </w:r>
    </w:p>
    <w:p w14:paraId="0E6AF43D">
      <w:pPr>
        <w:shd w:val="clear" w:fill="2E5F9E"/>
        <w:spacing w:before="0" w:after="0"/>
        <w:jc w:val="center"/>
      </w:pPr>
      <w:r>
        <w:rPr>
          <w:rFonts w:ascii="Arial" w:hAnsi="Arial" w:eastAsia="Arial" w:cs="Arial"/>
          <w:b/>
          <w:bCs/>
          <w:color w:val="FFFFFF"/>
          <w:sz w:val="26"/>
          <w:szCs w:val="26"/>
        </w:rPr>
        <w:t>AI Risk Assessment &amp; Governance Review Pack</w:t>
      </w:r>
    </w:p>
    <w:p w14:paraId="1FFB743B">
      <w:pPr>
        <w:shd w:val="clear" w:fill="2E5F9E"/>
        <w:spacing w:before="0" w:after="0"/>
        <w:jc w:val="center"/>
      </w:pPr>
      <w:r>
        <w:rPr>
          <w:rFonts w:ascii="Arial" w:hAnsi="Arial" w:eastAsia="Arial" w:cs="Arial"/>
          <w:b/>
          <w:bCs/>
          <w:color w:val="FFFFFF"/>
          <w:sz w:val="24"/>
          <w:szCs w:val="24"/>
        </w:rPr>
        <w:t>Document 4 — Executive Risk Summary</w:t>
      </w:r>
    </w:p>
    <w:p w14:paraId="25522110">
      <w:pPr>
        <w:shd w:val="clear" w:fill="C00000"/>
        <w:spacing w:before="0" w:after="0"/>
        <w:jc w:val="center"/>
      </w:pPr>
      <w:r>
        <w:rPr>
          <w:rFonts w:ascii="Arial" w:hAnsi="Arial" w:eastAsia="Arial" w:cs="Arial"/>
          <w:b/>
          <w:bCs/>
          <w:color w:val="FFFFFF"/>
          <w:sz w:val="20"/>
          <w:szCs w:val="20"/>
        </w:rPr>
        <w:t>STRICTLY CONFIDENTIAL — BOARD USE ONLY</w:t>
      </w:r>
    </w:p>
    <w:p w14:paraId="1DE2A069">
      <w:pPr>
        <w:shd w:val="clear" w:fill="D6E4F7"/>
        <w:spacing w:before="0" w:after="0"/>
        <w:jc w:val="center"/>
      </w:pPr>
      <w:r>
        <w:rPr>
          <w:rFonts w:ascii="Arial" w:hAnsi="Arial" w:eastAsia="Arial" w:cs="Arial"/>
          <w:color w:val="1F3864"/>
          <w:sz w:val="20"/>
          <w:szCs w:val="20"/>
        </w:rPr>
        <w:t>Prepared by: Deepak Kumar Sethi — AI Risk &amp; Governance Consultant</w:t>
      </w:r>
    </w:p>
    <w:p w14:paraId="3FB3399F">
      <w:pPr>
        <w:shd w:val="clear" w:fill="D6E4F7"/>
        <w:spacing w:before="0" w:after="80"/>
        <w:jc w:val="center"/>
      </w:pPr>
      <w:r>
        <w:rPr>
          <w:rFonts w:ascii="Arial" w:hAnsi="Arial" w:eastAsia="Arial" w:cs="Arial"/>
          <w:color w:val="1F3864"/>
          <w:sz w:val="20"/>
          <w:szCs w:val="20"/>
        </w:rPr>
        <w:t>Date: April 2026</w:t>
      </w:r>
    </w:p>
    <w:p w14:paraId="5849D4D4">
      <w:pPr>
        <w:spacing w:before="160" w:after="160"/>
      </w:pPr>
    </w:p>
    <w:p w14:paraId="7D3FFBA4">
      <w:pPr>
        <w:pBdr>
          <w:bottom w:val="single" w:color="2E5F9E" w:sz="4" w:space="0"/>
        </w:pBdr>
        <w:spacing w:before="280" w:after="120"/>
      </w:pPr>
      <w:r>
        <w:rPr>
          <w:rFonts w:ascii="Arial" w:hAnsi="Arial" w:eastAsia="Arial" w:cs="Arial"/>
          <w:b/>
          <w:bCs/>
          <w:color w:val="1F3864"/>
          <w:sz w:val="28"/>
          <w:szCs w:val="28"/>
        </w:rPr>
        <w:t>PURPOSE</w:t>
      </w:r>
      <w:bookmarkStart w:id="0" w:name="_GoBack"/>
      <w:bookmarkEnd w:id="0"/>
    </w:p>
    <w:p w14:paraId="043BAB28">
      <w:pPr>
        <w:spacing w:before="60" w:after="60"/>
      </w:pPr>
      <w:r>
        <w:rPr>
          <w:rFonts w:ascii="Arial" w:hAnsi="Arial" w:eastAsia="Arial" w:cs="Arial"/>
          <w:b w:val="0"/>
          <w:bCs w:val="0"/>
          <w:color w:val="333333"/>
          <w:sz w:val="20"/>
          <w:szCs w:val="20"/>
        </w:rPr>
        <w:t>This Executive Risk Summary presents the key findings of NorthStar Financial Services' AI Risk Assessment conducted across three High Risk AI systems — CreditScore Pro, TalentMatch AI, and DocIntel Underwriting.</w:t>
      </w:r>
    </w:p>
    <w:p w14:paraId="2B107095">
      <w:pPr>
        <w:spacing w:before="60" w:after="60"/>
      </w:pPr>
      <w:r>
        <w:rPr>
          <w:rFonts w:ascii="Arial" w:hAnsi="Arial" w:eastAsia="Arial" w:cs="Arial"/>
          <w:b w:val="0"/>
          <w:bCs w:val="0"/>
          <w:color w:val="333333"/>
          <w:sz w:val="20"/>
          <w:szCs w:val="20"/>
        </w:rPr>
        <w:t>This document is intended for NorthStar's Board of Directors and Executive Leadership Team. It summarises NorthStar's current AI risk exposure, regulatory obligations under the EU AI Act, and the governance actions required to achieve compliance.</w:t>
      </w:r>
    </w:p>
    <w:p w14:paraId="592F1F05">
      <w:pPr>
        <w:spacing w:before="120" w:after="120"/>
      </w:pPr>
    </w:p>
    <w:p w14:paraId="5F11D4D1">
      <w:pPr>
        <w:pBdr>
          <w:bottom w:val="single" w:color="2E5F9E" w:sz="4" w:space="0"/>
        </w:pBdr>
        <w:spacing w:before="280" w:after="120"/>
      </w:pPr>
      <w:r>
        <w:rPr>
          <w:rFonts w:ascii="Arial" w:hAnsi="Arial" w:eastAsia="Arial" w:cs="Arial"/>
          <w:b/>
          <w:bCs/>
          <w:color w:val="1F3864"/>
          <w:sz w:val="28"/>
          <w:szCs w:val="28"/>
        </w:rPr>
        <w:t>EXECUTIVE SUMMARY</w:t>
      </w:r>
    </w:p>
    <w:p w14:paraId="712BE37A">
      <w:pPr>
        <w:spacing w:before="60" w:after="60"/>
      </w:pPr>
      <w:r>
        <w:rPr>
          <w:rFonts w:ascii="Arial" w:hAnsi="Arial" w:eastAsia="Arial" w:cs="Arial"/>
          <w:b w:val="0"/>
          <w:bCs w:val="0"/>
          <w:color w:val="333333"/>
          <w:sz w:val="20"/>
          <w:szCs w:val="20"/>
        </w:rPr>
        <w:t>NorthStar Financial Services operates three AI systems classified as High Risk under Annex III of the EU AI Act. A structured risk assessment conducted across these systems has identified 9 material risks — 8 of which are rated Critical.</w:t>
      </w:r>
    </w:p>
    <w:p w14:paraId="7115589B">
      <w:pPr>
        <w:spacing w:before="60" w:after="60"/>
      </w:pPr>
    </w:p>
    <w:p w14:paraId="6668EF10">
      <w:pPr>
        <w:spacing w:before="60" w:after="60"/>
      </w:pPr>
      <w:r>
        <w:rPr>
          <w:rFonts w:ascii="Arial" w:hAnsi="Arial" w:eastAsia="Arial" w:cs="Arial"/>
          <w:b w:val="0"/>
          <w:bCs w:val="0"/>
          <w:color w:val="333333"/>
          <w:sz w:val="20"/>
          <w:szCs w:val="20"/>
        </w:rPr>
        <w:t>NorthStar's current AI governance controls are insufficient to meet EU AI Act requirements. Without immediate remediation, NorthStar faces regulatory fines of up to €30 million or 6% of global annual turnover under Article 71, in addition to significant reputational and legal exposure.</w:t>
      </w:r>
    </w:p>
    <w:p w14:paraId="714CF42C">
      <w:pPr>
        <w:spacing w:before="60" w:after="60"/>
      </w:pPr>
    </w:p>
    <w:p w14:paraId="23289EDF">
      <w:pPr>
        <w:spacing w:before="60" w:after="60"/>
      </w:pPr>
      <w:r>
        <w:rPr>
          <w:rFonts w:ascii="Arial" w:hAnsi="Arial" w:eastAsia="Arial" w:cs="Arial"/>
          <w:b/>
          <w:bCs/>
          <w:color w:val="C00000"/>
          <w:sz w:val="20"/>
          <w:szCs w:val="20"/>
        </w:rPr>
        <w:t>This summary identifies NorthStar's top three priority risks and the immediate actions required to mitigate them.</w:t>
      </w:r>
    </w:p>
    <w:p w14:paraId="1E06764A">
      <w:pPr>
        <w:spacing w:before="120" w:after="120"/>
      </w:pPr>
    </w:p>
    <w:p w14:paraId="4C9A8238">
      <w:pPr>
        <w:pBdr>
          <w:bottom w:val="single" w:color="2E5F9E" w:sz="4" w:space="0"/>
        </w:pBdr>
        <w:spacing w:before="280" w:after="120"/>
      </w:pPr>
      <w:r>
        <w:rPr>
          <w:rFonts w:ascii="Arial" w:hAnsi="Arial" w:eastAsia="Arial" w:cs="Arial"/>
          <w:b/>
          <w:bCs/>
          <w:color w:val="1F3864"/>
          <w:sz w:val="28"/>
          <w:szCs w:val="28"/>
        </w:rPr>
        <w:t>CURRENT RISK EXPOSURE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D71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4960291">
            <w:r>
              <w:rPr>
                <w:rFonts w:ascii="Arial" w:hAnsi="Arial" w:eastAsia="Arial" w:cs="Arial"/>
                <w:b/>
                <w:bCs/>
                <w:color w:val="FFFFFF"/>
                <w:sz w:val="20"/>
                <w:szCs w:val="20"/>
              </w:rPr>
              <w:t>METRIC</w:t>
            </w:r>
          </w:p>
        </w:tc>
        <w:tc>
          <w:tcPr>
            <w:tcW w:w="468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8699D34">
            <w:r>
              <w:rPr>
                <w:rFonts w:ascii="Arial" w:hAnsi="Arial" w:eastAsia="Arial" w:cs="Arial"/>
                <w:b/>
                <w:bCs/>
                <w:color w:val="FFFFFF"/>
                <w:sz w:val="20"/>
                <w:szCs w:val="20"/>
              </w:rPr>
              <w:t>VALUE</w:t>
            </w:r>
          </w:p>
        </w:tc>
      </w:tr>
      <w:tr w14:paraId="4A62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0F066144">
            <w:r>
              <w:rPr>
                <w:rFonts w:ascii="Arial" w:hAnsi="Arial" w:eastAsia="Arial" w:cs="Arial"/>
                <w:b/>
                <w:bCs/>
                <w:color w:val="1F3864"/>
                <w:sz w:val="20"/>
                <w:szCs w:val="20"/>
              </w:rPr>
              <w:t>Total AI systems assessed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5AE275">
            <w:r>
              <w:rPr>
                <w:rFonts w:ascii="Arial" w:hAnsi="Arial" w:eastAsia="Arial" w:cs="Arial"/>
                <w:b/>
                <w:bCs/>
                <w:color w:val="333333"/>
                <w:sz w:val="20"/>
                <w:szCs w:val="20"/>
              </w:rPr>
              <w:t>7</w:t>
            </w:r>
          </w:p>
        </w:tc>
      </w:tr>
      <w:tr w14:paraId="0206B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17EF29D8">
            <w:r>
              <w:rPr>
                <w:rFonts w:ascii="Arial" w:hAnsi="Arial" w:eastAsia="Arial" w:cs="Arial"/>
                <w:b/>
                <w:bCs/>
                <w:color w:val="1F3864"/>
                <w:sz w:val="20"/>
                <w:szCs w:val="20"/>
              </w:rPr>
              <w:t>High Risk systems (EU AI Act)</w:t>
            </w:r>
          </w:p>
        </w:tc>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680CD178">
            <w:r>
              <w:rPr>
                <w:rFonts w:ascii="Arial" w:hAnsi="Arial" w:eastAsia="Arial" w:cs="Arial"/>
                <w:b/>
                <w:bCs/>
                <w:color w:val="1F3864"/>
                <w:sz w:val="20"/>
                <w:szCs w:val="20"/>
              </w:rPr>
              <w:t>3</w:t>
            </w:r>
          </w:p>
        </w:tc>
      </w:tr>
      <w:tr w14:paraId="78DD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782C3190">
            <w:r>
              <w:rPr>
                <w:rFonts w:ascii="Arial" w:hAnsi="Arial" w:eastAsia="Arial" w:cs="Arial"/>
                <w:b/>
                <w:bCs/>
                <w:color w:val="1F3864"/>
                <w:sz w:val="20"/>
                <w:szCs w:val="20"/>
              </w:rPr>
              <w:t>Total risks identified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AA64E">
            <w:r>
              <w:rPr>
                <w:rFonts w:ascii="Arial" w:hAnsi="Arial" w:eastAsia="Arial" w:cs="Arial"/>
                <w:b/>
                <w:bCs/>
                <w:color w:val="333333"/>
                <w:sz w:val="20"/>
                <w:szCs w:val="20"/>
              </w:rPr>
              <w:t>9</w:t>
            </w:r>
          </w:p>
        </w:tc>
      </w:tr>
      <w:tr w14:paraId="004E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2CCE1B3C">
            <w:r>
              <w:rPr>
                <w:rFonts w:ascii="Arial" w:hAnsi="Arial" w:eastAsia="Arial" w:cs="Arial"/>
                <w:b/>
                <w:bCs/>
                <w:color w:val="1F3864"/>
                <w:sz w:val="20"/>
                <w:szCs w:val="20"/>
              </w:rPr>
              <w:t>Critical risks (score 15-25)</w:t>
            </w:r>
          </w:p>
        </w:tc>
        <w:tc>
          <w:tcPr>
            <w:tcW w:w="4680" w:type="dxa"/>
            <w:tcBorders>
              <w:top w:val="single" w:color="CCCCCC" w:sz="0" w:space="0"/>
              <w:left w:val="single" w:color="CCCCCC" w:sz="0" w:space="0"/>
              <w:bottom w:val="single" w:color="CCCCCC" w:sz="0" w:space="0"/>
              <w:right w:val="single" w:color="CCCCCC" w:sz="0" w:space="0"/>
            </w:tcBorders>
            <w:shd w:val="clear" w:color="auto" w:fill="FFCCCC"/>
            <w:tcMar>
              <w:top w:w="80" w:type="dxa"/>
              <w:left w:w="120" w:type="dxa"/>
              <w:bottom w:w="80" w:type="dxa"/>
              <w:right w:w="120" w:type="dxa"/>
            </w:tcMar>
          </w:tcPr>
          <w:p w14:paraId="24EB09D2">
            <w:r>
              <w:rPr>
                <w:rFonts w:ascii="Arial" w:hAnsi="Arial" w:eastAsia="Arial" w:cs="Arial"/>
                <w:b/>
                <w:bCs/>
                <w:color w:val="C00000"/>
                <w:sz w:val="20"/>
                <w:szCs w:val="20"/>
              </w:rPr>
              <w:t>8 — requiring immediate remediation</w:t>
            </w:r>
          </w:p>
        </w:tc>
      </w:tr>
      <w:tr w14:paraId="64BF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69B816E7">
            <w:r>
              <w:rPr>
                <w:rFonts w:ascii="Arial" w:hAnsi="Arial" w:eastAsia="Arial" w:cs="Arial"/>
                <w:b/>
                <w:bCs/>
                <w:color w:val="1F3864"/>
                <w:sz w:val="20"/>
                <w:szCs w:val="20"/>
              </w:rPr>
              <w:t>Medium risks (score 7-14)</w:t>
            </w:r>
          </w:p>
        </w:tc>
        <w:tc>
          <w:tcPr>
            <w:tcW w:w="468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20" w:type="dxa"/>
              <w:bottom w:w="80" w:type="dxa"/>
              <w:right w:w="120" w:type="dxa"/>
            </w:tcMar>
          </w:tcPr>
          <w:p w14:paraId="076A2FF0">
            <w:r>
              <w:rPr>
                <w:rFonts w:ascii="Arial" w:hAnsi="Arial" w:eastAsia="Arial" w:cs="Arial"/>
                <w:b/>
                <w:bCs/>
                <w:color w:val="7F6000"/>
                <w:sz w:val="20"/>
                <w:szCs w:val="20"/>
              </w:rPr>
              <w:t>1 — NS-RISK-009 DocIntel Data Quality</w:t>
            </w:r>
          </w:p>
        </w:tc>
      </w:tr>
      <w:tr w14:paraId="06BE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32B66E1C">
            <w:r>
              <w:rPr>
                <w:rFonts w:ascii="Arial" w:hAnsi="Arial" w:eastAsia="Arial" w:cs="Arial"/>
                <w:b/>
                <w:bCs/>
                <w:color w:val="1F3864"/>
                <w:sz w:val="20"/>
                <w:szCs w:val="20"/>
              </w:rPr>
              <w:t>Low risks (score 1-6)</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C6887">
            <w:r>
              <w:rPr>
                <w:rFonts w:ascii="Arial" w:hAnsi="Arial" w:eastAsia="Arial" w:cs="Arial"/>
                <w:b/>
                <w:bCs/>
                <w:color w:val="333333"/>
                <w:sz w:val="20"/>
                <w:szCs w:val="20"/>
              </w:rPr>
              <w:t>0</w:t>
            </w:r>
          </w:p>
        </w:tc>
      </w:tr>
      <w:tr w14:paraId="160C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5E29D62A">
            <w:r>
              <w:rPr>
                <w:rFonts w:ascii="Arial" w:hAnsi="Arial" w:eastAsia="Arial" w:cs="Arial"/>
                <w:b/>
                <w:bCs/>
                <w:color w:val="1F3864"/>
                <w:sz w:val="20"/>
                <w:szCs w:val="20"/>
              </w:rPr>
              <w:t>Maximum regulatory fine exposure</w:t>
            </w:r>
          </w:p>
        </w:tc>
        <w:tc>
          <w:tcPr>
            <w:tcW w:w="4680" w:type="dxa"/>
            <w:tcBorders>
              <w:top w:val="single" w:color="CCCCCC" w:sz="0" w:space="0"/>
              <w:left w:val="single" w:color="CCCCCC" w:sz="0" w:space="0"/>
              <w:bottom w:val="single" w:color="CCCCCC" w:sz="0" w:space="0"/>
              <w:right w:val="single" w:color="CCCCCC" w:sz="0" w:space="0"/>
            </w:tcBorders>
            <w:shd w:val="clear" w:color="auto" w:fill="FFCCCC"/>
            <w:tcMar>
              <w:top w:w="80" w:type="dxa"/>
              <w:left w:w="120" w:type="dxa"/>
              <w:bottom w:w="80" w:type="dxa"/>
              <w:right w:w="120" w:type="dxa"/>
            </w:tcMar>
          </w:tcPr>
          <w:p w14:paraId="2AD91C1E">
            <w:r>
              <w:rPr>
                <w:rFonts w:ascii="Arial" w:hAnsi="Arial" w:eastAsia="Arial" w:cs="Arial"/>
                <w:b/>
                <w:bCs/>
                <w:color w:val="C00000"/>
                <w:sz w:val="20"/>
                <w:szCs w:val="20"/>
              </w:rPr>
              <w:t>€30 million or 6% of global annual turnover</w:t>
            </w:r>
          </w:p>
        </w:tc>
      </w:tr>
      <w:tr w14:paraId="503B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56D3A4BD">
            <w:r>
              <w:rPr>
                <w:rFonts w:ascii="Arial" w:hAnsi="Arial" w:eastAsia="Arial" w:cs="Arial"/>
                <w:b/>
                <w:bCs/>
                <w:color w:val="1F3864"/>
                <w:sz w:val="20"/>
                <w:szCs w:val="20"/>
              </w:rPr>
              <w:t>Systems at highest exposure</w:t>
            </w:r>
          </w:p>
        </w:tc>
        <w:tc>
          <w:tcPr>
            <w:tcW w:w="468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tcPr>
          <w:p w14:paraId="7016570E">
            <w:r>
              <w:rPr>
                <w:rFonts w:ascii="Arial" w:hAnsi="Arial" w:eastAsia="Arial" w:cs="Arial"/>
                <w:b/>
                <w:bCs/>
                <w:color w:val="1F3864"/>
                <w:sz w:val="20"/>
                <w:szCs w:val="20"/>
              </w:rPr>
              <w:t>TalentMatch AI (NS-AI-003) and DocIntel Underwriting (NS-AI-006)</w:t>
            </w:r>
          </w:p>
        </w:tc>
      </w:tr>
    </w:tbl>
    <w:p w14:paraId="742F882F">
      <w:pPr>
        <w:spacing w:before="120" w:after="120"/>
      </w:pPr>
    </w:p>
    <w:p w14:paraId="2E1DC09A">
      <w:pPr>
        <w:pBdr>
          <w:bottom w:val="single" w:color="2E5F9E" w:sz="4" w:space="0"/>
        </w:pBdr>
        <w:spacing w:before="280" w:after="120"/>
        <w:rPr>
          <w:rFonts w:ascii="Arial" w:hAnsi="Arial" w:eastAsia="Arial" w:cs="Arial"/>
          <w:b/>
          <w:bCs/>
          <w:color w:val="1F3864"/>
          <w:sz w:val="28"/>
          <w:szCs w:val="28"/>
        </w:rPr>
      </w:pPr>
    </w:p>
    <w:p w14:paraId="5D2AB8B0">
      <w:pPr>
        <w:pBdr>
          <w:bottom w:val="single" w:color="2E5F9E" w:sz="4" w:space="0"/>
        </w:pBdr>
        <w:spacing w:before="280" w:after="120"/>
      </w:pPr>
      <w:r>
        <w:rPr>
          <w:rFonts w:ascii="Arial" w:hAnsi="Arial" w:eastAsia="Arial" w:cs="Arial"/>
          <w:b/>
          <w:bCs/>
          <w:color w:val="1F3864"/>
          <w:sz w:val="28"/>
          <w:szCs w:val="28"/>
        </w:rPr>
        <w:t>TOP 3 PRIORITY RISKS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560"/>
        <w:gridCol w:w="3600"/>
      </w:tblGrid>
      <w:tr w14:paraId="3FBB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vMerge w:val="restart"/>
            <w:tcBorders>
              <w:top w:val="single" w:color="AAAAAA" w:sz="2" w:space="0"/>
              <w:left w:val="single" w:color="AAAAAA" w:sz="2" w:space="0"/>
              <w:bottom w:val="single" w:color="AAAAAA" w:sz="2" w:space="0"/>
              <w:right w:val="single" w:color="AAAAAA" w:sz="2" w:space="0"/>
            </w:tcBorders>
            <w:shd w:val="clear" w:color="auto" w:fill="C00000"/>
            <w:tcMar>
              <w:top w:w="120" w:type="dxa"/>
              <w:left w:w="140" w:type="dxa"/>
              <w:bottom w:w="120" w:type="dxa"/>
              <w:right w:w="140" w:type="dxa"/>
            </w:tcMar>
            <w:vAlign w:val="center"/>
          </w:tcPr>
          <w:p w14:paraId="79CDD252">
            <w:pPr>
              <w:jc w:val="center"/>
              <w:rPr>
                <w:sz w:val="18"/>
                <w:szCs w:val="18"/>
              </w:rPr>
            </w:pPr>
            <w:r>
              <w:rPr>
                <w:rFonts w:ascii="Arial" w:hAnsi="Arial" w:eastAsia="Arial" w:cs="Arial"/>
                <w:b/>
                <w:bCs/>
                <w:color w:val="FFFFFF"/>
                <w:sz w:val="18"/>
                <w:szCs w:val="18"/>
              </w:rPr>
              <w:t>PRIORITY 1</w:t>
            </w:r>
          </w:p>
          <w:p w14:paraId="67B1B745">
            <w:pPr>
              <w:jc w:val="center"/>
              <w:rPr>
                <w:sz w:val="18"/>
                <w:szCs w:val="18"/>
              </w:rPr>
            </w:pPr>
            <w:r>
              <w:rPr>
                <w:rFonts w:ascii="Arial" w:hAnsi="Arial" w:eastAsia="Arial" w:cs="Arial"/>
                <w:b/>
                <w:bCs/>
                <w:color w:val="FFFFFF"/>
                <w:sz w:val="24"/>
                <w:szCs w:val="24"/>
              </w:rPr>
              <w:t>25</w:t>
            </w:r>
          </w:p>
          <w:p w14:paraId="50A2B578">
            <w:pPr>
              <w:jc w:val="center"/>
              <w:rPr>
                <w:sz w:val="18"/>
                <w:szCs w:val="18"/>
              </w:rPr>
            </w:pPr>
            <w:r>
              <w:rPr>
                <w:rFonts w:ascii="Arial" w:hAnsi="Arial" w:eastAsia="Arial" w:cs="Arial"/>
                <w:color w:val="FFFFFF"/>
                <w:sz w:val="15"/>
                <w:szCs w:val="15"/>
              </w:rPr>
              <w:t>out of 25</w:t>
            </w:r>
          </w:p>
        </w:tc>
        <w:tc>
          <w:tcPr>
            <w:tcW w:w="8160" w:type="dxa"/>
            <w:gridSpan w:val="2"/>
            <w:tcBorders>
              <w:top w:val="single" w:color="AAAAAA" w:sz="2" w:space="0"/>
              <w:left w:val="single" w:color="AAAAAA" w:sz="2" w:space="0"/>
              <w:bottom w:val="single" w:color="AAAAAA" w:sz="2" w:space="0"/>
              <w:right w:val="single" w:color="AAAAAA" w:sz="2" w:space="0"/>
            </w:tcBorders>
            <w:shd w:val="clear" w:color="auto" w:fill="1F3864"/>
            <w:tcMar>
              <w:top w:w="100" w:type="dxa"/>
              <w:left w:w="140" w:type="dxa"/>
              <w:bottom w:w="100" w:type="dxa"/>
              <w:right w:w="140" w:type="dxa"/>
            </w:tcMar>
          </w:tcPr>
          <w:p w14:paraId="25CEE136">
            <w:pPr>
              <w:rPr>
                <w:sz w:val="18"/>
                <w:szCs w:val="18"/>
              </w:rPr>
            </w:pPr>
            <w:r>
              <w:rPr>
                <w:rFonts w:ascii="Arial" w:hAnsi="Arial" w:eastAsia="Arial" w:cs="Arial"/>
                <w:b/>
                <w:bCs/>
                <w:color w:val="FFFFFF"/>
                <w:sz w:val="21"/>
                <w:szCs w:val="21"/>
              </w:rPr>
              <w:t>TalentMatch AI (NS-AI-003) — Discriminatory Shortlisting</w:t>
            </w:r>
          </w:p>
        </w:tc>
      </w:tr>
      <w:tr w14:paraId="75B3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094CC13D">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04403E35">
            <w:pPr>
              <w:jc w:val="left"/>
              <w:rPr>
                <w:sz w:val="18"/>
                <w:szCs w:val="18"/>
              </w:rPr>
            </w:pPr>
            <w:r>
              <w:rPr>
                <w:rFonts w:ascii="Arial" w:hAnsi="Arial" w:eastAsia="Arial" w:cs="Arial"/>
                <w:b/>
                <w:bCs/>
                <w:color w:val="1F3864"/>
                <w:sz w:val="18"/>
                <w:szCs w:val="18"/>
              </w:rPr>
              <w:t>Issue</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573DE1AC">
            <w:pPr>
              <w:jc w:val="left"/>
              <w:rPr>
                <w:sz w:val="18"/>
                <w:szCs w:val="18"/>
              </w:rPr>
            </w:pPr>
            <w:r>
              <w:rPr>
                <w:rFonts w:ascii="Arial" w:hAnsi="Arial" w:eastAsia="Arial" w:cs="Arial"/>
                <w:b w:val="0"/>
                <w:bCs w:val="0"/>
                <w:color w:val="333333"/>
                <w:sz w:val="18"/>
                <w:szCs w:val="18"/>
              </w:rPr>
              <w:t>TalentMatch AI has been trained on historically biased recruitment data in which 80% of senior hires were male. The system is actively shortlisting candidates for NorthStar's internal roles in a manner that systematically disadvantages female applicants.</w:t>
            </w:r>
          </w:p>
        </w:tc>
      </w:tr>
      <w:tr w14:paraId="7A110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63199AC5">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7D7AE6B6">
            <w:pPr>
              <w:jc w:val="left"/>
              <w:rPr>
                <w:sz w:val="18"/>
                <w:szCs w:val="18"/>
              </w:rPr>
            </w:pPr>
            <w:r>
              <w:rPr>
                <w:rFonts w:ascii="Arial" w:hAnsi="Arial" w:eastAsia="Arial" w:cs="Arial"/>
                <w:b/>
                <w:bCs/>
                <w:color w:val="1F3864"/>
                <w:sz w:val="18"/>
                <w:szCs w:val="18"/>
              </w:rPr>
              <w:t>Legal Breach</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4E97AB10">
            <w:pPr>
              <w:jc w:val="left"/>
              <w:rPr>
                <w:sz w:val="18"/>
                <w:szCs w:val="18"/>
              </w:rPr>
            </w:pPr>
            <w:r>
              <w:rPr>
                <w:rFonts w:ascii="Arial" w:hAnsi="Arial" w:eastAsia="Arial" w:cs="Arial"/>
                <w:b w:val="0"/>
                <w:bCs w:val="0"/>
                <w:color w:val="333333"/>
                <w:sz w:val="18"/>
                <w:szCs w:val="18"/>
              </w:rPr>
              <w:t>EU employment anti-discrimination law; Article 10 EU AI Act; Annex III Category 4(a)</w:t>
            </w:r>
          </w:p>
        </w:tc>
      </w:tr>
      <w:tr w14:paraId="3398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0D2C6ECC">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29AEA930">
            <w:pPr>
              <w:jc w:val="left"/>
              <w:rPr>
                <w:sz w:val="18"/>
                <w:szCs w:val="18"/>
              </w:rPr>
            </w:pPr>
            <w:r>
              <w:rPr>
                <w:rFonts w:ascii="Arial" w:hAnsi="Arial" w:eastAsia="Arial" w:cs="Arial"/>
                <w:b/>
                <w:bCs/>
                <w:color w:val="1F3864"/>
                <w:sz w:val="18"/>
                <w:szCs w:val="18"/>
              </w:rPr>
              <w:t>Regulatory Exposure</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73A7C9A0">
            <w:pPr>
              <w:jc w:val="left"/>
              <w:rPr>
                <w:sz w:val="18"/>
                <w:szCs w:val="18"/>
              </w:rPr>
            </w:pPr>
            <w:r>
              <w:rPr>
                <w:rFonts w:ascii="Arial" w:hAnsi="Arial" w:eastAsia="Arial" w:cs="Arial"/>
                <w:b/>
                <w:bCs/>
                <w:color w:val="C00000"/>
                <w:sz w:val="18"/>
                <w:szCs w:val="18"/>
              </w:rPr>
              <w:t>€30M fine plus employment tribunal liability for affected candidates</w:t>
            </w:r>
          </w:p>
        </w:tc>
      </w:tr>
      <w:tr w14:paraId="65A3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tcPr>
          <w:p w14:paraId="43307559">
            <w:pPr>
              <w:jc w:val="center"/>
              <w:rPr>
                <w:sz w:val="18"/>
                <w:szCs w:val="18"/>
              </w:rPr>
            </w:pPr>
            <w:r>
              <w:rPr>
                <w:rFonts w:ascii="Arial" w:hAnsi="Arial" w:eastAsia="Arial" w:cs="Arial"/>
                <w:b/>
                <w:bCs/>
                <w:color w:val="2E5F9E"/>
                <w:sz w:val="16"/>
                <w:szCs w:val="16"/>
              </w:rPr>
              <w:t>Required Action</w:t>
            </w:r>
          </w:p>
        </w:tc>
        <w:tc>
          <w:tcPr>
            <w:tcW w:w="8160" w:type="dxa"/>
            <w:gridSpan w:val="2"/>
            <w:tcBorders>
              <w:top w:val="single" w:color="AAAAAA" w:sz="2" w:space="0"/>
              <w:left w:val="single" w:color="AAAAAA" w:sz="2" w:space="0"/>
              <w:bottom w:val="single" w:color="AAAAAA" w:sz="2" w:space="0"/>
              <w:right w:val="single" w:color="AAAAAA" w:sz="2" w:space="0"/>
            </w:tcBorders>
            <w:shd w:val="clear" w:color="auto" w:fill="FFF8E8"/>
            <w:tcMar>
              <w:top w:w="80" w:type="dxa"/>
              <w:left w:w="140" w:type="dxa"/>
              <w:bottom w:w="80" w:type="dxa"/>
              <w:right w:w="140" w:type="dxa"/>
            </w:tcMar>
          </w:tcPr>
          <w:p w14:paraId="047C403B">
            <w:pPr>
              <w:rPr>
                <w:sz w:val="18"/>
                <w:szCs w:val="18"/>
              </w:rPr>
            </w:pPr>
            <w:r>
              <w:rPr>
                <w:rFonts w:ascii="Arial" w:hAnsi="Arial" w:eastAsia="Arial" w:cs="Arial"/>
                <w:b/>
                <w:bCs/>
                <w:color w:val="C00000"/>
                <w:sz w:val="18"/>
                <w:szCs w:val="18"/>
              </w:rPr>
              <w:t>SUSPEND TalentMatch from senior role shortlisting immediately. Commission independent bias audit within 30 days.</w:t>
            </w:r>
          </w:p>
        </w:tc>
      </w:tr>
    </w:tbl>
    <w:p w14:paraId="69B48BB9">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560"/>
        <w:gridCol w:w="3600"/>
      </w:tblGrid>
      <w:tr w14:paraId="0A91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AAAAAA" w:sz="2" w:space="0"/>
              <w:left w:val="single" w:color="AAAAAA" w:sz="2" w:space="0"/>
              <w:bottom w:val="single" w:color="AAAAAA" w:sz="2" w:space="0"/>
              <w:right w:val="single" w:color="AAAAAA" w:sz="2" w:space="0"/>
            </w:tcBorders>
            <w:shd w:val="clear" w:color="auto" w:fill="C00000"/>
            <w:tcMar>
              <w:top w:w="120" w:type="dxa"/>
              <w:left w:w="140" w:type="dxa"/>
              <w:bottom w:w="120" w:type="dxa"/>
              <w:right w:w="140" w:type="dxa"/>
            </w:tcMar>
            <w:vAlign w:val="center"/>
          </w:tcPr>
          <w:p w14:paraId="30810FD4">
            <w:pPr>
              <w:jc w:val="center"/>
              <w:rPr>
                <w:sz w:val="18"/>
                <w:szCs w:val="18"/>
              </w:rPr>
            </w:pPr>
            <w:r>
              <w:rPr>
                <w:rFonts w:ascii="Arial" w:hAnsi="Arial" w:eastAsia="Arial" w:cs="Arial"/>
                <w:b/>
                <w:bCs/>
                <w:color w:val="FFFFFF"/>
                <w:sz w:val="18"/>
                <w:szCs w:val="18"/>
              </w:rPr>
              <w:t>PRIORITY 2</w:t>
            </w:r>
          </w:p>
          <w:p w14:paraId="3D9758F6">
            <w:pPr>
              <w:jc w:val="center"/>
              <w:rPr>
                <w:sz w:val="18"/>
                <w:szCs w:val="18"/>
              </w:rPr>
            </w:pPr>
            <w:r>
              <w:rPr>
                <w:rFonts w:ascii="Arial" w:hAnsi="Arial" w:eastAsia="Arial" w:cs="Arial"/>
                <w:b/>
                <w:bCs/>
                <w:color w:val="FFFFFF"/>
                <w:sz w:val="24"/>
                <w:szCs w:val="24"/>
              </w:rPr>
              <w:t>25</w:t>
            </w:r>
          </w:p>
          <w:p w14:paraId="489D0899">
            <w:pPr>
              <w:jc w:val="center"/>
              <w:rPr>
                <w:sz w:val="18"/>
                <w:szCs w:val="18"/>
              </w:rPr>
            </w:pPr>
            <w:r>
              <w:rPr>
                <w:rFonts w:ascii="Arial" w:hAnsi="Arial" w:eastAsia="Arial" w:cs="Arial"/>
                <w:color w:val="FFFFFF"/>
                <w:sz w:val="15"/>
                <w:szCs w:val="15"/>
              </w:rPr>
              <w:t>out of 25</w:t>
            </w:r>
          </w:p>
        </w:tc>
        <w:tc>
          <w:tcPr>
            <w:tcW w:w="8160" w:type="dxa"/>
            <w:gridSpan w:val="2"/>
            <w:tcBorders>
              <w:top w:val="single" w:color="AAAAAA" w:sz="2" w:space="0"/>
              <w:left w:val="single" w:color="AAAAAA" w:sz="2" w:space="0"/>
              <w:bottom w:val="single" w:color="AAAAAA" w:sz="2" w:space="0"/>
              <w:right w:val="single" w:color="AAAAAA" w:sz="2" w:space="0"/>
            </w:tcBorders>
            <w:shd w:val="clear" w:color="auto" w:fill="1F3864"/>
            <w:tcMar>
              <w:top w:w="100" w:type="dxa"/>
              <w:left w:w="140" w:type="dxa"/>
              <w:bottom w:w="100" w:type="dxa"/>
              <w:right w:w="140" w:type="dxa"/>
            </w:tcMar>
          </w:tcPr>
          <w:p w14:paraId="6133A41B">
            <w:pPr>
              <w:rPr>
                <w:sz w:val="18"/>
                <w:szCs w:val="18"/>
              </w:rPr>
            </w:pPr>
            <w:r>
              <w:rPr>
                <w:rFonts w:ascii="Arial" w:hAnsi="Arial" w:eastAsia="Arial" w:cs="Arial"/>
                <w:b/>
                <w:bCs/>
                <w:color w:val="FFFFFF"/>
                <w:sz w:val="21"/>
                <w:szCs w:val="21"/>
              </w:rPr>
              <w:t>DocIntel Underwriting (NS-AI-006) — No Human Oversight</w:t>
            </w:r>
          </w:p>
        </w:tc>
      </w:tr>
      <w:tr w14:paraId="7FFE2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0E6DE923">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066BD3B9">
            <w:pPr>
              <w:jc w:val="left"/>
              <w:rPr>
                <w:sz w:val="18"/>
                <w:szCs w:val="18"/>
              </w:rPr>
            </w:pPr>
            <w:r>
              <w:rPr>
                <w:rFonts w:ascii="Arial" w:hAnsi="Arial" w:eastAsia="Arial" w:cs="Arial"/>
                <w:b/>
                <w:bCs/>
                <w:color w:val="1F3864"/>
                <w:sz w:val="18"/>
                <w:szCs w:val="18"/>
              </w:rPr>
              <w:t>Issue</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14BF5CC0">
            <w:pPr>
              <w:jc w:val="left"/>
              <w:rPr>
                <w:sz w:val="18"/>
                <w:szCs w:val="18"/>
              </w:rPr>
            </w:pPr>
            <w:r>
              <w:rPr>
                <w:rFonts w:ascii="Arial" w:hAnsi="Arial" w:eastAsia="Arial" w:cs="Arial"/>
                <w:b w:val="0"/>
                <w:bCs w:val="0"/>
                <w:color w:val="333333"/>
                <w:sz w:val="18"/>
                <w:szCs w:val="18"/>
              </w:rPr>
              <w:t>DocIntel Underwriting is processing insurance claim decisions in its pilot phase without mandatory human review. NorthStar's operations team has been auto-accepting AI decisions to improve processing speed, bypassing the oversight requirement.</w:t>
            </w:r>
          </w:p>
        </w:tc>
      </w:tr>
      <w:tr w14:paraId="5D3A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371EA13E">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6B2C645D">
            <w:pPr>
              <w:jc w:val="left"/>
              <w:rPr>
                <w:sz w:val="18"/>
                <w:szCs w:val="18"/>
              </w:rPr>
            </w:pPr>
            <w:r>
              <w:rPr>
                <w:rFonts w:ascii="Arial" w:hAnsi="Arial" w:eastAsia="Arial" w:cs="Arial"/>
                <w:b/>
                <w:bCs/>
                <w:color w:val="1F3864"/>
                <w:sz w:val="18"/>
                <w:szCs w:val="18"/>
              </w:rPr>
              <w:t>Legal Breach</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645015D6">
            <w:pPr>
              <w:jc w:val="left"/>
              <w:rPr>
                <w:sz w:val="18"/>
                <w:szCs w:val="18"/>
              </w:rPr>
            </w:pPr>
            <w:r>
              <w:rPr>
                <w:rFonts w:ascii="Arial" w:hAnsi="Arial" w:eastAsia="Arial" w:cs="Arial"/>
                <w:b w:val="0"/>
                <w:bCs w:val="0"/>
                <w:color w:val="333333"/>
                <w:sz w:val="18"/>
                <w:szCs w:val="18"/>
              </w:rPr>
              <w:t>Article 14 EU AI Act — mandatory human oversight for all High Risk AI systems</w:t>
            </w:r>
          </w:p>
        </w:tc>
      </w:tr>
      <w:tr w14:paraId="23E6C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16977456">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5F8101F8">
            <w:pPr>
              <w:jc w:val="left"/>
              <w:rPr>
                <w:sz w:val="18"/>
                <w:szCs w:val="18"/>
              </w:rPr>
            </w:pPr>
            <w:r>
              <w:rPr>
                <w:rFonts w:ascii="Arial" w:hAnsi="Arial" w:eastAsia="Arial" w:cs="Arial"/>
                <w:b/>
                <w:bCs/>
                <w:color w:val="1F3864"/>
                <w:sz w:val="18"/>
                <w:szCs w:val="18"/>
              </w:rPr>
              <w:t>Regulatory Exposure</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6FCBB37D">
            <w:pPr>
              <w:jc w:val="left"/>
              <w:rPr>
                <w:sz w:val="18"/>
                <w:szCs w:val="18"/>
              </w:rPr>
            </w:pPr>
            <w:r>
              <w:rPr>
                <w:rFonts w:ascii="Arial" w:hAnsi="Arial" w:eastAsia="Arial" w:cs="Arial"/>
                <w:b/>
                <w:bCs/>
                <w:color w:val="C00000"/>
                <w:sz w:val="18"/>
                <w:szCs w:val="18"/>
              </w:rPr>
              <w:t>€30M fine. Invalid insurance decisions creating customer liability and contract exposure</w:t>
            </w:r>
          </w:p>
        </w:tc>
      </w:tr>
      <w:tr w14:paraId="4F7A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tcPr>
          <w:p w14:paraId="7AE8326D">
            <w:pPr>
              <w:jc w:val="center"/>
              <w:rPr>
                <w:sz w:val="18"/>
                <w:szCs w:val="18"/>
              </w:rPr>
            </w:pPr>
            <w:r>
              <w:rPr>
                <w:rFonts w:ascii="Arial" w:hAnsi="Arial" w:eastAsia="Arial" w:cs="Arial"/>
                <w:b/>
                <w:bCs/>
                <w:color w:val="2E5F9E"/>
                <w:sz w:val="16"/>
                <w:szCs w:val="16"/>
              </w:rPr>
              <w:t>Required Action</w:t>
            </w:r>
          </w:p>
        </w:tc>
        <w:tc>
          <w:tcPr>
            <w:tcW w:w="8160" w:type="dxa"/>
            <w:gridSpan w:val="2"/>
            <w:tcBorders>
              <w:top w:val="single" w:color="AAAAAA" w:sz="2" w:space="0"/>
              <w:left w:val="single" w:color="AAAAAA" w:sz="2" w:space="0"/>
              <w:bottom w:val="single" w:color="AAAAAA" w:sz="2" w:space="0"/>
              <w:right w:val="single" w:color="AAAAAA" w:sz="2" w:space="0"/>
            </w:tcBorders>
            <w:shd w:val="clear" w:color="auto" w:fill="FFF8E8"/>
            <w:tcMar>
              <w:top w:w="80" w:type="dxa"/>
              <w:left w:w="140" w:type="dxa"/>
              <w:bottom w:w="80" w:type="dxa"/>
              <w:right w:w="140" w:type="dxa"/>
            </w:tcMar>
          </w:tcPr>
          <w:p w14:paraId="7123D197">
            <w:pPr>
              <w:rPr>
                <w:sz w:val="18"/>
                <w:szCs w:val="18"/>
              </w:rPr>
            </w:pPr>
            <w:r>
              <w:rPr>
                <w:rFonts w:ascii="Arial" w:hAnsi="Arial" w:eastAsia="Arial" w:cs="Arial"/>
                <w:b/>
                <w:bCs/>
                <w:color w:val="C00000"/>
                <w:sz w:val="18"/>
                <w:szCs w:val="18"/>
              </w:rPr>
              <w:t>ENFORCE mandatory human review gate for all DocIntel decisions immediately. No claim approved without underwriter sign-off.</w:t>
            </w:r>
          </w:p>
        </w:tc>
      </w:tr>
    </w:tbl>
    <w:p w14:paraId="1CF66536">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560"/>
        <w:gridCol w:w="3600"/>
      </w:tblGrid>
      <w:tr w14:paraId="1327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vMerge w:val="restart"/>
            <w:tcBorders>
              <w:top w:val="single" w:color="AAAAAA" w:sz="2" w:space="0"/>
              <w:left w:val="single" w:color="AAAAAA" w:sz="2" w:space="0"/>
              <w:bottom w:val="single" w:color="AAAAAA" w:sz="2" w:space="0"/>
              <w:right w:val="single" w:color="AAAAAA" w:sz="2" w:space="0"/>
            </w:tcBorders>
            <w:shd w:val="clear" w:color="auto" w:fill="7F6000"/>
            <w:tcMar>
              <w:top w:w="120" w:type="dxa"/>
              <w:left w:w="140" w:type="dxa"/>
              <w:bottom w:w="120" w:type="dxa"/>
              <w:right w:w="140" w:type="dxa"/>
            </w:tcMar>
            <w:vAlign w:val="center"/>
          </w:tcPr>
          <w:p w14:paraId="0D9D05AF">
            <w:pPr>
              <w:jc w:val="center"/>
              <w:rPr>
                <w:sz w:val="18"/>
                <w:szCs w:val="18"/>
              </w:rPr>
            </w:pPr>
            <w:r>
              <w:rPr>
                <w:rFonts w:ascii="Arial" w:hAnsi="Arial" w:eastAsia="Arial" w:cs="Arial"/>
                <w:b/>
                <w:bCs/>
                <w:color w:val="FFFFFF"/>
                <w:sz w:val="18"/>
                <w:szCs w:val="18"/>
              </w:rPr>
              <w:t>PRIORITY 3</w:t>
            </w:r>
          </w:p>
          <w:p w14:paraId="2397077E">
            <w:pPr>
              <w:jc w:val="center"/>
              <w:rPr>
                <w:sz w:val="18"/>
                <w:szCs w:val="18"/>
              </w:rPr>
            </w:pPr>
            <w:r>
              <w:rPr>
                <w:rFonts w:ascii="Arial" w:hAnsi="Arial" w:eastAsia="Arial" w:cs="Arial"/>
                <w:b/>
                <w:bCs/>
                <w:color w:val="FFFFFF"/>
                <w:sz w:val="24"/>
                <w:szCs w:val="24"/>
              </w:rPr>
              <w:t>20</w:t>
            </w:r>
          </w:p>
          <w:p w14:paraId="1DE43D7F">
            <w:pPr>
              <w:jc w:val="center"/>
              <w:rPr>
                <w:sz w:val="18"/>
                <w:szCs w:val="18"/>
              </w:rPr>
            </w:pPr>
            <w:r>
              <w:rPr>
                <w:rFonts w:ascii="Arial" w:hAnsi="Arial" w:eastAsia="Arial" w:cs="Arial"/>
                <w:color w:val="FFFFFF"/>
                <w:sz w:val="15"/>
                <w:szCs w:val="15"/>
              </w:rPr>
              <w:t>out of 25</w:t>
            </w:r>
          </w:p>
        </w:tc>
        <w:tc>
          <w:tcPr>
            <w:tcW w:w="8160" w:type="dxa"/>
            <w:gridSpan w:val="2"/>
            <w:tcBorders>
              <w:top w:val="single" w:color="AAAAAA" w:sz="2" w:space="0"/>
              <w:left w:val="single" w:color="AAAAAA" w:sz="2" w:space="0"/>
              <w:bottom w:val="single" w:color="AAAAAA" w:sz="2" w:space="0"/>
              <w:right w:val="single" w:color="AAAAAA" w:sz="2" w:space="0"/>
            </w:tcBorders>
            <w:shd w:val="clear" w:color="auto" w:fill="1F3864"/>
            <w:tcMar>
              <w:top w:w="100" w:type="dxa"/>
              <w:left w:w="140" w:type="dxa"/>
              <w:bottom w:w="100" w:type="dxa"/>
              <w:right w:w="140" w:type="dxa"/>
            </w:tcMar>
          </w:tcPr>
          <w:p w14:paraId="0C2DF376">
            <w:pPr>
              <w:rPr>
                <w:sz w:val="18"/>
                <w:szCs w:val="18"/>
              </w:rPr>
            </w:pPr>
            <w:r>
              <w:rPr>
                <w:rFonts w:ascii="Arial" w:hAnsi="Arial" w:eastAsia="Arial" w:cs="Arial"/>
                <w:b/>
                <w:bCs/>
                <w:color w:val="FFFFFF"/>
                <w:sz w:val="21"/>
                <w:szCs w:val="21"/>
              </w:rPr>
              <w:t>CreditScore Pro (NS-AI-001) — Unexplained Lending Decisions</w:t>
            </w:r>
          </w:p>
        </w:tc>
      </w:tr>
      <w:tr w14:paraId="05370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2DFC5FCA">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18DAD58D">
            <w:pPr>
              <w:jc w:val="left"/>
              <w:rPr>
                <w:sz w:val="18"/>
                <w:szCs w:val="18"/>
              </w:rPr>
            </w:pPr>
            <w:r>
              <w:rPr>
                <w:rFonts w:ascii="Arial" w:hAnsi="Arial" w:eastAsia="Arial" w:cs="Arial"/>
                <w:b/>
                <w:bCs/>
                <w:color w:val="1F3864"/>
                <w:sz w:val="18"/>
                <w:szCs w:val="18"/>
              </w:rPr>
              <w:t>Issue</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3F74B511">
            <w:pPr>
              <w:jc w:val="left"/>
              <w:rPr>
                <w:sz w:val="18"/>
                <w:szCs w:val="18"/>
              </w:rPr>
            </w:pPr>
            <w:r>
              <w:rPr>
                <w:rFonts w:ascii="Arial" w:hAnsi="Arial" w:eastAsia="Arial" w:cs="Arial"/>
                <w:b w:val="0"/>
                <w:bCs w:val="0"/>
                <w:color w:val="333333"/>
                <w:sz w:val="18"/>
                <w:szCs w:val="18"/>
              </w:rPr>
              <w:t>CreditScore Pro operates as a black-box model. NorthStar cannot provide applicants with a meaningful explanation of why their loan application was rejected, breaching transparency obligations under EU law.</w:t>
            </w:r>
          </w:p>
        </w:tc>
      </w:tr>
      <w:tr w14:paraId="203D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3C34F25D">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5FB7CE58">
            <w:pPr>
              <w:jc w:val="left"/>
              <w:rPr>
                <w:sz w:val="18"/>
                <w:szCs w:val="18"/>
              </w:rPr>
            </w:pPr>
            <w:r>
              <w:rPr>
                <w:rFonts w:ascii="Arial" w:hAnsi="Arial" w:eastAsia="Arial" w:cs="Arial"/>
                <w:b/>
                <w:bCs/>
                <w:color w:val="1F3864"/>
                <w:sz w:val="18"/>
                <w:szCs w:val="18"/>
              </w:rPr>
              <w:t>Legal Breach</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22DF0C7A">
            <w:pPr>
              <w:jc w:val="left"/>
              <w:rPr>
                <w:sz w:val="18"/>
                <w:szCs w:val="18"/>
              </w:rPr>
            </w:pPr>
            <w:r>
              <w:rPr>
                <w:rFonts w:ascii="Arial" w:hAnsi="Arial" w:eastAsia="Arial" w:cs="Arial"/>
                <w:b w:val="0"/>
                <w:bCs w:val="0"/>
                <w:color w:val="333333"/>
                <w:sz w:val="18"/>
                <w:szCs w:val="18"/>
              </w:rPr>
              <w:t>Article 13 EU AI Act — transparency; GDPR Article 22 — right to explanation for automated decisions</w:t>
            </w:r>
          </w:p>
        </w:tc>
      </w:tr>
      <w:tr w14:paraId="7796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vMerge w:val="continue"/>
            <w:tcBorders>
              <w:top w:val="single" w:color="AAAAAA" w:sz="2" w:space="0"/>
              <w:left w:val="single" w:color="AAAAAA" w:sz="2" w:space="0"/>
              <w:bottom w:val="single" w:color="AAAAAA" w:sz="2" w:space="0"/>
              <w:right w:val="single" w:color="AAAAAA" w:sz="2" w:space="0"/>
            </w:tcBorders>
          </w:tcPr>
          <w:p w14:paraId="36AE1141">
            <w:pPr>
              <w:rPr>
                <w:sz w:val="18"/>
                <w:szCs w:val="18"/>
              </w:rPr>
            </w:pPr>
          </w:p>
        </w:tc>
        <w:tc>
          <w:tcPr>
            <w:tcW w:w="4560" w:type="dxa"/>
            <w:tcBorders>
              <w:top w:val="single" w:color="AAAAAA" w:sz="2" w:space="0"/>
              <w:left w:val="single" w:color="AAAAAA" w:sz="2" w:space="0"/>
              <w:bottom w:val="single" w:color="AAAAAA" w:sz="2" w:space="0"/>
              <w:right w:val="single" w:color="AAAAAA" w:sz="2" w:space="0"/>
            </w:tcBorders>
            <w:shd w:val="clear" w:color="auto" w:fill="D6E4F7"/>
            <w:tcMar>
              <w:top w:w="80" w:type="dxa"/>
              <w:left w:w="140" w:type="dxa"/>
              <w:bottom w:w="80" w:type="dxa"/>
              <w:right w:w="140" w:type="dxa"/>
            </w:tcMar>
            <w:vAlign w:val="center"/>
          </w:tcPr>
          <w:p w14:paraId="2034A72F">
            <w:pPr>
              <w:jc w:val="left"/>
              <w:rPr>
                <w:sz w:val="18"/>
                <w:szCs w:val="18"/>
              </w:rPr>
            </w:pPr>
            <w:r>
              <w:rPr>
                <w:rFonts w:ascii="Arial" w:hAnsi="Arial" w:eastAsia="Arial" w:cs="Arial"/>
                <w:b/>
                <w:bCs/>
                <w:color w:val="1F3864"/>
                <w:sz w:val="18"/>
                <w:szCs w:val="18"/>
              </w:rPr>
              <w:t>Regulatory Exposure</w:t>
            </w:r>
          </w:p>
        </w:tc>
        <w:tc>
          <w:tcPr>
            <w:tcW w:w="36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vAlign w:val="center"/>
          </w:tcPr>
          <w:p w14:paraId="18D867CB">
            <w:pPr>
              <w:jc w:val="left"/>
              <w:rPr>
                <w:sz w:val="18"/>
                <w:szCs w:val="18"/>
              </w:rPr>
            </w:pPr>
            <w:r>
              <w:rPr>
                <w:rFonts w:ascii="Arial" w:hAnsi="Arial" w:eastAsia="Arial" w:cs="Arial"/>
                <w:b/>
                <w:bCs/>
                <w:color w:val="C00000"/>
                <w:sz w:val="18"/>
                <w:szCs w:val="18"/>
              </w:rPr>
              <w:t>GDPR fine up to €20M plus EU AI Act enforcement action and reputational damage</w:t>
            </w:r>
          </w:p>
        </w:tc>
      </w:tr>
      <w:tr w14:paraId="1B735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2" w:space="0"/>
              <w:left w:val="single" w:color="AAAAAA" w:sz="2" w:space="0"/>
              <w:bottom w:val="single" w:color="AAAAAA" w:sz="2" w:space="0"/>
              <w:right w:val="single" w:color="AAAAAA" w:sz="2" w:space="0"/>
            </w:tcBorders>
            <w:shd w:val="clear" w:color="auto" w:fill="FFFFFF"/>
            <w:tcMar>
              <w:top w:w="80" w:type="dxa"/>
              <w:left w:w="140" w:type="dxa"/>
              <w:bottom w:w="80" w:type="dxa"/>
              <w:right w:w="140" w:type="dxa"/>
            </w:tcMar>
          </w:tcPr>
          <w:p w14:paraId="15354298">
            <w:pPr>
              <w:jc w:val="center"/>
              <w:rPr>
                <w:sz w:val="18"/>
                <w:szCs w:val="18"/>
              </w:rPr>
            </w:pPr>
            <w:r>
              <w:rPr>
                <w:rFonts w:ascii="Arial" w:hAnsi="Arial" w:eastAsia="Arial" w:cs="Arial"/>
                <w:b/>
                <w:bCs/>
                <w:color w:val="2E5F9E"/>
                <w:sz w:val="16"/>
                <w:szCs w:val="16"/>
              </w:rPr>
              <w:t>Required Action</w:t>
            </w:r>
          </w:p>
        </w:tc>
        <w:tc>
          <w:tcPr>
            <w:tcW w:w="8160" w:type="dxa"/>
            <w:gridSpan w:val="2"/>
            <w:tcBorders>
              <w:top w:val="single" w:color="AAAAAA" w:sz="2" w:space="0"/>
              <w:left w:val="single" w:color="AAAAAA" w:sz="2" w:space="0"/>
              <w:bottom w:val="single" w:color="AAAAAA" w:sz="2" w:space="0"/>
              <w:right w:val="single" w:color="AAAAAA" w:sz="2" w:space="0"/>
            </w:tcBorders>
            <w:shd w:val="clear" w:color="auto" w:fill="FFF8E8"/>
            <w:tcMar>
              <w:top w:w="80" w:type="dxa"/>
              <w:left w:w="140" w:type="dxa"/>
              <w:bottom w:w="80" w:type="dxa"/>
              <w:right w:w="140" w:type="dxa"/>
            </w:tcMar>
          </w:tcPr>
          <w:p w14:paraId="44899A9D">
            <w:pPr>
              <w:rPr>
                <w:sz w:val="18"/>
                <w:szCs w:val="18"/>
              </w:rPr>
            </w:pPr>
            <w:r>
              <w:rPr>
                <w:rFonts w:ascii="Arial" w:hAnsi="Arial" w:eastAsia="Arial" w:cs="Arial"/>
                <w:b/>
                <w:bCs/>
                <w:color w:val="C00000"/>
                <w:sz w:val="18"/>
                <w:szCs w:val="18"/>
              </w:rPr>
              <w:t>INTEGRATE SHAP explainability layer into CreditScore Pro within 60 days. Establish customer explanation process.</w:t>
            </w:r>
          </w:p>
        </w:tc>
      </w:tr>
    </w:tbl>
    <w:p w14:paraId="41C16C3D">
      <w:pPr>
        <w:spacing w:before="120" w:after="120"/>
      </w:pPr>
    </w:p>
    <w:p w14:paraId="35044870">
      <w:pPr>
        <w:pBdr>
          <w:bottom w:val="single" w:color="2E5F9E" w:sz="4" w:space="0"/>
        </w:pBdr>
        <w:spacing w:before="280" w:after="120"/>
      </w:pPr>
      <w:r>
        <w:rPr>
          <w:rFonts w:ascii="Arial" w:hAnsi="Arial" w:eastAsia="Arial" w:cs="Arial"/>
          <w:b/>
          <w:bCs/>
          <w:color w:val="1F3864"/>
          <w:sz w:val="28"/>
          <w:szCs w:val="28"/>
        </w:rPr>
        <w:t>RECOMMENDED ACTIONS</w:t>
      </w:r>
    </w:p>
    <w:p w14:paraId="18D20130">
      <w:pPr>
        <w:spacing w:before="200" w:after="80"/>
      </w:pPr>
      <w:r>
        <w:rPr>
          <w:rFonts w:ascii="Arial" w:hAnsi="Arial" w:eastAsia="Arial" w:cs="Arial"/>
          <w:b/>
          <w:bCs/>
          <w:color w:val="2E5F9E"/>
          <w:sz w:val="24"/>
          <w:szCs w:val="24"/>
        </w:rPr>
        <w:t>Immediate Actions — Required Within 30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5760"/>
        <w:gridCol w:w="1800"/>
        <w:gridCol w:w="1400"/>
      </w:tblGrid>
      <w:tr w14:paraId="3373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80" w:type="dxa"/>
              <w:bottom w:w="80" w:type="dxa"/>
              <w:right w:w="80" w:type="dxa"/>
            </w:tcMar>
          </w:tcPr>
          <w:p w14:paraId="2D0C11CD">
            <w:pPr>
              <w:jc w:val="center"/>
            </w:pPr>
            <w:r>
              <w:rPr>
                <w:rFonts w:ascii="Arial" w:hAnsi="Arial" w:eastAsia="Arial" w:cs="Arial"/>
                <w:b/>
                <w:bCs/>
                <w:color w:val="FFFFFF"/>
                <w:sz w:val="20"/>
                <w:szCs w:val="20"/>
              </w:rPr>
              <w:t>#</w:t>
            </w:r>
          </w:p>
        </w:tc>
        <w:tc>
          <w:tcPr>
            <w:tcW w:w="5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74B0E95B">
            <w:r>
              <w:rPr>
                <w:rFonts w:ascii="Arial" w:hAnsi="Arial" w:eastAsia="Arial" w:cs="Arial"/>
                <w:b/>
                <w:bCs/>
                <w:color w:val="FFFFFF"/>
                <w:sz w:val="20"/>
                <w:szCs w:val="20"/>
              </w:rPr>
              <w:t>Required Action</w:t>
            </w:r>
          </w:p>
        </w:tc>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6B1D88F3">
            <w:pPr>
              <w:jc w:val="center"/>
            </w:pPr>
            <w:r>
              <w:rPr>
                <w:rFonts w:ascii="Arial" w:hAnsi="Arial" w:eastAsia="Arial" w:cs="Arial"/>
                <w:b/>
                <w:bCs/>
                <w:color w:val="FFFFFF"/>
                <w:sz w:val="20"/>
                <w:szCs w:val="20"/>
              </w:rPr>
              <w:t>Owner</w:t>
            </w:r>
          </w:p>
        </w:tc>
        <w:tc>
          <w:tcPr>
            <w:tcW w:w="1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80" w:type="dxa"/>
              <w:bottom w:w="80" w:type="dxa"/>
              <w:right w:w="80" w:type="dxa"/>
            </w:tcMar>
          </w:tcPr>
          <w:p w14:paraId="0D0FAF7D">
            <w:pPr>
              <w:jc w:val="center"/>
            </w:pPr>
            <w:r>
              <w:rPr>
                <w:rFonts w:ascii="Arial" w:hAnsi="Arial" w:eastAsia="Arial" w:cs="Arial"/>
                <w:b/>
                <w:bCs/>
                <w:color w:val="FFFFFF"/>
                <w:sz w:val="20"/>
                <w:szCs w:val="20"/>
              </w:rPr>
              <w:t>Deadline</w:t>
            </w:r>
          </w:p>
        </w:tc>
      </w:tr>
      <w:tr w14:paraId="1165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026B103A">
            <w:pPr>
              <w:jc w:val="center"/>
            </w:pPr>
            <w:r>
              <w:rPr>
                <w:rFonts w:ascii="Arial" w:hAnsi="Arial" w:eastAsia="Arial" w:cs="Arial"/>
                <w:b/>
                <w:bCs/>
                <w:color w:val="2E5F9E"/>
                <w:sz w:val="18"/>
                <w:szCs w:val="18"/>
              </w:rPr>
              <w:t>1</w:t>
            </w:r>
          </w:p>
        </w:tc>
        <w:tc>
          <w:tcPr>
            <w:tcW w:w="576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4178197B">
            <w:pPr>
              <w:jc w:val="left"/>
            </w:pPr>
            <w:r>
              <w:rPr>
                <w:rFonts w:ascii="Arial" w:hAnsi="Arial" w:eastAsia="Arial" w:cs="Arial"/>
                <w:b w:val="0"/>
                <w:bCs w:val="0"/>
                <w:color w:val="333333"/>
                <w:sz w:val="18"/>
                <w:szCs w:val="18"/>
              </w:rPr>
              <w:t>SUSPEND TalentMatch AI from senior role shortlisting pending independent bias audit</w:t>
            </w:r>
          </w:p>
        </w:tc>
        <w:tc>
          <w:tcPr>
            <w:tcW w:w="18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60323100">
            <w:pPr>
              <w:jc w:val="left"/>
            </w:pPr>
            <w:r>
              <w:rPr>
                <w:rFonts w:ascii="Arial" w:hAnsi="Arial" w:eastAsia="Arial" w:cs="Arial"/>
                <w:b w:val="0"/>
                <w:bCs w:val="0"/>
                <w:color w:val="333333"/>
                <w:sz w:val="18"/>
                <w:szCs w:val="18"/>
              </w:rPr>
              <w:t>Chief People Officer</w:t>
            </w:r>
          </w:p>
        </w:tc>
        <w:tc>
          <w:tcPr>
            <w:tcW w:w="1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14207B04">
            <w:pPr>
              <w:jc w:val="center"/>
            </w:pPr>
            <w:r>
              <w:rPr>
                <w:rFonts w:ascii="Arial" w:hAnsi="Arial" w:eastAsia="Arial" w:cs="Arial"/>
                <w:b/>
                <w:bCs/>
                <w:color w:val="C00000"/>
                <w:sz w:val="18"/>
                <w:szCs w:val="18"/>
              </w:rPr>
              <w:t>IMMEDIATE</w:t>
            </w:r>
          </w:p>
        </w:tc>
      </w:tr>
      <w:tr w14:paraId="7D29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AACAF8">
            <w:pPr>
              <w:jc w:val="center"/>
            </w:pPr>
            <w:r>
              <w:rPr>
                <w:rFonts w:ascii="Arial" w:hAnsi="Arial" w:eastAsia="Arial" w:cs="Arial"/>
                <w:b/>
                <w:bCs/>
                <w:color w:val="2E5F9E"/>
                <w:sz w:val="18"/>
                <w:szCs w:val="18"/>
              </w:rPr>
              <w:t>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71CD09">
            <w:pPr>
              <w:jc w:val="left"/>
            </w:pPr>
            <w:r>
              <w:rPr>
                <w:rFonts w:ascii="Arial" w:hAnsi="Arial" w:eastAsia="Arial" w:cs="Arial"/>
                <w:b w:val="0"/>
                <w:bCs w:val="0"/>
                <w:color w:val="333333"/>
                <w:sz w:val="18"/>
                <w:szCs w:val="18"/>
              </w:rPr>
              <w:t>ENFORCE human review gate for all DocIntel Underwriting Accept decisions. No exceptions permitted.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B0E4EBD">
            <w:pPr>
              <w:jc w:val="left"/>
            </w:pPr>
            <w:r>
              <w:rPr>
                <w:rFonts w:ascii="Arial" w:hAnsi="Arial" w:eastAsia="Arial" w:cs="Arial"/>
                <w:b w:val="0"/>
                <w:bCs w:val="0"/>
                <w:color w:val="333333"/>
                <w:sz w:val="18"/>
                <w:szCs w:val="18"/>
              </w:rPr>
              <w:t>Chief Operations Officer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38C64C">
            <w:pPr>
              <w:jc w:val="center"/>
            </w:pPr>
            <w:r>
              <w:rPr>
                <w:rFonts w:ascii="Arial" w:hAnsi="Arial" w:eastAsia="Arial" w:cs="Arial"/>
                <w:b/>
                <w:bCs/>
                <w:color w:val="C00000"/>
                <w:sz w:val="18"/>
                <w:szCs w:val="18"/>
              </w:rPr>
              <w:t>IMMEDIATE</w:t>
            </w:r>
          </w:p>
        </w:tc>
      </w:tr>
      <w:tr w14:paraId="1636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1D5CE7C7">
            <w:pPr>
              <w:jc w:val="center"/>
            </w:pPr>
            <w:r>
              <w:rPr>
                <w:rFonts w:ascii="Arial" w:hAnsi="Arial" w:eastAsia="Arial" w:cs="Arial"/>
                <w:b/>
                <w:bCs/>
                <w:color w:val="2E5F9E"/>
                <w:sz w:val="18"/>
                <w:szCs w:val="18"/>
              </w:rPr>
              <w:t>3</w:t>
            </w:r>
          </w:p>
        </w:tc>
        <w:tc>
          <w:tcPr>
            <w:tcW w:w="576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77ABFE6F">
            <w:pPr>
              <w:jc w:val="left"/>
            </w:pPr>
            <w:r>
              <w:rPr>
                <w:rFonts w:ascii="Arial" w:hAnsi="Arial" w:eastAsia="Arial" w:cs="Arial"/>
                <w:b w:val="0"/>
                <w:bCs w:val="0"/>
                <w:color w:val="333333"/>
                <w:sz w:val="18"/>
                <w:szCs w:val="18"/>
              </w:rPr>
              <w:t>COMMISSION SHAP explainability integration for CreditScore Pro and establish customer explanation process</w:t>
            </w:r>
          </w:p>
        </w:tc>
        <w:tc>
          <w:tcPr>
            <w:tcW w:w="18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32662C27">
            <w:pPr>
              <w:jc w:val="left"/>
            </w:pPr>
            <w:r>
              <w:rPr>
                <w:rFonts w:ascii="Arial" w:hAnsi="Arial" w:eastAsia="Arial" w:cs="Arial"/>
                <w:b w:val="0"/>
                <w:bCs w:val="0"/>
                <w:color w:val="333333"/>
                <w:sz w:val="18"/>
                <w:szCs w:val="18"/>
              </w:rPr>
              <w:t>Chief Compliance Officer</w:t>
            </w:r>
          </w:p>
        </w:tc>
        <w:tc>
          <w:tcPr>
            <w:tcW w:w="1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0FBA207B">
            <w:pPr>
              <w:jc w:val="center"/>
            </w:pPr>
            <w:r>
              <w:rPr>
                <w:rFonts w:ascii="Arial" w:hAnsi="Arial" w:eastAsia="Arial" w:cs="Arial"/>
                <w:b/>
                <w:bCs/>
                <w:color w:val="7F6000"/>
                <w:sz w:val="18"/>
                <w:szCs w:val="18"/>
              </w:rPr>
              <w:t>60 DAYS</w:t>
            </w:r>
          </w:p>
        </w:tc>
      </w:tr>
    </w:tbl>
    <w:p w14:paraId="07A84B05">
      <w:pPr>
        <w:spacing w:before="120" w:after="120"/>
      </w:pPr>
    </w:p>
    <w:p w14:paraId="4C97FB4A">
      <w:pPr>
        <w:spacing w:before="200" w:after="80"/>
      </w:pPr>
      <w:r>
        <w:rPr>
          <w:rFonts w:ascii="Arial" w:hAnsi="Arial" w:eastAsia="Arial" w:cs="Arial"/>
          <w:b/>
          <w:bCs/>
          <w:color w:val="2E5F9E"/>
          <w:sz w:val="24"/>
          <w:szCs w:val="24"/>
        </w:rPr>
        <w:t>Follow-On Actions — Required Within 90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5760"/>
        <w:gridCol w:w="1800"/>
        <w:gridCol w:w="1400"/>
      </w:tblGrid>
      <w:tr w14:paraId="2833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7326F857">
            <w:pPr>
              <w:jc w:val="center"/>
            </w:pPr>
            <w:r>
              <w:rPr>
                <w:rFonts w:ascii="Arial" w:hAnsi="Arial" w:eastAsia="Arial" w:cs="Arial"/>
                <w:b/>
                <w:bCs/>
                <w:color w:val="2E5F9E"/>
                <w:sz w:val="18"/>
                <w:szCs w:val="18"/>
              </w:rPr>
              <w:t>4</w:t>
            </w:r>
          </w:p>
        </w:tc>
        <w:tc>
          <w:tcPr>
            <w:tcW w:w="576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1DFF293B">
            <w:pPr>
              <w:jc w:val="left"/>
            </w:pPr>
            <w:r>
              <w:rPr>
                <w:rFonts w:ascii="Arial" w:hAnsi="Arial" w:eastAsia="Arial" w:cs="Arial"/>
                <w:b w:val="0"/>
                <w:bCs w:val="0"/>
                <w:color w:val="333333"/>
                <w:sz w:val="18"/>
                <w:szCs w:val="18"/>
              </w:rPr>
              <w:t>Complete TalentMatch bias audit and present full findings to board</w:t>
            </w:r>
          </w:p>
        </w:tc>
        <w:tc>
          <w:tcPr>
            <w:tcW w:w="18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2C95ACA8">
            <w:pPr>
              <w:jc w:val="left"/>
            </w:pPr>
            <w:r>
              <w:rPr>
                <w:rFonts w:ascii="Arial" w:hAnsi="Arial" w:eastAsia="Arial" w:cs="Arial"/>
                <w:b w:val="0"/>
                <w:bCs w:val="0"/>
                <w:color w:val="333333"/>
                <w:sz w:val="18"/>
                <w:szCs w:val="18"/>
              </w:rPr>
              <w:t>Chief People Officer</w:t>
            </w:r>
          </w:p>
        </w:tc>
        <w:tc>
          <w:tcPr>
            <w:tcW w:w="1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1AAE51A4">
            <w:pPr>
              <w:jc w:val="center"/>
            </w:pPr>
            <w:r>
              <w:rPr>
                <w:rFonts w:ascii="Arial" w:hAnsi="Arial" w:eastAsia="Arial" w:cs="Arial"/>
                <w:b/>
                <w:bCs/>
                <w:color w:val="7F6000"/>
                <w:sz w:val="18"/>
                <w:szCs w:val="18"/>
              </w:rPr>
              <w:t>60 DAYS</w:t>
            </w:r>
          </w:p>
        </w:tc>
      </w:tr>
      <w:tr w14:paraId="7A09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079D17">
            <w:pPr>
              <w:jc w:val="center"/>
            </w:pPr>
            <w:r>
              <w:rPr>
                <w:rFonts w:ascii="Arial" w:hAnsi="Arial" w:eastAsia="Arial" w:cs="Arial"/>
                <w:b/>
                <w:bCs/>
                <w:color w:val="2E5F9E"/>
                <w:sz w:val="18"/>
                <w:szCs w:val="18"/>
              </w:rPr>
              <w:t>5</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3EFF08">
            <w:pPr>
              <w:jc w:val="left"/>
            </w:pPr>
            <w:r>
              <w:rPr>
                <w:rFonts w:ascii="Arial" w:hAnsi="Arial" w:eastAsia="Arial" w:cs="Arial"/>
                <w:b w:val="0"/>
                <w:bCs w:val="0"/>
                <w:color w:val="333333"/>
                <w:sz w:val="18"/>
                <w:szCs w:val="18"/>
              </w:rPr>
              <w:t>Implement CreditScore Pro demographic approval rate monitoring dashboard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0B6965">
            <w:pPr>
              <w:jc w:val="left"/>
            </w:pPr>
            <w:r>
              <w:rPr>
                <w:rFonts w:ascii="Arial" w:hAnsi="Arial" w:eastAsia="Arial" w:cs="Arial"/>
                <w:b w:val="0"/>
                <w:bCs w:val="0"/>
                <w:color w:val="333333"/>
                <w:sz w:val="18"/>
                <w:szCs w:val="18"/>
              </w:rPr>
              <w:t>Chief Risk Officer</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423896">
            <w:pPr>
              <w:jc w:val="center"/>
            </w:pPr>
            <w:r>
              <w:rPr>
                <w:rFonts w:ascii="Arial" w:hAnsi="Arial" w:eastAsia="Arial" w:cs="Arial"/>
                <w:b/>
                <w:bCs/>
                <w:color w:val="7F6000"/>
                <w:sz w:val="18"/>
                <w:szCs w:val="18"/>
              </w:rPr>
              <w:t>90 DAYS</w:t>
            </w:r>
          </w:p>
        </w:tc>
      </w:tr>
      <w:tr w14:paraId="0F8E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6A96B74F">
            <w:pPr>
              <w:jc w:val="center"/>
            </w:pPr>
            <w:r>
              <w:rPr>
                <w:rFonts w:ascii="Arial" w:hAnsi="Arial" w:eastAsia="Arial" w:cs="Arial"/>
                <w:b/>
                <w:bCs/>
                <w:color w:val="2E5F9E"/>
                <w:sz w:val="18"/>
                <w:szCs w:val="18"/>
              </w:rPr>
              <w:t>6</w:t>
            </w:r>
          </w:p>
        </w:tc>
        <w:tc>
          <w:tcPr>
            <w:tcW w:w="576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0381D606">
            <w:pPr>
              <w:jc w:val="left"/>
            </w:pPr>
            <w:r>
              <w:rPr>
                <w:rFonts w:ascii="Arial" w:hAnsi="Arial" w:eastAsia="Arial" w:cs="Arial"/>
                <w:b w:val="0"/>
                <w:bCs w:val="0"/>
                <w:color w:val="333333"/>
                <w:sz w:val="18"/>
                <w:szCs w:val="18"/>
              </w:rPr>
              <w:t>Complete DocIntel Go-Live Gate criteria before exiting pilot phase</w:t>
            </w:r>
          </w:p>
        </w:tc>
        <w:tc>
          <w:tcPr>
            <w:tcW w:w="18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19D460BC">
            <w:pPr>
              <w:jc w:val="left"/>
            </w:pPr>
            <w:r>
              <w:rPr>
                <w:rFonts w:ascii="Arial" w:hAnsi="Arial" w:eastAsia="Arial" w:cs="Arial"/>
                <w:b w:val="0"/>
                <w:bCs w:val="0"/>
                <w:color w:val="333333"/>
                <w:sz w:val="18"/>
                <w:szCs w:val="18"/>
              </w:rPr>
              <w:t>Chief Compliance Officer</w:t>
            </w:r>
          </w:p>
        </w:tc>
        <w:tc>
          <w:tcPr>
            <w:tcW w:w="1400" w:type="dxa"/>
            <w:tcBorders>
              <w:top w:val="single" w:color="CCCCCC" w:sz="0" w:space="0"/>
              <w:left w:val="single" w:color="CCCCCC" w:sz="0" w:space="0"/>
              <w:bottom w:val="single" w:color="CCCCCC" w:sz="0" w:space="0"/>
              <w:right w:val="single" w:color="CCCCCC" w:sz="0" w:space="0"/>
            </w:tcBorders>
            <w:shd w:val="clear" w:color="auto" w:fill="D6E4F7"/>
            <w:tcMar>
              <w:top w:w="80" w:type="dxa"/>
              <w:left w:w="120" w:type="dxa"/>
              <w:bottom w:w="80" w:type="dxa"/>
              <w:right w:w="120" w:type="dxa"/>
            </w:tcMar>
            <w:vAlign w:val="center"/>
          </w:tcPr>
          <w:p w14:paraId="35D7B92B">
            <w:pPr>
              <w:jc w:val="center"/>
            </w:pPr>
            <w:r>
              <w:rPr>
                <w:rFonts w:ascii="Arial" w:hAnsi="Arial" w:eastAsia="Arial" w:cs="Arial"/>
                <w:b/>
                <w:bCs/>
                <w:color w:val="7F6000"/>
                <w:sz w:val="18"/>
                <w:szCs w:val="18"/>
              </w:rPr>
              <w:t>90 DAYS</w:t>
            </w:r>
          </w:p>
        </w:tc>
      </w:tr>
      <w:tr w14:paraId="29C5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FDC0FD">
            <w:pPr>
              <w:jc w:val="center"/>
            </w:pPr>
            <w:r>
              <w:rPr>
                <w:rFonts w:ascii="Arial" w:hAnsi="Arial" w:eastAsia="Arial" w:cs="Arial"/>
                <w:b/>
                <w:bCs/>
                <w:color w:val="2E5F9E"/>
                <w:sz w:val="18"/>
                <w:szCs w:val="18"/>
              </w:rPr>
              <w:t>7</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0DABFE">
            <w:pPr>
              <w:jc w:val="left"/>
            </w:pPr>
            <w:r>
              <w:rPr>
                <w:rFonts w:ascii="Arial" w:hAnsi="Arial" w:eastAsia="Arial" w:cs="Arial"/>
                <w:b w:val="0"/>
                <w:bCs w:val="0"/>
                <w:color w:val="333333"/>
                <w:sz w:val="18"/>
                <w:szCs w:val="18"/>
              </w:rPr>
              <w:t>Commission adversarial robustness testing for DocIntel Underwriting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C832EE">
            <w:pPr>
              <w:jc w:val="left"/>
            </w:pPr>
            <w:r>
              <w:rPr>
                <w:rFonts w:ascii="Arial" w:hAnsi="Arial" w:eastAsia="Arial" w:cs="Arial"/>
                <w:b w:val="0"/>
                <w:bCs w:val="0"/>
                <w:color w:val="333333"/>
                <w:sz w:val="18"/>
                <w:szCs w:val="18"/>
              </w:rPr>
              <w:t>CISO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FC3E2A">
            <w:pPr>
              <w:jc w:val="center"/>
            </w:pPr>
            <w:r>
              <w:rPr>
                <w:rFonts w:ascii="Arial" w:hAnsi="Arial" w:eastAsia="Arial" w:cs="Arial"/>
                <w:b/>
                <w:bCs/>
                <w:color w:val="7F6000"/>
                <w:sz w:val="18"/>
                <w:szCs w:val="18"/>
              </w:rPr>
              <w:t>90 DAYS</w:t>
            </w:r>
          </w:p>
        </w:tc>
      </w:tr>
    </w:tbl>
    <w:p w14:paraId="1995E81A">
      <w:pPr>
        <w:spacing w:before="120" w:after="120"/>
      </w:pPr>
    </w:p>
    <w:p w14:paraId="0D5EFBFF">
      <w:pPr>
        <w:pBdr>
          <w:bottom w:val="single" w:color="2E5F9E" w:sz="4" w:space="0"/>
        </w:pBdr>
        <w:spacing w:before="280" w:after="120"/>
      </w:pPr>
      <w:r>
        <w:rPr>
          <w:rFonts w:ascii="Arial" w:hAnsi="Arial" w:eastAsia="Arial" w:cs="Arial"/>
          <w:b/>
          <w:bCs/>
          <w:color w:val="1F3864"/>
          <w:sz w:val="28"/>
          <w:szCs w:val="28"/>
        </w:rPr>
        <w:t>CONCLUSION</w:t>
      </w:r>
    </w:p>
    <w:p w14:paraId="5BB09634">
      <w:pPr>
        <w:spacing w:before="60" w:after="60"/>
      </w:pPr>
      <w:r>
        <w:rPr>
          <w:rFonts w:ascii="Arial" w:hAnsi="Arial" w:eastAsia="Arial" w:cs="Arial"/>
          <w:b w:val="0"/>
          <w:bCs w:val="0"/>
          <w:color w:val="333333"/>
          <w:sz w:val="20"/>
          <w:szCs w:val="20"/>
        </w:rPr>
        <w:t>NorthStar Financial Services has made meaningful progress in identifying and cataloguing its AI systems. However, the risk assessment findings make clear that significant governance gaps exist across all three High Risk systems.</w:t>
      </w:r>
    </w:p>
    <w:p w14:paraId="16113712">
      <w:pPr>
        <w:spacing w:before="60" w:after="60"/>
      </w:pPr>
    </w:p>
    <w:p w14:paraId="329A9E72">
      <w:pPr>
        <w:spacing w:before="60" w:after="60"/>
      </w:pPr>
      <w:r>
        <w:rPr>
          <w:rFonts w:ascii="Arial" w:hAnsi="Arial" w:eastAsia="Arial" w:cs="Arial"/>
          <w:b w:val="0"/>
          <w:bCs w:val="0"/>
          <w:color w:val="333333"/>
          <w:sz w:val="20"/>
          <w:szCs w:val="20"/>
        </w:rPr>
        <w:t>The EU AI Act is now in force. Regulators have the power to audit, fine and publicly sanction organisations that deploy High Risk AI without adequate governance controls.</w:t>
      </w:r>
    </w:p>
    <w:p w14:paraId="67CEF76A">
      <w:pPr>
        <w:spacing w:before="60" w:after="60"/>
      </w:pPr>
    </w:p>
    <w:p w14:paraId="7115BA32">
      <w:pPr>
        <w:spacing w:before="60" w:after="60"/>
      </w:pPr>
      <w:r>
        <w:rPr>
          <w:rFonts w:ascii="Arial" w:hAnsi="Arial" w:eastAsia="Arial" w:cs="Arial"/>
          <w:b/>
          <w:bCs/>
          <w:color w:val="C00000"/>
          <w:sz w:val="20"/>
          <w:szCs w:val="20"/>
        </w:rPr>
        <w:t>The actions recommended in this summary are not optional. They represent the minimum steps required to bring NorthStar into compliance and protect the organisation from material regulatory, financial and reputational harm.</w:t>
      </w:r>
    </w:p>
    <w:p w14:paraId="0611CA54">
      <w:pPr>
        <w:spacing w:before="60" w:after="60"/>
      </w:pPr>
    </w:p>
    <w:p w14:paraId="6D5C8321">
      <w:pPr>
        <w:spacing w:before="60" w:after="60"/>
      </w:pPr>
      <w:r>
        <w:rPr>
          <w:rFonts w:ascii="Arial" w:hAnsi="Arial" w:eastAsia="Arial" w:cs="Arial"/>
          <w:b w:val="0"/>
          <w:bCs w:val="0"/>
          <w:color w:val="333333"/>
          <w:sz w:val="20"/>
          <w:szCs w:val="20"/>
        </w:rPr>
        <w:t>This Governance Review Pack — comprising the AI Risk Register, Risk Heat Map, Governance Control Framework and this Executive Summary — provides NorthStar's leadership with a complete foundation for immediate action.</w:t>
      </w:r>
    </w:p>
    <w:p w14:paraId="668CCFCF">
      <w:pPr>
        <w:spacing w:before="120" w:after="120"/>
      </w:pPr>
    </w:p>
    <w:p w14:paraId="222A9619">
      <w:pPr>
        <w:pBdr>
          <w:top w:val="single" w:color="2E5F9E" w:sz="6" w:space="0"/>
        </w:pBdr>
        <w:spacing w:before="200" w:after="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23808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2026-04-22T02:37:00Z</dcterms:created>
  <dc:creator>Un-named</dc:creator>
  <cp:lastModifiedBy>Deepak Kumar Sethi</cp:lastModifiedBy>
  <dcterms:modified xsi:type="dcterms:W3CDTF">2026-04-22T02:58:30Z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70FBAE66DF524B72AA32CCEAAC799AE7_12</vt:lpwstr>
  </property>
</Properties>
</file>