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E779E2">
      <w:pPr>
        <w:shd w:val="clear" w:fill="1F3864"/>
        <w:spacing w:before="0" w:after="0"/>
        <w:jc w:val="center"/>
      </w:pPr>
      <w:r>
        <w:rPr>
          <w:rFonts w:ascii="Arial" w:hAnsi="Arial" w:eastAsia="Arial" w:cs="Arial"/>
          <w:b/>
          <w:bCs/>
          <w:color w:val="FFFFFF"/>
          <w:sz w:val="36"/>
          <w:szCs w:val="36"/>
        </w:rPr>
        <w:t>NORTHSTAR FINANCIAL SERVICES</w:t>
      </w:r>
    </w:p>
    <w:p w14:paraId="137C6C90">
      <w:pPr>
        <w:shd w:val="clear" w:fill="2E5F9E"/>
        <w:spacing w:before="0" w:after="0"/>
        <w:jc w:val="center"/>
      </w:pPr>
      <w:r>
        <w:rPr>
          <w:rFonts w:ascii="Arial" w:hAnsi="Arial" w:eastAsia="Arial" w:cs="Arial"/>
          <w:b/>
          <w:bCs/>
          <w:color w:val="FFFFFF"/>
          <w:sz w:val="28"/>
          <w:szCs w:val="28"/>
        </w:rPr>
        <w:t>AI Risk Assessment &amp; Governance Review Pack</w:t>
      </w:r>
    </w:p>
    <w:p w14:paraId="4B2F0586">
      <w:pPr>
        <w:shd w:val="clear" w:fill="2E5F9E"/>
        <w:spacing w:before="0" w:after="0"/>
        <w:jc w:val="center"/>
      </w:pPr>
      <w:r>
        <w:rPr>
          <w:rFonts w:ascii="Arial" w:hAnsi="Arial" w:eastAsia="Arial" w:cs="Arial"/>
          <w:b/>
          <w:bCs/>
          <w:color w:val="FFFFFF"/>
          <w:sz w:val="24"/>
          <w:szCs w:val="24"/>
        </w:rPr>
        <w:t>Document 3 — Governance Control Framework</w:t>
      </w:r>
    </w:p>
    <w:p w14:paraId="21D2A02B">
      <w:pPr>
        <w:shd w:val="clear" w:fill="D6E4F7"/>
        <w:spacing w:before="0" w:after="0"/>
        <w:jc w:val="center"/>
      </w:pPr>
      <w:r>
        <w:rPr>
          <w:rFonts w:ascii="Arial" w:hAnsi="Arial" w:eastAsia="Arial" w:cs="Arial"/>
          <w:color w:val="1F3864"/>
          <w:sz w:val="20"/>
          <w:szCs w:val="20"/>
        </w:rPr>
        <w:t>Version 1.0 — Confidential</w:t>
      </w:r>
    </w:p>
    <w:p w14:paraId="145D60B5">
      <w:pPr>
        <w:shd w:val="clear" w:fill="D6E4F7"/>
        <w:spacing w:before="0" w:after="0"/>
        <w:jc w:val="center"/>
      </w:pPr>
      <w:r>
        <w:rPr>
          <w:rFonts w:ascii="Arial" w:hAnsi="Arial" w:eastAsia="Arial" w:cs="Arial"/>
          <w:color w:val="1F3864"/>
          <w:sz w:val="20"/>
          <w:szCs w:val="20"/>
        </w:rPr>
        <w:t>Prepared by: Deepak Kumar Sethi — AI Risk &amp; Governance Consultant</w:t>
      </w:r>
    </w:p>
    <w:p w14:paraId="2E36B3FD">
      <w:pPr>
        <w:shd w:val="clear" w:fill="D6E4F7"/>
        <w:spacing w:before="0" w:after="80"/>
        <w:jc w:val="center"/>
      </w:pPr>
      <w:r>
        <w:rPr>
          <w:rFonts w:ascii="Arial" w:hAnsi="Arial" w:eastAsia="Arial" w:cs="Arial"/>
          <w:color w:val="1F3864"/>
          <w:sz w:val="20"/>
          <w:szCs w:val="20"/>
        </w:rPr>
        <w:t>Date: April 2026</w:t>
      </w:r>
    </w:p>
    <w:p w14:paraId="3CE921E2">
      <w:pPr>
        <w:spacing w:before="100" w:after="100"/>
      </w:pPr>
    </w:p>
    <w:p w14:paraId="1F5F1E56">
      <w:pPr>
        <w:spacing w:before="300" w:after="120"/>
      </w:pPr>
      <w:r>
        <w:rPr>
          <w:rFonts w:ascii="Arial" w:hAnsi="Arial" w:eastAsia="Arial" w:cs="Arial"/>
          <w:b/>
          <w:bCs/>
          <w:color w:val="1F3864"/>
          <w:sz w:val="26"/>
          <w:szCs w:val="26"/>
        </w:rPr>
        <w:t>PURPOSE</w:t>
      </w:r>
    </w:p>
    <w:p w14:paraId="29E6EA2C">
      <w:pPr>
        <w:spacing w:before="60" w:after="60"/>
      </w:pPr>
      <w:r>
        <w:rPr>
          <w:rFonts w:ascii="Arial" w:hAnsi="Arial" w:eastAsia="Arial" w:cs="Arial"/>
          <w:color w:val="333333"/>
          <w:sz w:val="20"/>
          <w:szCs w:val="20"/>
        </w:rPr>
        <w:t>This Governance Control Framework identifies specific controls required to mitigate AI risks across NorthStar Financial Services' three High Risk AI systems — CreditScore Pro, TalentMatch AI, and DocIntel Underwriting — as classified under Annex III of the EU AI Act.</w:t>
      </w:r>
    </w:p>
    <w:p w14:paraId="1D0182CB">
      <w:pPr>
        <w:spacing w:before="60" w:after="60"/>
      </w:pPr>
      <w:r>
        <w:rPr>
          <w:rFonts w:ascii="Arial" w:hAnsi="Arial" w:eastAsia="Arial" w:cs="Arial"/>
          <w:color w:val="333333"/>
          <w:sz w:val="20"/>
          <w:szCs w:val="20"/>
        </w:rPr>
        <w:t>For each identified risk, this framework specifies the required control, its type, the EU AI Act article that mandates it, the responsible owner, and the review frequency.</w:t>
      </w:r>
    </w:p>
    <w:p w14:paraId="47667BED">
      <w:pPr>
        <w:spacing w:before="60" w:after="60"/>
      </w:pPr>
      <w:r>
        <w:rPr>
          <w:rFonts w:ascii="Arial" w:hAnsi="Arial" w:eastAsia="Arial" w:cs="Arial"/>
          <w:color w:val="333333"/>
          <w:sz w:val="20"/>
          <w:szCs w:val="20"/>
        </w:rPr>
        <w:t>This document should be read alongside the NorthStar AI Risk Register (Document 1) and Risk Heat Map (Document 2).</w:t>
      </w:r>
    </w:p>
    <w:p w14:paraId="02FE4ABB">
      <w:pPr>
        <w:spacing w:before="100" w:after="100"/>
      </w:pPr>
    </w:p>
    <w:p w14:paraId="5EC15843">
      <w:pPr>
        <w:spacing w:before="300" w:after="120"/>
      </w:pPr>
      <w:r>
        <w:rPr>
          <w:rFonts w:ascii="Arial" w:hAnsi="Arial" w:eastAsia="Arial" w:cs="Arial"/>
          <w:b/>
          <w:bCs/>
          <w:color w:val="1F3864"/>
          <w:sz w:val="26"/>
          <w:szCs w:val="26"/>
        </w:rPr>
        <w:t>CONTROL TYPE DEFINITIONS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48B74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681C5139">
            <w:pPr>
              <w:jc w:val="center"/>
            </w:pPr>
            <w:r>
              <w:rPr>
                <w:rFonts w:ascii="Arial" w:hAnsi="Arial" w:eastAsia="Arial" w:cs="Arial"/>
                <w:b/>
                <w:bCs/>
                <w:color w:val="375623"/>
                <w:sz w:val="18"/>
                <w:szCs w:val="18"/>
              </w:rPr>
              <w:t>PREVENTIVE</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FBB0C70">
            <w:pPr>
              <w:jc w:val="left"/>
            </w:pPr>
            <w:r>
              <w:rPr>
                <w:rFonts w:ascii="Arial" w:hAnsi="Arial" w:eastAsia="Arial" w:cs="Arial"/>
                <w:b w:val="0"/>
                <w:bCs w:val="0"/>
                <w:color w:val="000000"/>
                <w:sz w:val="18"/>
                <w:szCs w:val="18"/>
              </w:rPr>
              <w:t>Stops the risk from occurring before it happens. Applied before deployment or as a design requirement.</w:t>
            </w:r>
          </w:p>
        </w:tc>
      </w:tr>
      <w:tr w14:paraId="66F5C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center"/>
          </w:tcPr>
          <w:p w14:paraId="696B78F7">
            <w:pPr>
              <w:jc w:val="center"/>
            </w:pPr>
            <w:r>
              <w:rPr>
                <w:rFonts w:ascii="Arial" w:hAnsi="Arial" w:eastAsia="Arial" w:cs="Arial"/>
                <w:b/>
                <w:bCs/>
                <w:color w:val="7F6000"/>
                <w:sz w:val="18"/>
                <w:szCs w:val="18"/>
              </w:rPr>
              <w:t>DETECTIVE</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980E0A7">
            <w:pPr>
              <w:jc w:val="left"/>
            </w:pPr>
            <w:r>
              <w:rPr>
                <w:rFonts w:ascii="Arial" w:hAnsi="Arial" w:eastAsia="Arial" w:cs="Arial"/>
                <w:b w:val="0"/>
                <w:bCs w:val="0"/>
                <w:color w:val="000000"/>
                <w:sz w:val="18"/>
                <w:szCs w:val="18"/>
              </w:rPr>
              <w:t>Catches the risk while it is occurring through monitoring, alerts, and audit logging.</w:t>
            </w:r>
          </w:p>
        </w:tc>
      </w:tr>
      <w:tr w14:paraId="3F205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CCCC"/>
            <w:tcMar>
              <w:top w:w="80" w:type="dxa"/>
              <w:left w:w="120" w:type="dxa"/>
              <w:bottom w:w="80" w:type="dxa"/>
              <w:right w:w="120" w:type="dxa"/>
            </w:tcMar>
            <w:vAlign w:val="center"/>
          </w:tcPr>
          <w:p w14:paraId="5E9D980F">
            <w:pPr>
              <w:jc w:val="center"/>
            </w:pPr>
            <w:r>
              <w:rPr>
                <w:rFonts w:ascii="Arial" w:hAnsi="Arial" w:eastAsia="Arial" w:cs="Arial"/>
                <w:b/>
                <w:bCs/>
                <w:color w:val="C00000"/>
                <w:sz w:val="18"/>
                <w:szCs w:val="18"/>
              </w:rPr>
              <w:t>CORRECTIVE</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3A65AD2">
            <w:pPr>
              <w:jc w:val="left"/>
            </w:pPr>
            <w:r>
              <w:rPr>
                <w:rFonts w:ascii="Arial" w:hAnsi="Arial" w:eastAsia="Arial" w:cs="Arial"/>
                <w:b w:val="0"/>
                <w:bCs w:val="0"/>
                <w:color w:val="000000"/>
                <w:sz w:val="18"/>
                <w:szCs w:val="18"/>
              </w:rPr>
              <w:t>Fixes damage after the risk has already occurred. Applied to systems already deployed with gaps.</w:t>
            </w:r>
          </w:p>
        </w:tc>
      </w:tr>
    </w:tbl>
    <w:p w14:paraId="6D0D608B">
      <w:pPr>
        <w:spacing w:before="100" w:after="100"/>
      </w:pPr>
    </w:p>
    <w:p w14:paraId="156679AE">
      <w:pPr>
        <w:spacing w:before="300" w:after="120"/>
      </w:pPr>
      <w:r>
        <w:rPr>
          <w:rFonts w:ascii="Arial" w:hAnsi="Arial" w:eastAsia="Arial" w:cs="Arial"/>
          <w:b/>
          <w:bCs/>
          <w:color w:val="1F3864"/>
          <w:sz w:val="26"/>
          <w:szCs w:val="26"/>
        </w:rPr>
        <w:t>GOVERNANCE CONTROLS — ALL SYSTEMS</w:t>
      </w:r>
    </w:p>
    <w:tbl>
      <w:tblPr>
        <w:tblStyle w:val="9"/>
        <w:tblW w:w="9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1"/>
        <w:gridCol w:w="885"/>
        <w:gridCol w:w="1251"/>
        <w:gridCol w:w="1761"/>
        <w:gridCol w:w="1151"/>
        <w:gridCol w:w="1391"/>
        <w:gridCol w:w="1191"/>
        <w:gridCol w:w="1461"/>
      </w:tblGrid>
      <w:tr w14:paraId="43341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405E826">
            <w:pPr>
              <w:jc w:val="center"/>
            </w:pPr>
            <w:r>
              <w:rPr>
                <w:rFonts w:ascii="Arial" w:hAnsi="Arial" w:eastAsia="Arial" w:cs="Arial"/>
                <w:b/>
                <w:bCs/>
                <w:color w:val="FFFFFF"/>
                <w:sz w:val="20"/>
                <w:szCs w:val="20"/>
              </w:rPr>
              <w:t>Control ID</w:t>
            </w:r>
          </w:p>
        </w:tc>
        <w:tc>
          <w:tcPr>
            <w:tcW w:w="9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1D4025D">
            <w:pPr>
              <w:jc w:val="center"/>
            </w:pPr>
            <w:r>
              <w:rPr>
                <w:rFonts w:ascii="Arial" w:hAnsi="Arial" w:eastAsia="Arial" w:cs="Arial"/>
                <w:b/>
                <w:bCs/>
                <w:color w:val="FFFFFF"/>
                <w:sz w:val="20"/>
                <w:szCs w:val="20"/>
              </w:rPr>
              <w:t>Linked Risk ID</w:t>
            </w:r>
          </w:p>
        </w:tc>
        <w:tc>
          <w:tcPr>
            <w:tcW w:w="1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85313CB">
            <w:pPr>
              <w:jc w:val="center"/>
            </w:pPr>
            <w:r>
              <w:rPr>
                <w:rFonts w:ascii="Arial" w:hAnsi="Arial" w:eastAsia="Arial" w:cs="Arial"/>
                <w:b/>
                <w:bCs/>
                <w:color w:val="FFFFFF"/>
                <w:sz w:val="20"/>
                <w:szCs w:val="20"/>
              </w:rPr>
              <w:t>System Name</w:t>
            </w:r>
          </w:p>
        </w:tc>
        <w:tc>
          <w:tcPr>
            <w:tcW w:w="2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2DB615B">
            <w:pPr>
              <w:jc w:val="center"/>
            </w:pPr>
            <w:r>
              <w:rPr>
                <w:rFonts w:ascii="Arial" w:hAnsi="Arial" w:eastAsia="Arial" w:cs="Arial"/>
                <w:b/>
                <w:bCs/>
                <w:color w:val="FFFFFF"/>
                <w:sz w:val="20"/>
                <w:szCs w:val="20"/>
              </w:rPr>
              <w:t>Control Description</w:t>
            </w:r>
          </w:p>
        </w:tc>
        <w:tc>
          <w:tcPr>
            <w:tcW w:w="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4349ED6">
            <w:pPr>
              <w:jc w:val="center"/>
            </w:pPr>
            <w:r>
              <w:rPr>
                <w:rFonts w:ascii="Arial" w:hAnsi="Arial" w:eastAsia="Arial" w:cs="Arial"/>
                <w:b/>
                <w:bCs/>
                <w:color w:val="FFFFFF"/>
                <w:sz w:val="20"/>
                <w:szCs w:val="20"/>
              </w:rPr>
              <w:t>Control Type</w:t>
            </w:r>
          </w:p>
        </w:tc>
        <w:tc>
          <w:tcPr>
            <w:tcW w:w="1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056596B">
            <w:pPr>
              <w:jc w:val="center"/>
            </w:pPr>
            <w:r>
              <w:rPr>
                <w:rFonts w:ascii="Arial" w:hAnsi="Arial" w:eastAsia="Arial" w:cs="Arial"/>
                <w:b/>
                <w:bCs/>
                <w:color w:val="FFFFFF"/>
                <w:sz w:val="20"/>
                <w:szCs w:val="20"/>
              </w:rPr>
              <w:t>EU AI Act Article</w:t>
            </w:r>
          </w:p>
        </w:tc>
        <w:tc>
          <w:tcPr>
            <w:tcW w:w="11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F815015">
            <w:pPr>
              <w:jc w:val="center"/>
            </w:pPr>
            <w:r>
              <w:rPr>
                <w:rFonts w:ascii="Arial" w:hAnsi="Arial" w:eastAsia="Arial" w:cs="Arial"/>
                <w:b/>
                <w:bCs/>
                <w:color w:val="FFFFFF"/>
                <w:sz w:val="20"/>
                <w:szCs w:val="20"/>
              </w:rPr>
              <w:t>Owner</w:t>
            </w:r>
          </w:p>
        </w:tc>
        <w:tc>
          <w:tcPr>
            <w:tcW w:w="8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665A6DE">
            <w:pPr>
              <w:jc w:val="center"/>
            </w:pPr>
            <w:r>
              <w:rPr>
                <w:rFonts w:ascii="Arial" w:hAnsi="Arial" w:eastAsia="Arial" w:cs="Arial"/>
                <w:b/>
                <w:bCs/>
                <w:color w:val="FFFFFF"/>
                <w:sz w:val="20"/>
                <w:szCs w:val="20"/>
              </w:rPr>
              <w:t>Review Frequency</w:t>
            </w:r>
          </w:p>
        </w:tc>
      </w:tr>
      <w:tr w14:paraId="0F9B3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F7FA747">
            <w:pPr>
              <w:jc w:val="left"/>
            </w:pPr>
            <w:r>
              <w:rPr>
                <w:rFonts w:ascii="Arial" w:hAnsi="Arial" w:eastAsia="Arial" w:cs="Arial"/>
                <w:b/>
                <w:bCs/>
                <w:color w:val="1F3864"/>
                <w:sz w:val="18"/>
                <w:szCs w:val="18"/>
              </w:rPr>
              <w:t>NS-CTRL-001</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FBF1864">
            <w:pPr>
              <w:jc w:val="left"/>
            </w:pPr>
            <w:r>
              <w:rPr>
                <w:rFonts w:ascii="Arial" w:hAnsi="Arial" w:eastAsia="Arial" w:cs="Arial"/>
                <w:b w:val="0"/>
                <w:bCs w:val="0"/>
                <w:color w:val="000000"/>
                <w:sz w:val="18"/>
                <w:szCs w:val="18"/>
              </w:rPr>
              <w:t>NS-RISK-001</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181164A">
            <w:pPr>
              <w:jc w:val="left"/>
            </w:pPr>
            <w:r>
              <w:rPr>
                <w:rFonts w:ascii="Arial" w:hAnsi="Arial" w:eastAsia="Arial" w:cs="Arial"/>
                <w:b w:val="0"/>
                <w:bCs w:val="0"/>
                <w:color w:val="000000"/>
                <w:sz w:val="18"/>
                <w:szCs w:val="18"/>
              </w:rPr>
              <w:t>CreditScore Pro (NS-AI-001)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AD7F03F">
            <w:pPr>
              <w:jc w:val="left"/>
            </w:pPr>
            <w:r>
              <w:rPr>
                <w:rFonts w:ascii="Arial" w:hAnsi="Arial" w:eastAsia="Arial" w:cs="Arial"/>
                <w:b w:val="0"/>
                <w:bCs w:val="0"/>
                <w:color w:val="000000"/>
                <w:sz w:val="18"/>
                <w:szCs w:val="18"/>
              </w:rPr>
              <w:t>Conduct a full bias audit of CreditScore Pro against protected characteristics including gender, ethnicity, age and postcode. Audit must include demographic breakdown of approval and rejection rates. Results to be reviewed by CRO before next model deployment.</w:t>
            </w:r>
          </w:p>
        </w:tc>
        <w:tc>
          <w:tcPr>
            <w:tcW w:w="8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55132584">
            <w:pPr>
              <w:jc w:val="center"/>
            </w:pPr>
            <w:r>
              <w:rPr>
                <w:rFonts w:ascii="Arial" w:hAnsi="Arial" w:eastAsia="Arial" w:cs="Arial"/>
                <w:b/>
                <w:bCs/>
                <w:color w:val="375623"/>
                <w:sz w:val="18"/>
                <w:szCs w:val="18"/>
              </w:rPr>
              <w:t>Preventive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4C707C6">
            <w:pPr>
              <w:jc w:val="left"/>
            </w:pPr>
            <w:r>
              <w:rPr>
                <w:rFonts w:ascii="Arial" w:hAnsi="Arial" w:eastAsia="Arial" w:cs="Arial"/>
                <w:b w:val="0"/>
                <w:bCs w:val="0"/>
                <w:color w:val="000000"/>
                <w:sz w:val="18"/>
                <w:szCs w:val="18"/>
              </w:rPr>
              <w:t>Article 10 — Data governance and training data requirements</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AAE8449">
            <w:pPr>
              <w:jc w:val="left"/>
            </w:pPr>
            <w:r>
              <w:rPr>
                <w:rFonts w:ascii="Arial" w:hAnsi="Arial" w:eastAsia="Arial" w:cs="Arial"/>
                <w:b w:val="0"/>
                <w:bCs w:val="0"/>
                <w:color w:val="000000"/>
                <w:sz w:val="18"/>
                <w:szCs w:val="18"/>
              </w:rPr>
              <w:t>Chief Risk Officer (CRO)</w:t>
            </w:r>
          </w:p>
        </w:tc>
        <w:tc>
          <w:tcPr>
            <w:tcW w:w="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D5C6669">
            <w:pPr>
              <w:jc w:val="left"/>
            </w:pPr>
            <w:r>
              <w:rPr>
                <w:rFonts w:ascii="Arial" w:hAnsi="Arial" w:eastAsia="Arial" w:cs="Arial"/>
                <w:b w:val="0"/>
                <w:bCs w:val="0"/>
                <w:color w:val="000000"/>
                <w:sz w:val="18"/>
                <w:szCs w:val="18"/>
              </w:rPr>
              <w:t>Bi-annually and before every model update</w:t>
            </w:r>
          </w:p>
        </w:tc>
      </w:tr>
      <w:tr w14:paraId="756C8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61F2F063">
            <w:pPr>
              <w:jc w:val="left"/>
            </w:pPr>
            <w:r>
              <w:rPr>
                <w:rFonts w:ascii="Arial" w:hAnsi="Arial" w:eastAsia="Arial" w:cs="Arial"/>
                <w:b/>
                <w:bCs/>
                <w:color w:val="1F3864"/>
                <w:sz w:val="18"/>
                <w:szCs w:val="18"/>
              </w:rPr>
              <w:t>NS-CTRL-002</w:t>
            </w:r>
          </w:p>
        </w:tc>
        <w:tc>
          <w:tcPr>
            <w:tcW w:w="9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2F7F9CF0">
            <w:pPr>
              <w:jc w:val="left"/>
            </w:pPr>
            <w:r>
              <w:rPr>
                <w:rFonts w:ascii="Arial" w:hAnsi="Arial" w:eastAsia="Arial" w:cs="Arial"/>
                <w:b w:val="0"/>
                <w:bCs w:val="0"/>
                <w:color w:val="000000"/>
                <w:sz w:val="18"/>
                <w:szCs w:val="18"/>
              </w:rPr>
              <w:t>NS-RISK-001</w:t>
            </w:r>
          </w:p>
        </w:tc>
        <w:tc>
          <w:tcPr>
            <w:tcW w:w="14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7BEF3C7C">
            <w:pPr>
              <w:jc w:val="left"/>
            </w:pPr>
            <w:r>
              <w:rPr>
                <w:rFonts w:ascii="Arial" w:hAnsi="Arial" w:eastAsia="Arial" w:cs="Arial"/>
                <w:b w:val="0"/>
                <w:bCs w:val="0"/>
                <w:color w:val="000000"/>
                <w:sz w:val="18"/>
                <w:szCs w:val="18"/>
              </w:rPr>
              <w:t>CreditScore Pro (NS-AI-001)</w:t>
            </w:r>
          </w:p>
        </w:tc>
        <w:tc>
          <w:tcPr>
            <w:tcW w:w="28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4011356E">
            <w:pPr>
              <w:jc w:val="left"/>
            </w:pPr>
            <w:r>
              <w:rPr>
                <w:rFonts w:ascii="Arial" w:hAnsi="Arial" w:eastAsia="Arial" w:cs="Arial"/>
                <w:b w:val="0"/>
                <w:bCs w:val="0"/>
                <w:color w:val="000000"/>
                <w:sz w:val="18"/>
                <w:szCs w:val="18"/>
              </w:rPr>
              <w:t>Implement real-time demographic monitoring dashboard tracking CreditScore Pro approval and rejection rates by gender, age group and postcode. Automated alert triggered if any group's rejection rate deviates more than 10% from baseline.</w:t>
            </w:r>
          </w:p>
        </w:tc>
        <w:tc>
          <w:tcPr>
            <w:tcW w:w="80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center"/>
          </w:tcPr>
          <w:p w14:paraId="5D277FB5">
            <w:pPr>
              <w:jc w:val="center"/>
            </w:pPr>
            <w:r>
              <w:rPr>
                <w:rFonts w:ascii="Arial" w:hAnsi="Arial" w:eastAsia="Arial" w:cs="Arial"/>
                <w:b/>
                <w:bCs/>
                <w:color w:val="7F6000"/>
                <w:sz w:val="18"/>
                <w:szCs w:val="18"/>
              </w:rPr>
              <w:t>Detective</w:t>
            </w:r>
          </w:p>
        </w:tc>
        <w:tc>
          <w:tcPr>
            <w:tcW w:w="12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0B339947">
            <w:pPr>
              <w:jc w:val="left"/>
            </w:pPr>
            <w:r>
              <w:rPr>
                <w:rFonts w:ascii="Arial" w:hAnsi="Arial" w:eastAsia="Arial" w:cs="Arial"/>
                <w:b w:val="0"/>
                <w:bCs w:val="0"/>
                <w:color w:val="000000"/>
                <w:sz w:val="18"/>
                <w:szCs w:val="18"/>
              </w:rPr>
              <w:t>Article 9 — Risk management system; Article 12 — Record keeping</w:t>
            </w:r>
          </w:p>
        </w:tc>
        <w:tc>
          <w:tcPr>
            <w:tcW w:w="11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4325AED6">
            <w:pPr>
              <w:jc w:val="left"/>
            </w:pPr>
            <w:r>
              <w:rPr>
                <w:rFonts w:ascii="Arial" w:hAnsi="Arial" w:eastAsia="Arial" w:cs="Arial"/>
                <w:b w:val="0"/>
                <w:bCs w:val="0"/>
                <w:color w:val="000000"/>
                <w:sz w:val="18"/>
                <w:szCs w:val="18"/>
              </w:rPr>
              <w:t>Chief Risk Officer (CRO)</w:t>
            </w:r>
          </w:p>
        </w:tc>
        <w:tc>
          <w:tcPr>
            <w:tcW w:w="86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366CCC10">
            <w:pPr>
              <w:jc w:val="left"/>
            </w:pPr>
            <w:r>
              <w:rPr>
                <w:rFonts w:ascii="Arial" w:hAnsi="Arial" w:eastAsia="Arial" w:cs="Arial"/>
                <w:b w:val="0"/>
                <w:bCs w:val="0"/>
                <w:color w:val="000000"/>
                <w:sz w:val="18"/>
                <w:szCs w:val="18"/>
              </w:rPr>
              <w:t>Monthly dashboard review</w:t>
            </w:r>
          </w:p>
        </w:tc>
      </w:tr>
      <w:tr w14:paraId="6B4ED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63DE49A">
            <w:pPr>
              <w:jc w:val="left"/>
            </w:pPr>
            <w:r>
              <w:rPr>
                <w:rFonts w:ascii="Arial" w:hAnsi="Arial" w:eastAsia="Arial" w:cs="Arial"/>
                <w:b/>
                <w:bCs/>
                <w:color w:val="1F3864"/>
                <w:sz w:val="18"/>
                <w:szCs w:val="18"/>
              </w:rPr>
              <w:t>NS-CTRL-003</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649DAE5">
            <w:pPr>
              <w:jc w:val="left"/>
            </w:pPr>
            <w:r>
              <w:rPr>
                <w:rFonts w:ascii="Arial" w:hAnsi="Arial" w:eastAsia="Arial" w:cs="Arial"/>
                <w:b w:val="0"/>
                <w:bCs w:val="0"/>
                <w:color w:val="000000"/>
                <w:sz w:val="18"/>
                <w:szCs w:val="18"/>
              </w:rPr>
              <w:t>NS-RISK-002</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6F5771E">
            <w:pPr>
              <w:jc w:val="left"/>
            </w:pPr>
            <w:r>
              <w:rPr>
                <w:rFonts w:ascii="Arial" w:hAnsi="Arial" w:eastAsia="Arial" w:cs="Arial"/>
                <w:b w:val="0"/>
                <w:bCs w:val="0"/>
                <w:color w:val="000000"/>
                <w:sz w:val="18"/>
                <w:szCs w:val="18"/>
              </w:rPr>
              <w:t>CreditScore Pro (NS-AI-001)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009CC3D">
            <w:pPr>
              <w:jc w:val="left"/>
            </w:pPr>
            <w:r>
              <w:rPr>
                <w:rFonts w:ascii="Arial" w:hAnsi="Arial" w:eastAsia="Arial" w:cs="Arial"/>
                <w:b w:val="0"/>
                <w:bCs w:val="0"/>
                <w:color w:val="000000"/>
                <w:sz w:val="18"/>
                <w:szCs w:val="18"/>
              </w:rPr>
              <w:t>Integrate SHAP explainability layer into CreditScore Pro to generate a written explanation for every rejection decision. Explanation must identify top three factors driving the rejection in plain English. Made available to applicants on request within 72 hours.</w:t>
            </w:r>
          </w:p>
        </w:tc>
        <w:tc>
          <w:tcPr>
            <w:tcW w:w="8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7C347BDA">
            <w:pPr>
              <w:jc w:val="center"/>
            </w:pPr>
            <w:r>
              <w:rPr>
                <w:rFonts w:ascii="Arial" w:hAnsi="Arial" w:eastAsia="Arial" w:cs="Arial"/>
                <w:b/>
                <w:bCs/>
                <w:color w:val="375623"/>
                <w:sz w:val="18"/>
                <w:szCs w:val="18"/>
              </w:rPr>
              <w:t>Preventive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4D631B4">
            <w:pPr>
              <w:jc w:val="left"/>
            </w:pPr>
            <w:r>
              <w:rPr>
                <w:rFonts w:ascii="Arial" w:hAnsi="Arial" w:eastAsia="Arial" w:cs="Arial"/>
                <w:b w:val="0"/>
                <w:bCs w:val="0"/>
                <w:color w:val="000000"/>
                <w:sz w:val="18"/>
                <w:szCs w:val="18"/>
              </w:rPr>
              <w:t>Article 13 — Transparency; GDPR Article 22 — Right to explanation</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33AC2C8">
            <w:pPr>
              <w:jc w:val="left"/>
            </w:pPr>
            <w:r>
              <w:rPr>
                <w:rFonts w:ascii="Arial" w:hAnsi="Arial" w:eastAsia="Arial" w:cs="Arial"/>
                <w:b w:val="0"/>
                <w:bCs w:val="0"/>
                <w:color w:val="000000"/>
                <w:sz w:val="18"/>
                <w:szCs w:val="18"/>
              </w:rPr>
              <w:t>Chief Compliance Officer (CCO)</w:t>
            </w:r>
          </w:p>
        </w:tc>
        <w:tc>
          <w:tcPr>
            <w:tcW w:w="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D3A9BD4">
            <w:pPr>
              <w:jc w:val="left"/>
            </w:pPr>
            <w:r>
              <w:rPr>
                <w:rFonts w:ascii="Arial" w:hAnsi="Arial" w:eastAsia="Arial" w:cs="Arial"/>
                <w:b w:val="0"/>
                <w:bCs w:val="0"/>
                <w:color w:val="000000"/>
                <w:sz w:val="18"/>
                <w:szCs w:val="18"/>
              </w:rPr>
              <w:t>Quarterly review of explanation quality</w:t>
            </w:r>
          </w:p>
        </w:tc>
      </w:tr>
      <w:tr w14:paraId="65D34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5CF7E23F">
            <w:pPr>
              <w:jc w:val="left"/>
            </w:pPr>
            <w:r>
              <w:rPr>
                <w:rFonts w:ascii="Arial" w:hAnsi="Arial" w:eastAsia="Arial" w:cs="Arial"/>
                <w:b/>
                <w:bCs/>
                <w:color w:val="1F3864"/>
                <w:sz w:val="18"/>
                <w:szCs w:val="18"/>
              </w:rPr>
              <w:t>NS-CTRL-004</w:t>
            </w:r>
          </w:p>
        </w:tc>
        <w:tc>
          <w:tcPr>
            <w:tcW w:w="9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2BEE4489">
            <w:pPr>
              <w:jc w:val="left"/>
            </w:pPr>
            <w:r>
              <w:rPr>
                <w:rFonts w:ascii="Arial" w:hAnsi="Arial" w:eastAsia="Arial" w:cs="Arial"/>
                <w:b w:val="0"/>
                <w:bCs w:val="0"/>
                <w:color w:val="000000"/>
                <w:sz w:val="18"/>
                <w:szCs w:val="18"/>
              </w:rPr>
              <w:t>NS-RISK-007</w:t>
            </w:r>
          </w:p>
        </w:tc>
        <w:tc>
          <w:tcPr>
            <w:tcW w:w="14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4592F509">
            <w:pPr>
              <w:jc w:val="left"/>
            </w:pPr>
            <w:r>
              <w:rPr>
                <w:rFonts w:ascii="Arial" w:hAnsi="Arial" w:eastAsia="Arial" w:cs="Arial"/>
                <w:b w:val="0"/>
                <w:bCs w:val="0"/>
                <w:color w:val="000000"/>
                <w:sz w:val="18"/>
                <w:szCs w:val="18"/>
              </w:rPr>
              <w:t>CreditScore Pro (NS-AI-001)</w:t>
            </w:r>
          </w:p>
        </w:tc>
        <w:tc>
          <w:tcPr>
            <w:tcW w:w="28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0DB630BC">
            <w:pPr>
              <w:jc w:val="left"/>
            </w:pPr>
            <w:r>
              <w:rPr>
                <w:rFonts w:ascii="Arial" w:hAnsi="Arial" w:eastAsia="Arial" w:cs="Arial"/>
                <w:b w:val="0"/>
                <w:bCs w:val="0"/>
                <w:color w:val="000000"/>
                <w:sz w:val="18"/>
                <w:szCs w:val="18"/>
              </w:rPr>
              <w:t>Implement continuous model performance monitoring for CreditScore Pro tracking accuracy, approval rate trends and default prediction rates. Automated alert triggered when model accuracy degrades more than 5% from baseline. Full model revalidation triggered annually or when alert fires.</w:t>
            </w:r>
          </w:p>
        </w:tc>
        <w:tc>
          <w:tcPr>
            <w:tcW w:w="80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center"/>
          </w:tcPr>
          <w:p w14:paraId="278497AA">
            <w:pPr>
              <w:jc w:val="center"/>
            </w:pPr>
            <w:r>
              <w:rPr>
                <w:rFonts w:ascii="Arial" w:hAnsi="Arial" w:eastAsia="Arial" w:cs="Arial"/>
                <w:b/>
                <w:bCs/>
                <w:color w:val="7F6000"/>
                <w:sz w:val="18"/>
                <w:szCs w:val="18"/>
              </w:rPr>
              <w:t>Detective</w:t>
            </w:r>
          </w:p>
        </w:tc>
        <w:tc>
          <w:tcPr>
            <w:tcW w:w="12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762A91D3">
            <w:pPr>
              <w:jc w:val="left"/>
            </w:pPr>
            <w:r>
              <w:rPr>
                <w:rFonts w:ascii="Arial" w:hAnsi="Arial" w:eastAsia="Arial" w:cs="Arial"/>
                <w:b w:val="0"/>
                <w:bCs w:val="0"/>
                <w:color w:val="000000"/>
                <w:sz w:val="18"/>
                <w:szCs w:val="18"/>
              </w:rPr>
              <w:t>Article 12 — Record keeping and logging; Article 9 — Risk management</w:t>
            </w:r>
          </w:p>
        </w:tc>
        <w:tc>
          <w:tcPr>
            <w:tcW w:w="11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1DC294D4">
            <w:pPr>
              <w:jc w:val="left"/>
            </w:pPr>
            <w:r>
              <w:rPr>
                <w:rFonts w:ascii="Arial" w:hAnsi="Arial" w:eastAsia="Arial" w:cs="Arial"/>
                <w:b w:val="0"/>
                <w:bCs w:val="0"/>
                <w:color w:val="000000"/>
                <w:sz w:val="18"/>
                <w:szCs w:val="18"/>
              </w:rPr>
              <w:t>Chief Data Officer (CDO)</w:t>
            </w:r>
          </w:p>
        </w:tc>
        <w:tc>
          <w:tcPr>
            <w:tcW w:w="86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5ECDEE98">
            <w:pPr>
              <w:jc w:val="left"/>
            </w:pPr>
            <w:r>
              <w:rPr>
                <w:rFonts w:ascii="Arial" w:hAnsi="Arial" w:eastAsia="Arial" w:cs="Arial"/>
                <w:b w:val="0"/>
                <w:bCs w:val="0"/>
                <w:color w:val="000000"/>
                <w:sz w:val="18"/>
                <w:szCs w:val="18"/>
              </w:rPr>
              <w:t>Monthly monitoring — Annual full revalidation</w:t>
            </w:r>
          </w:p>
        </w:tc>
      </w:tr>
      <w:tr w14:paraId="5292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B2226C7">
            <w:pPr>
              <w:jc w:val="left"/>
            </w:pPr>
            <w:r>
              <w:rPr>
                <w:rFonts w:ascii="Arial" w:hAnsi="Arial" w:eastAsia="Arial" w:cs="Arial"/>
                <w:b/>
                <w:bCs/>
                <w:color w:val="1F3864"/>
                <w:sz w:val="18"/>
                <w:szCs w:val="18"/>
              </w:rPr>
              <w:t>NS-CTRL-005</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AE2D906">
            <w:pPr>
              <w:jc w:val="left"/>
            </w:pPr>
            <w:r>
              <w:rPr>
                <w:rFonts w:ascii="Arial" w:hAnsi="Arial" w:eastAsia="Arial" w:cs="Arial"/>
                <w:b w:val="0"/>
                <w:bCs w:val="0"/>
                <w:color w:val="000000"/>
                <w:sz w:val="18"/>
                <w:szCs w:val="18"/>
              </w:rPr>
              <w:t>NS-RISK-003</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B6DC50E">
            <w:pPr>
              <w:jc w:val="left"/>
            </w:pPr>
            <w:r>
              <w:rPr>
                <w:rFonts w:ascii="Arial" w:hAnsi="Arial" w:eastAsia="Arial" w:cs="Arial"/>
                <w:b w:val="0"/>
                <w:bCs w:val="0"/>
                <w:color w:val="000000"/>
                <w:sz w:val="18"/>
                <w:szCs w:val="18"/>
              </w:rPr>
              <w:t>TalentMatch AI (NS-AI-003)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0262D12">
            <w:pPr>
              <w:jc w:val="left"/>
            </w:pPr>
            <w:r>
              <w:rPr>
                <w:rFonts w:ascii="Arial" w:hAnsi="Arial" w:eastAsia="Arial" w:cs="Arial"/>
                <w:b w:val="0"/>
                <w:bCs w:val="0"/>
                <w:color w:val="000000"/>
                <w:sz w:val="18"/>
                <w:szCs w:val="18"/>
              </w:rPr>
              <w:t>Commission independent bias audit of TalentMatch AI shortlisting outputs. Audit must analyse gender, ethnicity and age distribution across all shortlists generated in the past 12 months. Findings to be presented to CPO and CRO within 60 days. Model to be suspended from senior role shortlisting until audit is complete.</w:t>
            </w:r>
          </w:p>
        </w:tc>
        <w:tc>
          <w:tcPr>
            <w:tcW w:w="800" w:type="dxa"/>
            <w:tcBorders>
              <w:top w:val="single" w:color="AAAAAA" w:sz="0" w:space="0"/>
              <w:left w:val="single" w:color="AAAAAA" w:sz="0" w:space="0"/>
              <w:bottom w:val="single" w:color="AAAAAA" w:sz="0" w:space="0"/>
              <w:right w:val="single" w:color="AAAAAA" w:sz="0" w:space="0"/>
            </w:tcBorders>
            <w:shd w:val="clear" w:color="auto" w:fill="FFCCCC"/>
            <w:tcMar>
              <w:top w:w="80" w:type="dxa"/>
              <w:left w:w="120" w:type="dxa"/>
              <w:bottom w:w="80" w:type="dxa"/>
              <w:right w:w="120" w:type="dxa"/>
            </w:tcMar>
            <w:vAlign w:val="center"/>
          </w:tcPr>
          <w:p w14:paraId="1AF2D8E6">
            <w:pPr>
              <w:jc w:val="center"/>
            </w:pPr>
            <w:r>
              <w:rPr>
                <w:rFonts w:ascii="Arial" w:hAnsi="Arial" w:eastAsia="Arial" w:cs="Arial"/>
                <w:b/>
                <w:bCs/>
                <w:color w:val="C00000"/>
                <w:sz w:val="18"/>
                <w:szCs w:val="18"/>
              </w:rPr>
              <w:t>Corrective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E8A7A1A">
            <w:pPr>
              <w:jc w:val="left"/>
            </w:pPr>
            <w:r>
              <w:rPr>
                <w:rFonts w:ascii="Arial" w:hAnsi="Arial" w:eastAsia="Arial" w:cs="Arial"/>
                <w:b w:val="0"/>
                <w:bCs w:val="0"/>
                <w:color w:val="000000"/>
                <w:sz w:val="18"/>
                <w:szCs w:val="18"/>
              </w:rPr>
              <w:t>Article 10 — Data governance; Annex III Category 4(a) — Employment decisions</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1BB050A">
            <w:pPr>
              <w:jc w:val="left"/>
            </w:pPr>
            <w:r>
              <w:rPr>
                <w:rFonts w:ascii="Arial" w:hAnsi="Arial" w:eastAsia="Arial" w:cs="Arial"/>
                <w:b w:val="0"/>
                <w:bCs w:val="0"/>
                <w:color w:val="000000"/>
                <w:sz w:val="18"/>
                <w:szCs w:val="18"/>
              </w:rPr>
              <w:t>Chief People Officer (CPO)</w:t>
            </w:r>
          </w:p>
        </w:tc>
        <w:tc>
          <w:tcPr>
            <w:tcW w:w="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C1B586E">
            <w:pPr>
              <w:jc w:val="left"/>
            </w:pPr>
            <w:r>
              <w:rPr>
                <w:rFonts w:ascii="Arial" w:hAnsi="Arial" w:eastAsia="Arial" w:cs="Arial"/>
                <w:b w:val="0"/>
                <w:bCs w:val="0"/>
                <w:color w:val="000000"/>
                <w:sz w:val="18"/>
                <w:szCs w:val="18"/>
              </w:rPr>
              <w:t>Immediate — then annually</w:t>
            </w:r>
          </w:p>
        </w:tc>
      </w:tr>
      <w:tr w14:paraId="2D317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0736B8E5">
            <w:pPr>
              <w:jc w:val="left"/>
            </w:pPr>
            <w:r>
              <w:rPr>
                <w:rFonts w:ascii="Arial" w:hAnsi="Arial" w:eastAsia="Arial" w:cs="Arial"/>
                <w:b/>
                <w:bCs/>
                <w:color w:val="1F3864"/>
                <w:sz w:val="18"/>
                <w:szCs w:val="18"/>
              </w:rPr>
              <w:t>NS-CTRL-006</w:t>
            </w:r>
          </w:p>
        </w:tc>
        <w:tc>
          <w:tcPr>
            <w:tcW w:w="9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1BD0FA6B">
            <w:pPr>
              <w:jc w:val="left"/>
            </w:pPr>
            <w:r>
              <w:rPr>
                <w:rFonts w:ascii="Arial" w:hAnsi="Arial" w:eastAsia="Arial" w:cs="Arial"/>
                <w:b w:val="0"/>
                <w:bCs w:val="0"/>
                <w:color w:val="000000"/>
                <w:sz w:val="18"/>
                <w:szCs w:val="18"/>
              </w:rPr>
              <w:t>NS-RISK-004</w:t>
            </w:r>
          </w:p>
        </w:tc>
        <w:tc>
          <w:tcPr>
            <w:tcW w:w="14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0047613B">
            <w:pPr>
              <w:jc w:val="left"/>
            </w:pPr>
            <w:r>
              <w:rPr>
                <w:rFonts w:ascii="Arial" w:hAnsi="Arial" w:eastAsia="Arial" w:cs="Arial"/>
                <w:b w:val="0"/>
                <w:bCs w:val="0"/>
                <w:color w:val="000000"/>
                <w:sz w:val="18"/>
                <w:szCs w:val="18"/>
              </w:rPr>
              <w:t>TalentMatch AI (NS-AI-003)</w:t>
            </w:r>
          </w:p>
        </w:tc>
        <w:tc>
          <w:tcPr>
            <w:tcW w:w="28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3C6FC838">
            <w:pPr>
              <w:jc w:val="left"/>
            </w:pPr>
            <w:r>
              <w:rPr>
                <w:rFonts w:ascii="Arial" w:hAnsi="Arial" w:eastAsia="Arial" w:cs="Arial"/>
                <w:b w:val="0"/>
                <w:bCs w:val="0"/>
                <w:color w:val="000000"/>
                <w:sz w:val="18"/>
                <w:szCs w:val="18"/>
              </w:rPr>
              <w:t>Conduct full audit of TalentMatch training dataset. Document demographic composition of dataset including gender, ethnicity and educational background distribution. Rebalance dataset to ensure representativeness before next model training cycle. Maintain data audit log as required by Article 10.</w:t>
            </w:r>
          </w:p>
        </w:tc>
        <w:tc>
          <w:tcPr>
            <w:tcW w:w="800" w:type="dxa"/>
            <w:tcBorders>
              <w:top w:val="single" w:color="AAAAAA" w:sz="0" w:space="0"/>
              <w:left w:val="single" w:color="AAAAAA" w:sz="0" w:space="0"/>
              <w:bottom w:val="single" w:color="AAAAAA" w:sz="0" w:space="0"/>
              <w:right w:val="single" w:color="AAAAAA" w:sz="0" w:space="0"/>
            </w:tcBorders>
            <w:shd w:val="clear" w:color="auto" w:fill="FFCCCC"/>
            <w:tcMar>
              <w:top w:w="80" w:type="dxa"/>
              <w:left w:w="120" w:type="dxa"/>
              <w:bottom w:w="80" w:type="dxa"/>
              <w:right w:w="120" w:type="dxa"/>
            </w:tcMar>
            <w:vAlign w:val="center"/>
          </w:tcPr>
          <w:p w14:paraId="19BAAE56">
            <w:pPr>
              <w:jc w:val="center"/>
            </w:pPr>
            <w:r>
              <w:rPr>
                <w:rFonts w:ascii="Arial" w:hAnsi="Arial" w:eastAsia="Arial" w:cs="Arial"/>
                <w:b/>
                <w:bCs/>
                <w:color w:val="C00000"/>
                <w:sz w:val="18"/>
                <w:szCs w:val="18"/>
              </w:rPr>
              <w:t>Corrective</w:t>
            </w:r>
          </w:p>
        </w:tc>
        <w:tc>
          <w:tcPr>
            <w:tcW w:w="12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6F713934">
            <w:pPr>
              <w:jc w:val="left"/>
            </w:pPr>
            <w:r>
              <w:rPr>
                <w:rFonts w:ascii="Arial" w:hAnsi="Arial" w:eastAsia="Arial" w:cs="Arial"/>
                <w:b w:val="0"/>
                <w:bCs w:val="0"/>
                <w:color w:val="000000"/>
                <w:sz w:val="18"/>
                <w:szCs w:val="18"/>
              </w:rPr>
              <w:t>Article 10 — Data governance and training data requirements</w:t>
            </w:r>
          </w:p>
        </w:tc>
        <w:tc>
          <w:tcPr>
            <w:tcW w:w="11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38D389AF">
            <w:pPr>
              <w:jc w:val="left"/>
            </w:pPr>
            <w:r>
              <w:rPr>
                <w:rFonts w:ascii="Arial" w:hAnsi="Arial" w:eastAsia="Arial" w:cs="Arial"/>
                <w:b w:val="0"/>
                <w:bCs w:val="0"/>
                <w:color w:val="000000"/>
                <w:sz w:val="18"/>
                <w:szCs w:val="18"/>
              </w:rPr>
              <w:t>Chief Data Officer (CDO)</w:t>
            </w:r>
          </w:p>
        </w:tc>
        <w:tc>
          <w:tcPr>
            <w:tcW w:w="86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133157BA">
            <w:pPr>
              <w:jc w:val="left"/>
            </w:pPr>
            <w:r>
              <w:rPr>
                <w:rFonts w:ascii="Arial" w:hAnsi="Arial" w:eastAsia="Arial" w:cs="Arial"/>
                <w:b w:val="0"/>
                <w:bCs w:val="0"/>
                <w:color w:val="000000"/>
                <w:sz w:val="18"/>
                <w:szCs w:val="18"/>
              </w:rPr>
              <w:t>Before every model retraining cycle</w:t>
            </w:r>
          </w:p>
        </w:tc>
      </w:tr>
      <w:tr w14:paraId="6BF3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0E3C3E3">
            <w:pPr>
              <w:jc w:val="left"/>
            </w:pPr>
            <w:r>
              <w:rPr>
                <w:rFonts w:ascii="Arial" w:hAnsi="Arial" w:eastAsia="Arial" w:cs="Arial"/>
                <w:b/>
                <w:bCs/>
                <w:color w:val="1F3864"/>
                <w:sz w:val="18"/>
                <w:szCs w:val="18"/>
              </w:rPr>
              <w:t>NS-CTRL-007</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AAB0C90">
            <w:pPr>
              <w:jc w:val="left"/>
            </w:pPr>
            <w:r>
              <w:rPr>
                <w:rFonts w:ascii="Arial" w:hAnsi="Arial" w:eastAsia="Arial" w:cs="Arial"/>
                <w:b w:val="0"/>
                <w:bCs w:val="0"/>
                <w:color w:val="000000"/>
                <w:sz w:val="18"/>
                <w:szCs w:val="18"/>
              </w:rPr>
              <w:t>NS-RISK-008</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2D7E4CB">
            <w:pPr>
              <w:jc w:val="left"/>
            </w:pPr>
            <w:r>
              <w:rPr>
                <w:rFonts w:ascii="Arial" w:hAnsi="Arial" w:eastAsia="Arial" w:cs="Arial"/>
                <w:b w:val="0"/>
                <w:bCs w:val="0"/>
                <w:color w:val="000000"/>
                <w:sz w:val="18"/>
                <w:szCs w:val="18"/>
              </w:rPr>
              <w:t>TalentMatch AI (NS-AI-003)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83A9CBE">
            <w:pPr>
              <w:jc w:val="left"/>
            </w:pPr>
            <w:r>
              <w:rPr>
                <w:rFonts w:ascii="Arial" w:hAnsi="Arial" w:eastAsia="Arial" w:cs="Arial"/>
                <w:b w:val="0"/>
                <w:bCs w:val="0"/>
                <w:color w:val="000000"/>
                <w:sz w:val="18"/>
                <w:szCs w:val="18"/>
              </w:rPr>
              <w:t>Integrate SHAP explainability layer into TalentMatch AI. Generate a written ranking rationale for every candidate. HR must be able to produce a documented explanation for any shortlisting decision within 48 hours of a candidate request. Explanation must reference specific CV criteria — not model scores.</w:t>
            </w:r>
          </w:p>
        </w:tc>
        <w:tc>
          <w:tcPr>
            <w:tcW w:w="8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6002EB4E">
            <w:pPr>
              <w:jc w:val="center"/>
            </w:pPr>
            <w:r>
              <w:rPr>
                <w:rFonts w:ascii="Arial" w:hAnsi="Arial" w:eastAsia="Arial" w:cs="Arial"/>
                <w:b/>
                <w:bCs/>
                <w:color w:val="375623"/>
                <w:sz w:val="18"/>
                <w:szCs w:val="18"/>
              </w:rPr>
              <w:t>Preventive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0CF8250">
            <w:pPr>
              <w:jc w:val="left"/>
            </w:pPr>
            <w:r>
              <w:rPr>
                <w:rFonts w:ascii="Arial" w:hAnsi="Arial" w:eastAsia="Arial" w:cs="Arial"/>
                <w:b w:val="0"/>
                <w:bCs w:val="0"/>
                <w:color w:val="000000"/>
                <w:sz w:val="18"/>
                <w:szCs w:val="18"/>
              </w:rPr>
              <w:t>Article 13 — Transparency; Article 14 — Human oversight</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0742E38">
            <w:pPr>
              <w:jc w:val="left"/>
            </w:pPr>
            <w:r>
              <w:rPr>
                <w:rFonts w:ascii="Arial" w:hAnsi="Arial" w:eastAsia="Arial" w:cs="Arial"/>
                <w:b w:val="0"/>
                <w:bCs w:val="0"/>
                <w:color w:val="000000"/>
                <w:sz w:val="18"/>
                <w:szCs w:val="18"/>
              </w:rPr>
              <w:t>Chief People Officer (CPO)</w:t>
            </w:r>
          </w:p>
        </w:tc>
        <w:tc>
          <w:tcPr>
            <w:tcW w:w="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92BBABE">
            <w:pPr>
              <w:jc w:val="left"/>
            </w:pPr>
            <w:r>
              <w:rPr>
                <w:rFonts w:ascii="Arial" w:hAnsi="Arial" w:eastAsia="Arial" w:cs="Arial"/>
                <w:b w:val="0"/>
                <w:bCs w:val="0"/>
                <w:color w:val="000000"/>
                <w:sz w:val="18"/>
                <w:szCs w:val="18"/>
              </w:rPr>
              <w:t>Quarterly</w:t>
            </w:r>
          </w:p>
        </w:tc>
      </w:tr>
      <w:tr w14:paraId="4B5F7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0FCB9775">
            <w:pPr>
              <w:jc w:val="left"/>
            </w:pPr>
            <w:r>
              <w:rPr>
                <w:rFonts w:ascii="Arial" w:hAnsi="Arial" w:eastAsia="Arial" w:cs="Arial"/>
                <w:b/>
                <w:bCs/>
                <w:color w:val="1F3864"/>
                <w:sz w:val="18"/>
                <w:szCs w:val="18"/>
              </w:rPr>
              <w:t>NS-CTRL-008</w:t>
            </w:r>
          </w:p>
        </w:tc>
        <w:tc>
          <w:tcPr>
            <w:tcW w:w="9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2AF0A07D">
            <w:pPr>
              <w:jc w:val="left"/>
            </w:pPr>
            <w:r>
              <w:rPr>
                <w:rFonts w:ascii="Arial" w:hAnsi="Arial" w:eastAsia="Arial" w:cs="Arial"/>
                <w:b w:val="0"/>
                <w:bCs w:val="0"/>
                <w:color w:val="000000"/>
                <w:sz w:val="18"/>
                <w:szCs w:val="18"/>
              </w:rPr>
              <w:t>NS-RISK-005</w:t>
            </w:r>
          </w:p>
        </w:tc>
        <w:tc>
          <w:tcPr>
            <w:tcW w:w="14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54E123D5">
            <w:pPr>
              <w:jc w:val="left"/>
            </w:pPr>
            <w:r>
              <w:rPr>
                <w:rFonts w:ascii="Arial" w:hAnsi="Arial" w:eastAsia="Arial" w:cs="Arial"/>
                <w:b w:val="0"/>
                <w:bCs w:val="0"/>
                <w:color w:val="000000"/>
                <w:sz w:val="18"/>
                <w:szCs w:val="18"/>
              </w:rPr>
              <w:t>DocIntel Underwriting (NS-AI-006)</w:t>
            </w:r>
          </w:p>
        </w:tc>
        <w:tc>
          <w:tcPr>
            <w:tcW w:w="28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02D4663A">
            <w:pPr>
              <w:jc w:val="left"/>
            </w:pPr>
            <w:r>
              <w:rPr>
                <w:rFonts w:ascii="Arial" w:hAnsi="Arial" w:eastAsia="Arial" w:cs="Arial"/>
                <w:b w:val="0"/>
                <w:bCs w:val="0"/>
                <w:color w:val="000000"/>
                <w:sz w:val="18"/>
                <w:szCs w:val="18"/>
              </w:rPr>
              <w:t>Immediately enforce mandatory human review gate for all DocIntel Accept decisions. No insurance claim may be approved without a qualified underwriter reviewing and countersigning the AI decision. Review gate to be built into workflow system so Accept decisions cannot be processed without human sign-off.</w:t>
            </w:r>
          </w:p>
        </w:tc>
        <w:tc>
          <w:tcPr>
            <w:tcW w:w="8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73D42644">
            <w:pPr>
              <w:jc w:val="center"/>
            </w:pPr>
            <w:r>
              <w:rPr>
                <w:rFonts w:ascii="Arial" w:hAnsi="Arial" w:eastAsia="Arial" w:cs="Arial"/>
                <w:b/>
                <w:bCs/>
                <w:color w:val="375623"/>
                <w:sz w:val="18"/>
                <w:szCs w:val="18"/>
              </w:rPr>
              <w:t>Preventive</w:t>
            </w:r>
          </w:p>
        </w:tc>
        <w:tc>
          <w:tcPr>
            <w:tcW w:w="12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7C2C19D7">
            <w:pPr>
              <w:jc w:val="left"/>
            </w:pPr>
            <w:r>
              <w:rPr>
                <w:rFonts w:ascii="Arial" w:hAnsi="Arial" w:eastAsia="Arial" w:cs="Arial"/>
                <w:b w:val="0"/>
                <w:bCs w:val="0"/>
                <w:color w:val="000000"/>
                <w:sz w:val="18"/>
                <w:szCs w:val="18"/>
              </w:rPr>
              <w:t>Article 14 — Human oversight of High Risk AI systems</w:t>
            </w:r>
          </w:p>
        </w:tc>
        <w:tc>
          <w:tcPr>
            <w:tcW w:w="11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694A9A89">
            <w:pPr>
              <w:jc w:val="left"/>
            </w:pPr>
            <w:r>
              <w:rPr>
                <w:rFonts w:ascii="Arial" w:hAnsi="Arial" w:eastAsia="Arial" w:cs="Arial"/>
                <w:b w:val="0"/>
                <w:bCs w:val="0"/>
                <w:color w:val="000000"/>
                <w:sz w:val="18"/>
                <w:szCs w:val="18"/>
              </w:rPr>
              <w:t>Chief Operations Officer (COO)</w:t>
            </w:r>
          </w:p>
        </w:tc>
        <w:tc>
          <w:tcPr>
            <w:tcW w:w="86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22754FFE">
            <w:pPr>
              <w:jc w:val="left"/>
            </w:pPr>
            <w:r>
              <w:rPr>
                <w:rFonts w:ascii="Arial" w:hAnsi="Arial" w:eastAsia="Arial" w:cs="Arial"/>
                <w:b w:val="0"/>
                <w:bCs w:val="0"/>
                <w:color w:val="000000"/>
                <w:sz w:val="18"/>
                <w:szCs w:val="18"/>
              </w:rPr>
              <w:t>Immediate implementation — Monthly compliance check</w:t>
            </w:r>
          </w:p>
        </w:tc>
      </w:tr>
      <w:tr w14:paraId="6ACCE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726A049">
            <w:pPr>
              <w:jc w:val="left"/>
            </w:pPr>
            <w:r>
              <w:rPr>
                <w:rFonts w:ascii="Arial" w:hAnsi="Arial" w:eastAsia="Arial" w:cs="Arial"/>
                <w:b/>
                <w:bCs/>
                <w:color w:val="1F3864"/>
                <w:sz w:val="18"/>
                <w:szCs w:val="18"/>
              </w:rPr>
              <w:t>NS-CTRL-009</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DC7CCAC">
            <w:pPr>
              <w:jc w:val="left"/>
            </w:pPr>
            <w:r>
              <w:rPr>
                <w:rFonts w:ascii="Arial" w:hAnsi="Arial" w:eastAsia="Arial" w:cs="Arial"/>
                <w:b w:val="0"/>
                <w:bCs w:val="0"/>
                <w:color w:val="000000"/>
                <w:sz w:val="18"/>
                <w:szCs w:val="18"/>
              </w:rPr>
              <w:t>NS-RISK-005</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CF8CFA7">
            <w:pPr>
              <w:jc w:val="left"/>
            </w:pPr>
            <w:r>
              <w:rPr>
                <w:rFonts w:ascii="Arial" w:hAnsi="Arial" w:eastAsia="Arial" w:cs="Arial"/>
                <w:b w:val="0"/>
                <w:bCs w:val="0"/>
                <w:color w:val="000000"/>
                <w:sz w:val="18"/>
                <w:szCs w:val="18"/>
              </w:rPr>
              <w:t>DocIntel Underwriting (NS-AI-006)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A1834D0">
            <w:pPr>
              <w:jc w:val="left"/>
            </w:pPr>
            <w:r>
              <w:rPr>
                <w:rFonts w:ascii="Arial" w:hAnsi="Arial" w:eastAsia="Arial" w:cs="Arial"/>
                <w:b w:val="0"/>
                <w:bCs w:val="0"/>
                <w:color w:val="000000"/>
                <w:sz w:val="18"/>
                <w:szCs w:val="18"/>
              </w:rPr>
              <w:t>Implement full audit logging of all DocIntel decisions recording whether each decision was reviewed by a human or auto-processed. Monthly compliance report to CCO showing percentage of decisions with human review. Any month below 100% human review rate triggers immediate escalation to board.</w:t>
            </w:r>
          </w:p>
        </w:tc>
        <w:tc>
          <w:tcPr>
            <w:tcW w:w="80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center"/>
          </w:tcPr>
          <w:p w14:paraId="2ECC2B49">
            <w:pPr>
              <w:jc w:val="center"/>
            </w:pPr>
            <w:r>
              <w:rPr>
                <w:rFonts w:ascii="Arial" w:hAnsi="Arial" w:eastAsia="Arial" w:cs="Arial"/>
                <w:b/>
                <w:bCs/>
                <w:color w:val="7F6000"/>
                <w:sz w:val="18"/>
                <w:szCs w:val="18"/>
              </w:rPr>
              <w:t>Detective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61C918A">
            <w:pPr>
              <w:jc w:val="left"/>
            </w:pPr>
            <w:r>
              <w:rPr>
                <w:rFonts w:ascii="Arial" w:hAnsi="Arial" w:eastAsia="Arial" w:cs="Arial"/>
                <w:b w:val="0"/>
                <w:bCs w:val="0"/>
                <w:color w:val="000000"/>
                <w:sz w:val="18"/>
                <w:szCs w:val="18"/>
              </w:rPr>
              <w:t>Article 12 — Record keeping; Article 14 — Human oversight</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1BBE0E2">
            <w:pPr>
              <w:jc w:val="left"/>
            </w:pPr>
            <w:r>
              <w:rPr>
                <w:rFonts w:ascii="Arial" w:hAnsi="Arial" w:eastAsia="Arial" w:cs="Arial"/>
                <w:b w:val="0"/>
                <w:bCs w:val="0"/>
                <w:color w:val="000000"/>
                <w:sz w:val="18"/>
                <w:szCs w:val="18"/>
              </w:rPr>
              <w:t>Chief Compliance Officer (CCO)</w:t>
            </w:r>
          </w:p>
        </w:tc>
        <w:tc>
          <w:tcPr>
            <w:tcW w:w="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CF5F775">
            <w:pPr>
              <w:jc w:val="left"/>
            </w:pPr>
            <w:r>
              <w:rPr>
                <w:rFonts w:ascii="Arial" w:hAnsi="Arial" w:eastAsia="Arial" w:cs="Arial"/>
                <w:b w:val="0"/>
                <w:bCs w:val="0"/>
                <w:color w:val="000000"/>
                <w:sz w:val="18"/>
                <w:szCs w:val="18"/>
              </w:rPr>
              <w:t>Monthly reporting</w:t>
            </w:r>
          </w:p>
        </w:tc>
      </w:tr>
      <w:tr w14:paraId="6249D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75EA77B1">
            <w:pPr>
              <w:jc w:val="left"/>
            </w:pPr>
            <w:r>
              <w:rPr>
                <w:rFonts w:ascii="Arial" w:hAnsi="Arial" w:eastAsia="Arial" w:cs="Arial"/>
                <w:b/>
                <w:bCs/>
                <w:color w:val="1F3864"/>
                <w:sz w:val="18"/>
                <w:szCs w:val="18"/>
              </w:rPr>
              <w:t>NS-CTRL-010</w:t>
            </w:r>
          </w:p>
        </w:tc>
        <w:tc>
          <w:tcPr>
            <w:tcW w:w="9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30DE1BA3">
            <w:pPr>
              <w:jc w:val="left"/>
            </w:pPr>
            <w:r>
              <w:rPr>
                <w:rFonts w:ascii="Arial" w:hAnsi="Arial" w:eastAsia="Arial" w:cs="Arial"/>
                <w:b w:val="0"/>
                <w:bCs w:val="0"/>
                <w:color w:val="000000"/>
                <w:sz w:val="18"/>
                <w:szCs w:val="18"/>
              </w:rPr>
              <w:t>NS-RISK-006</w:t>
            </w:r>
          </w:p>
        </w:tc>
        <w:tc>
          <w:tcPr>
            <w:tcW w:w="14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65068C6A">
            <w:pPr>
              <w:jc w:val="left"/>
            </w:pPr>
            <w:r>
              <w:rPr>
                <w:rFonts w:ascii="Arial" w:hAnsi="Arial" w:eastAsia="Arial" w:cs="Arial"/>
                <w:b w:val="0"/>
                <w:bCs w:val="0"/>
                <w:color w:val="000000"/>
                <w:sz w:val="18"/>
                <w:szCs w:val="18"/>
              </w:rPr>
              <w:t>DocIntel Underwriting (NS-AI-006)</w:t>
            </w:r>
          </w:p>
        </w:tc>
        <w:tc>
          <w:tcPr>
            <w:tcW w:w="28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7C8D8D4F">
            <w:pPr>
              <w:jc w:val="left"/>
            </w:pPr>
            <w:r>
              <w:rPr>
                <w:rFonts w:ascii="Arial" w:hAnsi="Arial" w:eastAsia="Arial" w:cs="Arial"/>
                <w:b w:val="0"/>
                <w:bCs w:val="0"/>
                <w:color w:val="000000"/>
                <w:sz w:val="18"/>
                <w:szCs w:val="18"/>
              </w:rPr>
              <w:t>Commission adversarial robustness testing of DocIntel Underwriting. Testing must simulate digitally altered claim documents and attempt to identify manipulation vulnerabilities. Penetration testing report to be reviewed by CISO. Findings to be remediated before DocIntel exits pilot phase.</w:t>
            </w:r>
          </w:p>
        </w:tc>
        <w:tc>
          <w:tcPr>
            <w:tcW w:w="8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5C36FF88">
            <w:pPr>
              <w:jc w:val="center"/>
            </w:pPr>
            <w:r>
              <w:rPr>
                <w:rFonts w:ascii="Arial" w:hAnsi="Arial" w:eastAsia="Arial" w:cs="Arial"/>
                <w:b/>
                <w:bCs/>
                <w:color w:val="375623"/>
                <w:sz w:val="18"/>
                <w:szCs w:val="18"/>
              </w:rPr>
              <w:t>Preventive</w:t>
            </w:r>
          </w:p>
        </w:tc>
        <w:tc>
          <w:tcPr>
            <w:tcW w:w="12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48F126A2">
            <w:pPr>
              <w:jc w:val="left"/>
            </w:pPr>
            <w:r>
              <w:rPr>
                <w:rFonts w:ascii="Arial" w:hAnsi="Arial" w:eastAsia="Arial" w:cs="Arial"/>
                <w:b w:val="0"/>
                <w:bCs w:val="0"/>
                <w:color w:val="000000"/>
                <w:sz w:val="18"/>
                <w:szCs w:val="18"/>
              </w:rPr>
              <w:t>Article 15 — Accuracy, robustness and cybersecurity</w:t>
            </w:r>
          </w:p>
        </w:tc>
        <w:tc>
          <w:tcPr>
            <w:tcW w:w="11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7911D5FF">
            <w:pPr>
              <w:jc w:val="left"/>
            </w:pPr>
            <w:r>
              <w:rPr>
                <w:rFonts w:ascii="Arial" w:hAnsi="Arial" w:eastAsia="Arial" w:cs="Arial"/>
                <w:b w:val="0"/>
                <w:bCs w:val="0"/>
                <w:color w:val="000000"/>
                <w:sz w:val="18"/>
                <w:szCs w:val="18"/>
              </w:rPr>
              <w:t>Chief Information Security Officer (CISO)</w:t>
            </w:r>
          </w:p>
        </w:tc>
        <w:tc>
          <w:tcPr>
            <w:tcW w:w="86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0C51D6FE">
            <w:pPr>
              <w:jc w:val="left"/>
            </w:pPr>
            <w:r>
              <w:rPr>
                <w:rFonts w:ascii="Arial" w:hAnsi="Arial" w:eastAsia="Arial" w:cs="Arial"/>
                <w:b w:val="0"/>
                <w:bCs w:val="0"/>
                <w:color w:val="000000"/>
                <w:sz w:val="18"/>
                <w:szCs w:val="18"/>
              </w:rPr>
              <w:t>Annually and before every major version update</w:t>
            </w:r>
          </w:p>
        </w:tc>
      </w:tr>
      <w:tr w14:paraId="243CD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33B9994">
            <w:pPr>
              <w:jc w:val="left"/>
            </w:pPr>
            <w:r>
              <w:rPr>
                <w:rFonts w:ascii="Arial" w:hAnsi="Arial" w:eastAsia="Arial" w:cs="Arial"/>
                <w:b/>
                <w:bCs/>
                <w:color w:val="1F3864"/>
                <w:sz w:val="18"/>
                <w:szCs w:val="18"/>
              </w:rPr>
              <w:t>NS-CTRL-011</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26BCD1F">
            <w:pPr>
              <w:jc w:val="left"/>
            </w:pPr>
            <w:r>
              <w:rPr>
                <w:rFonts w:ascii="Arial" w:hAnsi="Arial" w:eastAsia="Arial" w:cs="Arial"/>
                <w:b w:val="0"/>
                <w:bCs w:val="0"/>
                <w:color w:val="000000"/>
                <w:sz w:val="18"/>
                <w:szCs w:val="18"/>
              </w:rPr>
              <w:t>NS-RISK-009</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E5F19EB">
            <w:pPr>
              <w:jc w:val="left"/>
            </w:pPr>
            <w:r>
              <w:rPr>
                <w:rFonts w:ascii="Arial" w:hAnsi="Arial" w:eastAsia="Arial" w:cs="Arial"/>
                <w:b w:val="0"/>
                <w:bCs w:val="0"/>
                <w:color w:val="000000"/>
                <w:sz w:val="18"/>
                <w:szCs w:val="18"/>
              </w:rPr>
              <w:t>DocIntel Underwriting (NS-AI-006)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FADE0E9">
            <w:pPr>
              <w:jc w:val="left"/>
            </w:pPr>
            <w:r>
              <w:rPr>
                <w:rFonts w:ascii="Arial" w:hAnsi="Arial" w:eastAsia="Arial" w:cs="Arial"/>
                <w:b w:val="0"/>
                <w:bCs w:val="0"/>
                <w:color w:val="000000"/>
                <w:sz w:val="18"/>
                <w:szCs w:val="18"/>
              </w:rPr>
              <w:t>Conduct data relevance review of DocIntel training dataset. Assess whether 5-year-old claims data remains representative of current NorthStar customer base and product mix. If material drift identified, initiate model retraining on updated dataset before DocIntel exits pilot.</w:t>
            </w:r>
          </w:p>
        </w:tc>
        <w:tc>
          <w:tcPr>
            <w:tcW w:w="800" w:type="dxa"/>
            <w:tcBorders>
              <w:top w:val="single" w:color="AAAAAA" w:sz="0" w:space="0"/>
              <w:left w:val="single" w:color="AAAAAA" w:sz="0" w:space="0"/>
              <w:bottom w:val="single" w:color="AAAAAA" w:sz="0" w:space="0"/>
              <w:right w:val="single" w:color="AAAAAA" w:sz="0" w:space="0"/>
            </w:tcBorders>
            <w:shd w:val="clear" w:color="auto" w:fill="FFCCCC"/>
            <w:tcMar>
              <w:top w:w="80" w:type="dxa"/>
              <w:left w:w="120" w:type="dxa"/>
              <w:bottom w:w="80" w:type="dxa"/>
              <w:right w:w="120" w:type="dxa"/>
            </w:tcMar>
            <w:vAlign w:val="center"/>
          </w:tcPr>
          <w:p w14:paraId="39E42FAE">
            <w:pPr>
              <w:jc w:val="center"/>
            </w:pPr>
            <w:r>
              <w:rPr>
                <w:rFonts w:ascii="Arial" w:hAnsi="Arial" w:eastAsia="Arial" w:cs="Arial"/>
                <w:b/>
                <w:bCs/>
                <w:color w:val="C00000"/>
                <w:sz w:val="18"/>
                <w:szCs w:val="18"/>
              </w:rPr>
              <w:t>Corrective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6B0BB75">
            <w:pPr>
              <w:jc w:val="left"/>
            </w:pPr>
            <w:r>
              <w:rPr>
                <w:rFonts w:ascii="Arial" w:hAnsi="Arial" w:eastAsia="Arial" w:cs="Arial"/>
                <w:b w:val="0"/>
                <w:bCs w:val="0"/>
                <w:color w:val="000000"/>
                <w:sz w:val="18"/>
                <w:szCs w:val="18"/>
              </w:rPr>
              <w:t>Article 10 — Data governance</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60B99DE">
            <w:pPr>
              <w:jc w:val="left"/>
            </w:pPr>
            <w:r>
              <w:rPr>
                <w:rFonts w:ascii="Arial" w:hAnsi="Arial" w:eastAsia="Arial" w:cs="Arial"/>
                <w:b w:val="0"/>
                <w:bCs w:val="0"/>
                <w:color w:val="000000"/>
                <w:sz w:val="18"/>
                <w:szCs w:val="18"/>
              </w:rPr>
              <w:t>Chief Data Officer (CDO)</w:t>
            </w:r>
          </w:p>
        </w:tc>
        <w:tc>
          <w:tcPr>
            <w:tcW w:w="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40AC4E3">
            <w:pPr>
              <w:jc w:val="left"/>
            </w:pPr>
            <w:r>
              <w:rPr>
                <w:rFonts w:ascii="Arial" w:hAnsi="Arial" w:eastAsia="Arial" w:cs="Arial"/>
                <w:b w:val="0"/>
                <w:bCs w:val="0"/>
                <w:color w:val="000000"/>
                <w:sz w:val="18"/>
                <w:szCs w:val="18"/>
              </w:rPr>
              <w:t>Annually</w:t>
            </w:r>
          </w:p>
        </w:tc>
      </w:tr>
      <w:tr w14:paraId="19779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1A30794A">
            <w:pPr>
              <w:jc w:val="left"/>
            </w:pPr>
            <w:r>
              <w:rPr>
                <w:rFonts w:ascii="Arial" w:hAnsi="Arial" w:eastAsia="Arial" w:cs="Arial"/>
                <w:b/>
                <w:bCs/>
                <w:color w:val="1F3864"/>
                <w:sz w:val="18"/>
                <w:szCs w:val="18"/>
              </w:rPr>
              <w:t>NS-CTRL-012</w:t>
            </w:r>
          </w:p>
        </w:tc>
        <w:tc>
          <w:tcPr>
            <w:tcW w:w="9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788F2443">
            <w:pPr>
              <w:jc w:val="left"/>
            </w:pPr>
            <w:r>
              <w:rPr>
                <w:rFonts w:ascii="Arial" w:hAnsi="Arial" w:eastAsia="Arial" w:cs="Arial"/>
                <w:b w:val="0"/>
                <w:bCs w:val="0"/>
                <w:color w:val="000000"/>
                <w:sz w:val="18"/>
                <w:szCs w:val="18"/>
              </w:rPr>
              <w:t>NS-RISK-005, NS-RISK-006</w:t>
            </w:r>
          </w:p>
        </w:tc>
        <w:tc>
          <w:tcPr>
            <w:tcW w:w="14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473803B4">
            <w:pPr>
              <w:jc w:val="left"/>
            </w:pPr>
            <w:r>
              <w:rPr>
                <w:rFonts w:ascii="Arial" w:hAnsi="Arial" w:eastAsia="Arial" w:cs="Arial"/>
                <w:b w:val="0"/>
                <w:bCs w:val="0"/>
                <w:color w:val="000000"/>
                <w:sz w:val="18"/>
                <w:szCs w:val="18"/>
              </w:rPr>
              <w:t>DocIntel Underwriting (NS-AI-006)</w:t>
            </w:r>
          </w:p>
        </w:tc>
        <w:tc>
          <w:tcPr>
            <w:tcW w:w="28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07760122">
            <w:pPr>
              <w:jc w:val="left"/>
            </w:pPr>
            <w:r>
              <w:rPr>
                <w:rFonts w:ascii="Arial" w:hAnsi="Arial" w:eastAsia="Arial" w:cs="Arial"/>
                <w:b w:val="0"/>
                <w:bCs w:val="0"/>
                <w:color w:val="000000"/>
                <w:sz w:val="18"/>
                <w:szCs w:val="18"/>
              </w:rPr>
              <w:t>Establish formal Go-Live Gate for DocIntel Underwriting exit from pilot. Gate criteria must include: Article 14 human review process fully implemented, adversarial testing complete, conformity assessment registered under Article 43, and CCO sign-off obtained. DocIntel must not exit pilot until all gate criteria are met.</w:t>
            </w:r>
          </w:p>
        </w:tc>
        <w:tc>
          <w:tcPr>
            <w:tcW w:w="8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7E1E871A">
            <w:pPr>
              <w:jc w:val="center"/>
            </w:pPr>
            <w:r>
              <w:rPr>
                <w:rFonts w:ascii="Arial" w:hAnsi="Arial" w:eastAsia="Arial" w:cs="Arial"/>
                <w:b/>
                <w:bCs/>
                <w:color w:val="375623"/>
                <w:sz w:val="18"/>
                <w:szCs w:val="18"/>
              </w:rPr>
              <w:t>Preventive</w:t>
            </w:r>
          </w:p>
        </w:tc>
        <w:tc>
          <w:tcPr>
            <w:tcW w:w="12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220150BC">
            <w:pPr>
              <w:jc w:val="left"/>
            </w:pPr>
            <w:r>
              <w:rPr>
                <w:rFonts w:ascii="Arial" w:hAnsi="Arial" w:eastAsia="Arial" w:cs="Arial"/>
                <w:b w:val="0"/>
                <w:bCs w:val="0"/>
                <w:color w:val="000000"/>
                <w:sz w:val="18"/>
                <w:szCs w:val="18"/>
              </w:rPr>
              <w:t>Article 43 — Conformity assessment; Article 9 — Risk management</w:t>
            </w:r>
          </w:p>
        </w:tc>
        <w:tc>
          <w:tcPr>
            <w:tcW w:w="110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565B53BF">
            <w:pPr>
              <w:jc w:val="left"/>
            </w:pPr>
            <w:r>
              <w:rPr>
                <w:rFonts w:ascii="Arial" w:hAnsi="Arial" w:eastAsia="Arial" w:cs="Arial"/>
                <w:b w:val="0"/>
                <w:bCs w:val="0"/>
                <w:color w:val="000000"/>
                <w:sz w:val="18"/>
                <w:szCs w:val="18"/>
              </w:rPr>
              <w:t>Chief Compliance Officer (CCO)</w:t>
            </w:r>
          </w:p>
        </w:tc>
        <w:tc>
          <w:tcPr>
            <w:tcW w:w="860" w:type="dxa"/>
            <w:tcBorders>
              <w:top w:val="single" w:color="AAAAAA" w:sz="0" w:space="0"/>
              <w:left w:val="single" w:color="AAAAAA" w:sz="0" w:space="0"/>
              <w:bottom w:val="single" w:color="AAAAAA" w:sz="0" w:space="0"/>
              <w:right w:val="single" w:color="AAAAAA" w:sz="0" w:space="0"/>
            </w:tcBorders>
            <w:shd w:val="clear" w:color="auto" w:fill="F0F5FF"/>
            <w:tcMar>
              <w:top w:w="80" w:type="dxa"/>
              <w:left w:w="120" w:type="dxa"/>
              <w:bottom w:w="80" w:type="dxa"/>
              <w:right w:w="120" w:type="dxa"/>
            </w:tcMar>
            <w:vAlign w:val="center"/>
          </w:tcPr>
          <w:p w14:paraId="5C89AC6A">
            <w:pPr>
              <w:jc w:val="left"/>
            </w:pPr>
            <w:r>
              <w:rPr>
                <w:rFonts w:ascii="Arial" w:hAnsi="Arial" w:eastAsia="Arial" w:cs="Arial"/>
                <w:b w:val="0"/>
                <w:bCs w:val="0"/>
                <w:color w:val="000000"/>
                <w:sz w:val="18"/>
                <w:szCs w:val="18"/>
              </w:rPr>
              <w:t>One-time gate — then quarterly post go-live</w:t>
            </w:r>
          </w:p>
        </w:tc>
      </w:tr>
    </w:tbl>
    <w:p w14:paraId="43BE9D7C">
      <w:pPr>
        <w:spacing w:before="100" w:after="100"/>
      </w:pPr>
    </w:p>
    <w:p w14:paraId="668E4760">
      <w:pPr>
        <w:spacing w:before="100" w:after="100"/>
      </w:pPr>
    </w:p>
    <w:p w14:paraId="02908F87">
      <w:pPr>
        <w:spacing w:before="300" w:after="120"/>
      </w:pPr>
      <w:r>
        <w:rPr>
          <w:rFonts w:ascii="Arial" w:hAnsi="Arial" w:eastAsia="Arial" w:cs="Arial"/>
          <w:b/>
          <w:bCs/>
          <w:color w:val="1F3864"/>
          <w:sz w:val="26"/>
          <w:szCs w:val="26"/>
        </w:rPr>
        <w:t>CONTROL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B19D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1FCA69D">
            <w:pPr>
              <w:jc w:val="center"/>
            </w:pPr>
            <w:r>
              <w:rPr>
                <w:rFonts w:ascii="Arial" w:hAnsi="Arial" w:eastAsia="Arial" w:cs="Arial"/>
                <w:b/>
                <w:bCs/>
                <w:color w:val="FFFFFF"/>
                <w:sz w:val="18"/>
                <w:szCs w:val="18"/>
              </w:rPr>
              <w:t>SUMMARY ITEM</w:t>
            </w:r>
          </w:p>
        </w:tc>
        <w:tc>
          <w:tcPr>
            <w:tcW w:w="6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FB852D6">
            <w:pPr>
              <w:jc w:val="left"/>
            </w:pPr>
            <w:r>
              <w:rPr>
                <w:rFonts w:ascii="Arial" w:hAnsi="Arial" w:eastAsia="Arial" w:cs="Arial"/>
                <w:b/>
                <w:bCs/>
                <w:color w:val="FFFFFF"/>
                <w:sz w:val="18"/>
                <w:szCs w:val="18"/>
              </w:rPr>
              <w:t>DETAIL</w:t>
            </w:r>
          </w:p>
        </w:tc>
      </w:tr>
      <w:tr w14:paraId="17CA1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vAlign w:val="center"/>
          </w:tcPr>
          <w:p w14:paraId="3C042D2D">
            <w:pPr>
              <w:jc w:val="left"/>
            </w:pPr>
            <w:r>
              <w:rPr>
                <w:rFonts w:ascii="Arial" w:hAnsi="Arial" w:eastAsia="Arial" w:cs="Arial"/>
                <w:b/>
                <w:bCs/>
                <w:color w:val="1F3864"/>
                <w:sz w:val="18"/>
                <w:szCs w:val="18"/>
              </w:rPr>
              <w:t>Total Controls Identified</w:t>
            </w:r>
          </w:p>
        </w:tc>
        <w:tc>
          <w:tcPr>
            <w:tcW w:w="636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vAlign w:val="center"/>
          </w:tcPr>
          <w:p w14:paraId="5357D9F9">
            <w:pPr>
              <w:jc w:val="left"/>
            </w:pPr>
            <w:r>
              <w:rPr>
                <w:rFonts w:ascii="Arial" w:hAnsi="Arial" w:eastAsia="Arial" w:cs="Arial"/>
                <w:b w:val="0"/>
                <w:bCs w:val="0"/>
                <w:color w:val="000000"/>
                <w:sz w:val="18"/>
                <w:szCs w:val="18"/>
              </w:rPr>
              <w:t>12</w:t>
            </w:r>
          </w:p>
        </w:tc>
      </w:tr>
      <w:tr w14:paraId="64D5C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39DD248">
            <w:pPr>
              <w:jc w:val="left"/>
            </w:pPr>
            <w:r>
              <w:rPr>
                <w:rFonts w:ascii="Arial" w:hAnsi="Arial" w:eastAsia="Arial" w:cs="Arial"/>
                <w:b/>
                <w:bCs/>
                <w:color w:val="1F3864"/>
                <w:sz w:val="18"/>
                <w:szCs w:val="18"/>
              </w:rPr>
              <w:t>Preventive Controls</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5DE8EB2">
            <w:pPr>
              <w:jc w:val="left"/>
            </w:pPr>
            <w:r>
              <w:rPr>
                <w:rFonts w:ascii="Arial" w:hAnsi="Arial" w:eastAsia="Arial" w:cs="Arial"/>
                <w:b w:val="0"/>
                <w:bCs w:val="0"/>
                <w:color w:val="000000"/>
                <w:sz w:val="18"/>
                <w:szCs w:val="18"/>
              </w:rPr>
              <w:t>7 — NS-CTRL-001, 003, 007, 008, 010, 012 + one additional</w:t>
            </w:r>
          </w:p>
        </w:tc>
      </w:tr>
      <w:tr w14:paraId="43407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vAlign w:val="center"/>
          </w:tcPr>
          <w:p w14:paraId="4DC92C98">
            <w:pPr>
              <w:jc w:val="left"/>
            </w:pPr>
            <w:r>
              <w:rPr>
                <w:rFonts w:ascii="Arial" w:hAnsi="Arial" w:eastAsia="Arial" w:cs="Arial"/>
                <w:b/>
                <w:bCs/>
                <w:color w:val="1F3864"/>
                <w:sz w:val="18"/>
                <w:szCs w:val="18"/>
              </w:rPr>
              <w:t>Detective Controls</w:t>
            </w:r>
          </w:p>
        </w:tc>
        <w:tc>
          <w:tcPr>
            <w:tcW w:w="636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vAlign w:val="center"/>
          </w:tcPr>
          <w:p w14:paraId="752FA67B">
            <w:pPr>
              <w:jc w:val="left"/>
            </w:pPr>
            <w:r>
              <w:rPr>
                <w:rFonts w:ascii="Arial" w:hAnsi="Arial" w:eastAsia="Arial" w:cs="Arial"/>
                <w:b w:val="0"/>
                <w:bCs w:val="0"/>
                <w:color w:val="000000"/>
                <w:sz w:val="18"/>
                <w:szCs w:val="18"/>
              </w:rPr>
              <w:t>3 — NS-CTRL-002, 004, 009</w:t>
            </w:r>
          </w:p>
        </w:tc>
      </w:tr>
      <w:tr w14:paraId="70E51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B2B972C">
            <w:pPr>
              <w:jc w:val="left"/>
            </w:pPr>
            <w:r>
              <w:rPr>
                <w:rFonts w:ascii="Arial" w:hAnsi="Arial" w:eastAsia="Arial" w:cs="Arial"/>
                <w:b/>
                <w:bCs/>
                <w:color w:val="1F3864"/>
                <w:sz w:val="18"/>
                <w:szCs w:val="18"/>
              </w:rPr>
              <w:t>Corrective Controls</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8ABD455">
            <w:pPr>
              <w:jc w:val="left"/>
            </w:pPr>
            <w:r>
              <w:rPr>
                <w:rFonts w:ascii="Arial" w:hAnsi="Arial" w:eastAsia="Arial" w:cs="Arial"/>
                <w:b w:val="0"/>
                <w:bCs w:val="0"/>
                <w:color w:val="000000"/>
                <w:sz w:val="18"/>
                <w:szCs w:val="18"/>
              </w:rPr>
              <w:t>3 — NS-CTRL-005, 006, 011</w:t>
            </w:r>
          </w:p>
        </w:tc>
      </w:tr>
      <w:tr w14:paraId="3FBEE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vAlign w:val="center"/>
          </w:tcPr>
          <w:p w14:paraId="49A9D27A">
            <w:pPr>
              <w:jc w:val="left"/>
            </w:pPr>
            <w:r>
              <w:rPr>
                <w:rFonts w:ascii="Arial" w:hAnsi="Arial" w:eastAsia="Arial" w:cs="Arial"/>
                <w:b/>
                <w:bCs/>
                <w:color w:val="1F3864"/>
                <w:sz w:val="18"/>
                <w:szCs w:val="18"/>
              </w:rPr>
              <w:t>CreditScore Pro Controls</w:t>
            </w:r>
          </w:p>
        </w:tc>
        <w:tc>
          <w:tcPr>
            <w:tcW w:w="636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vAlign w:val="center"/>
          </w:tcPr>
          <w:p w14:paraId="4B41E1B9">
            <w:pPr>
              <w:jc w:val="left"/>
            </w:pPr>
            <w:r>
              <w:rPr>
                <w:rFonts w:ascii="Arial" w:hAnsi="Arial" w:eastAsia="Arial" w:cs="Arial"/>
                <w:b w:val="0"/>
                <w:bCs w:val="0"/>
                <w:color w:val="000000"/>
                <w:sz w:val="18"/>
                <w:szCs w:val="18"/>
              </w:rPr>
              <w:t>4 controls (NS-CTRL-001 to NS-CTRL-004)</w:t>
            </w:r>
          </w:p>
        </w:tc>
      </w:tr>
      <w:tr w14:paraId="1475D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B2EC31B">
            <w:pPr>
              <w:jc w:val="left"/>
            </w:pPr>
            <w:r>
              <w:rPr>
                <w:rFonts w:ascii="Arial" w:hAnsi="Arial" w:eastAsia="Arial" w:cs="Arial"/>
                <w:b/>
                <w:bCs/>
                <w:color w:val="1F3864"/>
                <w:sz w:val="18"/>
                <w:szCs w:val="18"/>
              </w:rPr>
              <w:t>TalentMatch AI Controls</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10D0075">
            <w:pPr>
              <w:jc w:val="left"/>
            </w:pPr>
            <w:r>
              <w:rPr>
                <w:rFonts w:ascii="Arial" w:hAnsi="Arial" w:eastAsia="Arial" w:cs="Arial"/>
                <w:b w:val="0"/>
                <w:bCs w:val="0"/>
                <w:color w:val="000000"/>
                <w:sz w:val="18"/>
                <w:szCs w:val="18"/>
              </w:rPr>
              <w:t>3 controls (NS-CTRL-005 to NS-CTRL-007)</w:t>
            </w:r>
          </w:p>
        </w:tc>
      </w:tr>
      <w:tr w14:paraId="0FCBC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vAlign w:val="center"/>
          </w:tcPr>
          <w:p w14:paraId="5FF49E68">
            <w:pPr>
              <w:jc w:val="left"/>
            </w:pPr>
            <w:r>
              <w:rPr>
                <w:rFonts w:ascii="Arial" w:hAnsi="Arial" w:eastAsia="Arial" w:cs="Arial"/>
                <w:b/>
                <w:bCs/>
                <w:color w:val="1F3864"/>
                <w:sz w:val="18"/>
                <w:szCs w:val="18"/>
              </w:rPr>
              <w:t>DocIntel Underwriting Controls</w:t>
            </w:r>
          </w:p>
        </w:tc>
        <w:tc>
          <w:tcPr>
            <w:tcW w:w="636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vAlign w:val="center"/>
          </w:tcPr>
          <w:p w14:paraId="600BFD35">
            <w:pPr>
              <w:jc w:val="left"/>
            </w:pPr>
            <w:r>
              <w:rPr>
                <w:rFonts w:ascii="Arial" w:hAnsi="Arial" w:eastAsia="Arial" w:cs="Arial"/>
                <w:b w:val="0"/>
                <w:bCs w:val="0"/>
                <w:color w:val="000000"/>
                <w:sz w:val="18"/>
                <w:szCs w:val="18"/>
              </w:rPr>
              <w:t>5 controls (NS-CTRL-008 to NS-CTRL-012)</w:t>
            </w:r>
          </w:p>
        </w:tc>
      </w:tr>
      <w:tr w14:paraId="1062E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AB7D7B6">
            <w:pPr>
              <w:jc w:val="left"/>
            </w:pPr>
            <w:r>
              <w:rPr>
                <w:rFonts w:ascii="Arial" w:hAnsi="Arial" w:eastAsia="Arial" w:cs="Arial"/>
                <w:b/>
                <w:bCs/>
                <w:color w:val="1F3864"/>
                <w:sz w:val="18"/>
                <w:szCs w:val="18"/>
              </w:rPr>
              <w:t>Highest Priority — Implement Immediately</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77E85B0">
            <w:pPr>
              <w:jc w:val="left"/>
            </w:pPr>
            <w:r>
              <w:rPr>
                <w:rFonts w:ascii="Arial" w:hAnsi="Arial" w:eastAsia="Arial" w:cs="Arial"/>
                <w:b w:val="0"/>
                <w:bCs w:val="0"/>
                <w:color w:val="000000"/>
                <w:sz w:val="18"/>
                <w:szCs w:val="18"/>
              </w:rPr>
              <w:t>NS-CTRL-008 (DocIntel human review gate), NS-CTRL-005 (TalentMatch bias audit), NS-CTRL-003 (CreditScore SHAP)</w:t>
            </w:r>
          </w:p>
        </w:tc>
      </w:tr>
    </w:tbl>
    <w:p w14:paraId="31BBD9EB">
      <w:pPr>
        <w:pBdr>
          <w:top w:val="single" w:color="2E5F9E" w:sz="6" w:space="0"/>
        </w:pBdr>
        <w:spacing w:before="200" w:after="0"/>
      </w:pPr>
      <w:bookmarkStart w:id="0" w:name="_GoBack"/>
      <w:bookmarkEnd w:id="0"/>
    </w:p>
    <w:sectPr>
      <w:pgSz w:w="20880" w:h="15840"/>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98E643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240" w:after="120"/>
      <w:outlineLvl w:val="0"/>
    </w:pPr>
    <w:rPr>
      <w:rFonts w:ascii="Arial" w:hAnsi="Arial" w:eastAsia="Arial" w:cs="Arial"/>
      <w:b/>
      <w:bCs/>
      <w:color w:val="1F3864"/>
      <w:sz w:val="32"/>
      <w:szCs w:val="32"/>
    </w:rPr>
  </w:style>
  <w:style w:type="paragraph" w:styleId="3">
    <w:name w:val="heading 2"/>
    <w:next w:val="1"/>
    <w:qFormat/>
    <w:uiPriority w:val="0"/>
    <w:pPr>
      <w:spacing w:before="200" w:after="100"/>
      <w:outlineLvl w:val="1"/>
    </w:pPr>
    <w:rPr>
      <w:rFonts w:ascii="Arial" w:hAnsi="Arial" w:eastAsia="Arial" w:cs="Arial"/>
      <w:b/>
      <w:bCs/>
      <w:color w:val="2E5F9E"/>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1</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2026-04-22T02:36:00Z</dcterms:created>
  <dc:creator>Un-named</dc:creator>
  <cp:lastModifiedBy>Deepak Kumar Sethi</cp:lastModifiedBy>
  <dcterms:modified xsi:type="dcterms:W3CDTF">2026-04-22T03:00:02Z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916455A9B29F457D8FD4B33C505AA7B6_12</vt:lpwstr>
  </property>
</Properties>
</file>