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B9E0" w14:textId="77777777" w:rsidR="00EE3010" w:rsidRDefault="00EE3010">
      <w:pPr>
        <w:jc w:val="center"/>
        <w:rPr>
          <w:rFonts w:ascii="Arial" w:eastAsia="Arial" w:hAnsi="Arial" w:cs="Arial"/>
          <w:b/>
          <w:bCs/>
          <w:sz w:val="34"/>
          <w:szCs w:val="34"/>
        </w:rPr>
      </w:pPr>
    </w:p>
    <w:p w14:paraId="4D20BAD0" w14:textId="77777777" w:rsidR="00EE3010"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BABA1E3" w14:textId="77777777" w:rsidR="00EE3010"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026E89FD" w14:textId="7981E6FE" w:rsidR="00EE3010" w:rsidRPr="00FE66C1" w:rsidRDefault="001D05D0" w:rsidP="00FE66C1">
      <w:pPr>
        <w:jc w:val="right"/>
        <w:rPr>
          <w:rFonts w:eastAsia="Arial"/>
          <w:b/>
          <w:bCs/>
          <w:sz w:val="24"/>
          <w:szCs w:val="24"/>
        </w:rPr>
      </w:pPr>
      <w:proofErr w:type="spellStart"/>
      <w:proofErr w:type="gramStart"/>
      <w:r w:rsidRPr="001D05D0">
        <w:rPr>
          <w:rFonts w:eastAsia="Arial"/>
          <w:b/>
          <w:bCs/>
          <w:sz w:val="24"/>
          <w:szCs w:val="24"/>
        </w:rPr>
        <w:t>N.srivaradeepak</w:t>
      </w:r>
      <w:proofErr w:type="spellEnd"/>
      <w:proofErr w:type="gramEnd"/>
    </w:p>
    <w:p w14:paraId="23CE2065" w14:textId="322D2491" w:rsidR="00FE66C1" w:rsidRPr="00FE66C1" w:rsidRDefault="00FE66C1" w:rsidP="00FE66C1">
      <w:pPr>
        <w:jc w:val="right"/>
        <w:rPr>
          <w:rFonts w:eastAsia="Arial"/>
          <w:b/>
          <w:bCs/>
          <w:sz w:val="24"/>
          <w:szCs w:val="24"/>
        </w:rPr>
      </w:pPr>
      <w:r w:rsidRPr="00FE66C1">
        <w:rPr>
          <w:rFonts w:eastAsia="Arial"/>
          <w:b/>
          <w:bCs/>
          <w:sz w:val="24"/>
          <w:szCs w:val="24"/>
        </w:rPr>
        <w:t>192</w:t>
      </w:r>
      <w:r w:rsidR="001D05D0">
        <w:rPr>
          <w:rFonts w:eastAsia="Arial"/>
          <w:b/>
          <w:bCs/>
          <w:sz w:val="24"/>
          <w:szCs w:val="24"/>
        </w:rPr>
        <w:t>572075</w:t>
      </w:r>
    </w:p>
    <w:p w14:paraId="65B06096" w14:textId="77777777" w:rsidR="00EE3010" w:rsidRDefault="00EE3010">
      <w:pPr>
        <w:jc w:val="center"/>
        <w:rPr>
          <w:rFonts w:ascii="Arial" w:eastAsia="Arial" w:hAnsi="Arial" w:cs="Arial"/>
          <w:b/>
          <w:bCs/>
          <w:sz w:val="34"/>
          <w:szCs w:val="34"/>
        </w:rPr>
      </w:pPr>
    </w:p>
    <w:p w14:paraId="3A7644BE" w14:textId="77777777" w:rsidR="00EE3010"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380D3B" w14:textId="77777777" w:rsidR="00EE3010" w:rsidRDefault="00EE3010">
      <w:pPr>
        <w:rPr>
          <w:rFonts w:ascii="Arial" w:eastAsia="Arial" w:hAnsi="Arial" w:cs="Arial"/>
          <w:b/>
          <w:bCs/>
        </w:rPr>
      </w:pPr>
    </w:p>
    <w:p w14:paraId="0F6072F8" w14:textId="77777777" w:rsidR="00EE3010"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356D793" wp14:editId="7599051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9D41F4F"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4356D793"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49D41F4F" w14:textId="77777777" w:rsidR="00EE3010" w:rsidRDefault="00EE3010"/>
                  </w:txbxContent>
                </v:textbox>
                <w10:anchorlock/>
              </v:rect>
            </w:pict>
          </mc:Fallback>
        </mc:AlternateContent>
      </w:r>
    </w:p>
    <w:p w14:paraId="0227421B" w14:textId="77777777" w:rsidR="00EE3010" w:rsidRDefault="00EE3010">
      <w:pPr>
        <w:rPr>
          <w:rFonts w:ascii="Arial" w:eastAsia="Arial" w:hAnsi="Arial" w:cs="Arial"/>
          <w:b/>
          <w:bCs/>
        </w:rPr>
      </w:pPr>
    </w:p>
    <w:p w14:paraId="371FA727" w14:textId="77777777" w:rsidR="00EE3010" w:rsidRDefault="00000000">
      <w:pPr>
        <w:rPr>
          <w:rFonts w:ascii="Arial" w:eastAsia="Arial" w:hAnsi="Arial" w:cs="Arial"/>
          <w:b/>
          <w:bCs/>
        </w:rPr>
      </w:pPr>
      <w:r>
        <w:rPr>
          <w:rFonts w:ascii="Arial" w:eastAsia="Arial" w:hAnsi="Arial" w:cs="Arial"/>
          <w:b/>
          <w:bCs/>
        </w:rPr>
        <w:t>COURSE OUTCOME COVERED</w:t>
      </w:r>
    </w:p>
    <w:p w14:paraId="545C567D" w14:textId="77777777" w:rsidR="00EE3010" w:rsidRDefault="00EE3010">
      <w:pPr>
        <w:rPr>
          <w:rFonts w:ascii="Arial" w:eastAsia="Arial" w:hAnsi="Arial" w:cs="Arial"/>
          <w:b/>
          <w:bCs/>
        </w:rPr>
      </w:pPr>
    </w:p>
    <w:p w14:paraId="756EE9A6" w14:textId="77777777" w:rsidR="00EE3010"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3B068941" w14:textId="77777777" w:rsidR="00EE3010"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4CC5783" w14:textId="77777777" w:rsidR="00EE3010" w:rsidRDefault="00EE3010">
      <w:pPr>
        <w:rPr>
          <w:rFonts w:ascii="Arial" w:eastAsia="Arial" w:hAnsi="Arial" w:cs="Arial"/>
          <w:i/>
          <w:iCs/>
        </w:rPr>
      </w:pPr>
    </w:p>
    <w:p w14:paraId="2E45E859" w14:textId="77777777" w:rsidR="00EE3010" w:rsidRDefault="00000000">
      <w:pPr>
        <w:rPr>
          <w:rFonts w:ascii="Arial" w:eastAsia="Arial" w:hAnsi="Arial" w:cs="Arial"/>
          <w:i/>
          <w:iCs/>
        </w:rPr>
      </w:pPr>
      <w:r>
        <w:rPr>
          <w:rFonts w:ascii="Arial" w:eastAsia="Arial" w:hAnsi="Arial" w:cs="Arial"/>
          <w:i/>
          <w:iCs/>
        </w:rPr>
        <w:t>Assessment Tool Weightage: 10%</w:t>
      </w:r>
    </w:p>
    <w:p w14:paraId="4AEF7B2B" w14:textId="77777777" w:rsidR="00EE3010" w:rsidRDefault="00EE3010">
      <w:pPr>
        <w:rPr>
          <w:rFonts w:ascii="Arial" w:eastAsia="Arial" w:hAnsi="Arial" w:cs="Arial"/>
          <w:i/>
          <w:iCs/>
        </w:rPr>
      </w:pPr>
    </w:p>
    <w:p w14:paraId="6054FC7B" w14:textId="77777777" w:rsidR="00EE3010"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0A64D8F0" wp14:editId="59E32EA7">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B1666A"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0A64D8F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0B1666A" w14:textId="77777777" w:rsidR="00EE3010" w:rsidRDefault="00EE3010"/>
                  </w:txbxContent>
                </v:textbox>
                <w10:anchorlock/>
              </v:rect>
            </w:pict>
          </mc:Fallback>
        </mc:AlternateContent>
      </w:r>
    </w:p>
    <w:p w14:paraId="3766EF0C" w14:textId="77777777" w:rsidR="00EE3010"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02ED7C93" w14:textId="77777777" w:rsidR="00EE3010" w:rsidRDefault="00EE3010">
      <w:pPr>
        <w:rPr>
          <w:rFonts w:ascii="Arial" w:eastAsia="Arial" w:hAnsi="Arial" w:cs="Arial"/>
        </w:rPr>
      </w:pPr>
    </w:p>
    <w:p w14:paraId="6BD0C561" w14:textId="77777777" w:rsidR="00EE3010"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4330FA00" w14:textId="77777777" w:rsidR="00EE3010" w:rsidRDefault="00000000">
      <w:pPr>
        <w:rPr>
          <w:rFonts w:ascii="Arial" w:eastAsia="Arial" w:hAnsi="Arial" w:cs="Arial"/>
        </w:rPr>
      </w:pPr>
      <w:r>
        <w:rPr>
          <w:rFonts w:ascii="Arial" w:eastAsia="Arial" w:hAnsi="Arial" w:cs="Arial"/>
        </w:rPr>
        <w:t xml:space="preserve">   </w:t>
      </w:r>
    </w:p>
    <w:p w14:paraId="48F3A1CC" w14:textId="77777777" w:rsidR="00EE3010" w:rsidRDefault="00000000">
      <w:pPr>
        <w:jc w:val="center"/>
        <w:rPr>
          <w:rFonts w:ascii="Arial" w:eastAsia="Arial" w:hAnsi="Arial" w:cs="Arial"/>
        </w:rPr>
      </w:pPr>
      <w:r>
        <w:rPr>
          <w:rFonts w:ascii="Arial" w:eastAsia="Arial" w:hAnsi="Arial" w:cs="Arial"/>
        </w:rPr>
        <w:t>Annexure A</w:t>
      </w:r>
    </w:p>
    <w:p w14:paraId="4592FA1B" w14:textId="77777777" w:rsidR="00EE3010" w:rsidRDefault="00EE3010">
      <w:pPr>
        <w:jc w:val="center"/>
        <w:rPr>
          <w:rFonts w:ascii="Arial" w:eastAsia="Arial" w:hAnsi="Arial" w:cs="Arial"/>
          <w:b/>
          <w:bCs/>
        </w:rPr>
      </w:pPr>
    </w:p>
    <w:p w14:paraId="3291C656" w14:textId="77777777" w:rsidR="00EE3010" w:rsidRDefault="00000000">
      <w:pPr>
        <w:spacing w:before="80" w:after="40"/>
        <w:jc w:val="center"/>
        <w:rPr>
          <w:rFonts w:ascii="Arial" w:eastAsia="Arial" w:hAnsi="Arial" w:cs="Arial"/>
          <w:i/>
          <w:iCs/>
        </w:rPr>
      </w:pPr>
      <w:r>
        <w:rPr>
          <w:rFonts w:ascii="Arial" w:eastAsia="Arial" w:hAnsi="Arial" w:cs="Arial"/>
          <w:b/>
          <w:bCs/>
        </w:rPr>
        <w:t>ARTICLE REVIEW</w:t>
      </w:r>
    </w:p>
    <w:p w14:paraId="1D7293A2" w14:textId="77777777" w:rsidR="00EE3010" w:rsidRDefault="00EE3010">
      <w:pPr>
        <w:rPr>
          <w:rFonts w:ascii="Arial" w:eastAsia="Arial" w:hAnsi="Arial" w:cs="Arial"/>
          <w:b/>
          <w:bCs/>
        </w:rPr>
      </w:pPr>
    </w:p>
    <w:p w14:paraId="4F965EC7" w14:textId="77777777" w:rsidR="00EE3010"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8190BC" wp14:editId="349A74DC">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9DDBDE8" w14:textId="77777777" w:rsidR="00EE3010" w:rsidRDefault="00EE3010"/>
                        </w:txbxContent>
                      </wps:txbx>
                      <wps:bodyPr spcFirstLastPara="1" wrap="square" lIns="91425" tIns="91425" rIns="91425" bIns="91425" anchor="ctr" anchorCtr="0">
                        <a:noAutofit/>
                      </wps:bodyPr>
                    </wps:wsp>
                  </a:graphicData>
                </a:graphic>
              </wp:inline>
            </w:drawing>
          </mc:Choice>
          <mc:Fallback>
            <w:pict>
              <v:rect w14:anchorId="7B8190B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9DDBDE8" w14:textId="77777777" w:rsidR="00EE3010" w:rsidRDefault="00EE3010"/>
                  </w:txbxContent>
                </v:textbox>
                <w10:anchorlock/>
              </v:rect>
            </w:pict>
          </mc:Fallback>
        </mc:AlternateContent>
      </w:r>
    </w:p>
    <w:p w14:paraId="56BEE995" w14:textId="77777777" w:rsidR="00EE3010" w:rsidRDefault="00EE3010">
      <w:pPr>
        <w:rPr>
          <w:rFonts w:ascii="Arial" w:eastAsia="Arial" w:hAnsi="Arial" w:cs="Arial"/>
          <w:b/>
          <w:bCs/>
        </w:rPr>
      </w:pPr>
    </w:p>
    <w:p w14:paraId="7513EB8B" w14:textId="77777777" w:rsidR="00EE3010" w:rsidRDefault="00EE3010">
      <w:pPr>
        <w:rPr>
          <w:rFonts w:ascii="Arial" w:eastAsia="Arial" w:hAnsi="Arial" w:cs="Arial"/>
          <w:b/>
          <w:bCs/>
          <w:i/>
          <w:iCs/>
        </w:rPr>
      </w:pPr>
    </w:p>
    <w:p w14:paraId="18401B59" w14:textId="77777777" w:rsidR="00EE3010" w:rsidRDefault="00EE3010">
      <w:pPr>
        <w:rPr>
          <w:rFonts w:ascii="Arial" w:eastAsia="Arial" w:hAnsi="Arial" w:cs="Arial"/>
          <w:b/>
          <w:bCs/>
          <w:i/>
          <w:iCs/>
        </w:rPr>
      </w:pPr>
    </w:p>
    <w:p w14:paraId="6E65F5E1" w14:textId="77777777" w:rsidR="00EE3010" w:rsidRDefault="00000000">
      <w:pPr>
        <w:rPr>
          <w:rFonts w:ascii="Arial" w:eastAsia="Arial" w:hAnsi="Arial" w:cs="Arial"/>
          <w:b/>
          <w:bCs/>
          <w:i/>
          <w:iCs/>
        </w:rPr>
      </w:pPr>
      <w:r>
        <w:rPr>
          <w:rFonts w:ascii="Arial" w:eastAsia="Arial" w:hAnsi="Arial" w:cs="Arial"/>
          <w:b/>
          <w:bCs/>
          <w:i/>
          <w:iCs/>
        </w:rPr>
        <w:t>Code of Conduct:</w:t>
      </w:r>
    </w:p>
    <w:p w14:paraId="58969CB1" w14:textId="77777777" w:rsidR="00EE3010" w:rsidRDefault="00EE3010">
      <w:pPr>
        <w:rPr>
          <w:rFonts w:ascii="Arial" w:eastAsia="Arial" w:hAnsi="Arial" w:cs="Arial"/>
          <w:i/>
          <w:iCs/>
        </w:rPr>
      </w:pPr>
    </w:p>
    <w:p w14:paraId="75D87E0E" w14:textId="6A8831D8" w:rsidR="00EE3010" w:rsidRDefault="00000000">
      <w:pPr>
        <w:jc w:val="both"/>
        <w:rPr>
          <w:rFonts w:ascii="Arial" w:eastAsia="Arial" w:hAnsi="Arial" w:cs="Arial"/>
          <w:i/>
          <w:iCs/>
        </w:rPr>
      </w:pPr>
      <w:r>
        <w:rPr>
          <w:rFonts w:ascii="Arial" w:eastAsia="Arial" w:hAnsi="Arial" w:cs="Arial"/>
          <w:i/>
          <w:iCs/>
        </w:rPr>
        <w:t>I __</w:t>
      </w:r>
      <w:proofErr w:type="spellStart"/>
      <w:proofErr w:type="gramStart"/>
      <w:r w:rsidR="001D05D0" w:rsidRPr="001D05D0">
        <w:rPr>
          <w:rFonts w:ascii="Arial" w:eastAsia="Arial" w:hAnsi="Arial" w:cs="Arial"/>
          <w:b/>
          <w:bCs/>
          <w:i/>
          <w:iCs/>
        </w:rPr>
        <w:t>N.srivaradeepak</w:t>
      </w:r>
      <w:proofErr w:type="spellEnd"/>
      <w:proofErr w:type="gramEnd"/>
      <w:r w:rsidR="001D05D0">
        <w:rPr>
          <w:rFonts w:ascii="Arial" w:eastAsia="Arial" w:hAnsi="Arial" w:cs="Arial"/>
          <w:b/>
          <w:bCs/>
          <w:i/>
          <w:iCs/>
        </w:rPr>
        <w:t>(</w:t>
      </w:r>
      <w:proofErr w:type="gramStart"/>
      <w:r w:rsidR="001D05D0">
        <w:rPr>
          <w:rFonts w:ascii="Arial" w:eastAsia="Arial" w:hAnsi="Arial" w:cs="Arial"/>
          <w:b/>
          <w:bCs/>
          <w:i/>
          <w:iCs/>
        </w:rPr>
        <w:t>192572075)</w:t>
      </w:r>
      <w:r>
        <w:rPr>
          <w:rFonts w:ascii="Arial" w:eastAsia="Arial" w:hAnsi="Arial" w:cs="Arial"/>
          <w:i/>
          <w:iCs/>
        </w:rPr>
        <w:t>_</w:t>
      </w:r>
      <w:proofErr w:type="gramEnd"/>
      <w:r>
        <w:rPr>
          <w:rFonts w:ascii="Arial" w:eastAsia="Arial" w:hAnsi="Arial" w:cs="Arial"/>
          <w:i/>
          <w:iCs/>
        </w:rPr>
        <w:t xml:space="preserve"> (Name / Reg No) certify that this submission is my original work and that I have adhered to the guidelines specified for this assessment.</w:t>
      </w:r>
    </w:p>
    <w:p w14:paraId="0D68D7A6" w14:textId="54F85F00" w:rsidR="00EE3010"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A25B8D3" w14:textId="77777777" w:rsidR="00EE3010" w:rsidRDefault="00EE3010">
      <w:pPr>
        <w:rPr>
          <w:rFonts w:ascii="Arial" w:eastAsia="Arial" w:hAnsi="Arial" w:cs="Arial"/>
          <w:i/>
          <w:iCs/>
        </w:rPr>
      </w:pPr>
    </w:p>
    <w:p w14:paraId="64302EFF" w14:textId="6B174171" w:rsidR="00EE3010" w:rsidRDefault="00000000">
      <w:pPr>
        <w:rPr>
          <w:rFonts w:ascii="Arial" w:eastAsia="Arial" w:hAnsi="Arial" w:cs="Arial"/>
          <w:b/>
          <w:bCs/>
          <w:i/>
          <w:iCs/>
        </w:rPr>
      </w:pPr>
      <w:r>
        <w:rPr>
          <w:rFonts w:ascii="Arial" w:eastAsia="Arial" w:hAnsi="Arial" w:cs="Arial"/>
          <w:b/>
          <w:bCs/>
          <w:i/>
          <w:iCs/>
        </w:rPr>
        <w:t>Signature of the student:</w:t>
      </w:r>
    </w:p>
    <w:p w14:paraId="2787DD41" w14:textId="29AD1909" w:rsidR="00EE3010" w:rsidRDefault="001D05D0">
      <w:pPr>
        <w:rPr>
          <w:rFonts w:ascii="Arial" w:eastAsia="Arial" w:hAnsi="Arial" w:cs="Arial"/>
        </w:rPr>
      </w:pPr>
      <w:r>
        <w:rPr>
          <w:rFonts w:ascii="Arial" w:eastAsia="Arial" w:hAnsi="Arial" w:cs="Arial"/>
          <w:i/>
          <w:iCs/>
          <w:noProof/>
        </w:rPr>
        <w:t>Deepak.N</w:t>
      </w:r>
      <w:r w:rsidR="00000000">
        <w:br w:type="page"/>
      </w:r>
    </w:p>
    <w:p w14:paraId="223FE0AE" w14:textId="77777777" w:rsidR="00EE3010"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079B336E" w14:textId="77777777" w:rsidR="00EE3010" w:rsidRDefault="00EE3010">
      <w:pPr>
        <w:jc w:val="center"/>
        <w:rPr>
          <w:rFonts w:ascii="Arial" w:eastAsia="Arial" w:hAnsi="Arial" w:cs="Arial"/>
          <w:b/>
          <w:bCs/>
        </w:rPr>
      </w:pPr>
    </w:p>
    <w:p w14:paraId="6810A99F" w14:textId="77777777" w:rsidR="00EE3010"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62482E79" w14:textId="77777777" w:rsidR="00EE3010" w:rsidRDefault="00EE3010">
      <w:pPr>
        <w:pBdr>
          <w:bottom w:val="single" w:sz="6" w:space="1" w:color="000000"/>
        </w:pBdr>
        <w:spacing w:after="60"/>
        <w:jc w:val="center"/>
        <w:rPr>
          <w:rFonts w:ascii="Arial" w:eastAsia="Arial" w:hAnsi="Arial" w:cs="Arial"/>
          <w:b/>
          <w:bCs/>
          <w:sz w:val="24"/>
          <w:szCs w:val="24"/>
        </w:rPr>
      </w:pPr>
    </w:p>
    <w:p w14:paraId="062BBF83" w14:textId="77777777" w:rsidR="00EE3010" w:rsidRDefault="00EE3010">
      <w:pPr>
        <w:tabs>
          <w:tab w:val="left" w:pos="9810"/>
        </w:tabs>
        <w:spacing w:before="100" w:after="40"/>
        <w:rPr>
          <w:rFonts w:ascii="Arial" w:eastAsia="Arial" w:hAnsi="Arial" w:cs="Arial"/>
          <w:b/>
          <w:bCs/>
          <w:sz w:val="22"/>
          <w:szCs w:val="22"/>
          <w:u w:val="single"/>
        </w:rPr>
      </w:pPr>
    </w:p>
    <w:p w14:paraId="575EB91D" w14:textId="77777777" w:rsidR="00EE3010"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67F07409" w14:textId="77777777" w:rsidR="00EE3010"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EA069B2" w14:textId="77777777" w:rsidR="00EE3010"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3B037EC6" w14:textId="77777777" w:rsidR="00EE3010" w:rsidRDefault="00EE3010">
      <w:pPr>
        <w:tabs>
          <w:tab w:val="left" w:pos="9810"/>
        </w:tabs>
        <w:spacing w:before="80" w:after="40"/>
        <w:ind w:right="802"/>
        <w:jc w:val="both"/>
        <w:rPr>
          <w:rFonts w:ascii="Arial" w:eastAsia="Arial" w:hAnsi="Arial" w:cs="Arial"/>
          <w:b/>
          <w:bCs/>
          <w:sz w:val="22"/>
          <w:szCs w:val="22"/>
        </w:rPr>
      </w:pPr>
    </w:p>
    <w:p w14:paraId="102332BF" w14:textId="77777777" w:rsidR="00EE3010"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15E816F" w14:textId="77777777" w:rsidR="00EE3010"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11985412" w14:textId="77777777" w:rsidR="00EE3010"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1BDDFABA" w14:textId="77777777" w:rsidR="00EE3010" w:rsidRDefault="00EE3010">
      <w:pPr>
        <w:tabs>
          <w:tab w:val="left" w:pos="9810"/>
        </w:tabs>
        <w:spacing w:before="60" w:after="40"/>
        <w:ind w:right="802"/>
        <w:jc w:val="both"/>
        <w:rPr>
          <w:rFonts w:ascii="Arial" w:eastAsia="Arial" w:hAnsi="Arial" w:cs="Arial"/>
          <w:b/>
          <w:bCs/>
          <w:sz w:val="22"/>
          <w:szCs w:val="22"/>
        </w:rPr>
      </w:pPr>
    </w:p>
    <w:p w14:paraId="2DE87049" w14:textId="77777777" w:rsidR="00EE3010"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49287BA2" w14:textId="77777777" w:rsidR="00EE3010"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11BCAE5" w14:textId="77777777" w:rsidR="00EE3010"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12439341" w14:textId="77777777" w:rsidR="00EE3010" w:rsidRDefault="00EE3010">
      <w:pPr>
        <w:tabs>
          <w:tab w:val="left" w:pos="9810"/>
        </w:tabs>
        <w:spacing w:before="60" w:after="40"/>
        <w:ind w:right="802"/>
        <w:jc w:val="both"/>
        <w:rPr>
          <w:rFonts w:ascii="Arial" w:eastAsia="Arial" w:hAnsi="Arial" w:cs="Arial"/>
          <w:b/>
          <w:bCs/>
          <w:sz w:val="22"/>
          <w:szCs w:val="22"/>
        </w:rPr>
      </w:pPr>
    </w:p>
    <w:p w14:paraId="4574D2D8" w14:textId="77777777" w:rsidR="00EE3010"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2DC98515" w14:textId="77777777" w:rsidR="00EE3010"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27033D96" w14:textId="77777777" w:rsidR="00EE3010"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25E7DDB" w14:textId="77777777" w:rsidR="00EE3010"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E0F16A5" w14:textId="77777777" w:rsidR="00EE3010" w:rsidRDefault="00EE3010">
      <w:pPr>
        <w:tabs>
          <w:tab w:val="left" w:pos="9810"/>
        </w:tabs>
        <w:spacing w:before="60" w:after="40"/>
        <w:ind w:right="802"/>
        <w:jc w:val="both"/>
        <w:rPr>
          <w:rFonts w:ascii="Arial" w:eastAsia="Arial" w:hAnsi="Arial" w:cs="Arial"/>
          <w:b/>
          <w:bCs/>
          <w:sz w:val="22"/>
          <w:szCs w:val="22"/>
        </w:rPr>
      </w:pPr>
    </w:p>
    <w:p w14:paraId="63E49AD8" w14:textId="77777777" w:rsidR="00EE3010"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541547AE" w14:textId="77777777" w:rsidR="00EE3010"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4F6BB7AD" w14:textId="77777777" w:rsidR="00EE3010"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72723D0A" w14:textId="77777777" w:rsidR="00EE3010" w:rsidRDefault="00EE3010">
      <w:pPr>
        <w:pBdr>
          <w:bottom w:val="single" w:sz="6" w:space="1" w:color="000000"/>
        </w:pBdr>
        <w:tabs>
          <w:tab w:val="left" w:pos="9810"/>
        </w:tabs>
        <w:spacing w:before="80" w:after="80"/>
        <w:ind w:right="802"/>
        <w:jc w:val="both"/>
        <w:rPr>
          <w:rFonts w:ascii="Arial" w:eastAsia="Arial" w:hAnsi="Arial" w:cs="Arial"/>
        </w:rPr>
      </w:pPr>
    </w:p>
    <w:p w14:paraId="239C96A1" w14:textId="77777777" w:rsidR="00EE3010" w:rsidRDefault="00EE3010">
      <w:pPr>
        <w:tabs>
          <w:tab w:val="left" w:pos="9810"/>
        </w:tabs>
        <w:spacing w:before="60" w:after="40"/>
        <w:ind w:right="802"/>
        <w:jc w:val="both"/>
        <w:rPr>
          <w:rFonts w:ascii="Arial" w:eastAsia="Arial" w:hAnsi="Arial" w:cs="Arial"/>
          <w:b/>
          <w:bCs/>
          <w:i/>
          <w:iCs/>
        </w:rPr>
      </w:pPr>
    </w:p>
    <w:p w14:paraId="494B6AD7" w14:textId="77777777" w:rsidR="00EE3010" w:rsidRDefault="00EE3010">
      <w:pPr>
        <w:tabs>
          <w:tab w:val="left" w:pos="9810"/>
        </w:tabs>
        <w:spacing w:before="60" w:after="40"/>
        <w:ind w:right="802"/>
        <w:jc w:val="both"/>
        <w:rPr>
          <w:rFonts w:ascii="Arial" w:eastAsia="Arial" w:hAnsi="Arial" w:cs="Arial"/>
          <w:b/>
          <w:bCs/>
          <w:i/>
          <w:iCs/>
        </w:rPr>
      </w:pPr>
    </w:p>
    <w:p w14:paraId="6D4E9777" w14:textId="77777777" w:rsidR="00EE3010" w:rsidRDefault="00EE3010">
      <w:pPr>
        <w:tabs>
          <w:tab w:val="left" w:pos="9810"/>
        </w:tabs>
        <w:spacing w:before="60" w:after="40"/>
        <w:ind w:right="802"/>
        <w:jc w:val="both"/>
        <w:rPr>
          <w:rFonts w:ascii="Arial" w:eastAsia="Arial" w:hAnsi="Arial" w:cs="Arial"/>
          <w:b/>
          <w:bCs/>
          <w:i/>
          <w:iCs/>
        </w:rPr>
      </w:pPr>
    </w:p>
    <w:p w14:paraId="7B159681" w14:textId="77777777" w:rsidR="00EE3010" w:rsidRDefault="00000000">
      <w:pPr>
        <w:ind w:right="802"/>
        <w:jc w:val="both"/>
        <w:rPr>
          <w:rFonts w:ascii="Arial" w:eastAsia="Arial" w:hAnsi="Arial" w:cs="Arial"/>
          <w:b/>
          <w:bCs/>
          <w:sz w:val="24"/>
          <w:szCs w:val="24"/>
          <w:u w:val="single"/>
        </w:rPr>
      </w:pPr>
      <w:r>
        <w:br w:type="page"/>
      </w:r>
    </w:p>
    <w:p w14:paraId="063BD0D2" w14:textId="0E838B53" w:rsidR="00EE3010" w:rsidRPr="00FE66C1" w:rsidRDefault="00FE66C1" w:rsidP="00FE66C1">
      <w:pPr>
        <w:tabs>
          <w:tab w:val="left" w:pos="9810"/>
        </w:tabs>
        <w:spacing w:before="120" w:after="80"/>
        <w:jc w:val="center"/>
        <w:rPr>
          <w:rFonts w:eastAsia="Arial"/>
          <w:b/>
          <w:bCs/>
          <w:sz w:val="36"/>
          <w:szCs w:val="36"/>
          <w:u w:val="single"/>
        </w:rPr>
      </w:pPr>
      <w:r w:rsidRPr="00FE66C1">
        <w:rPr>
          <w:rFonts w:eastAsia="Arial"/>
          <w:b/>
          <w:bCs/>
          <w:sz w:val="36"/>
          <w:szCs w:val="36"/>
          <w:u w:val="single"/>
        </w:rPr>
        <w:lastRenderedPageBreak/>
        <w:t>ANSWERS</w:t>
      </w:r>
    </w:p>
    <w:p w14:paraId="3FC6C8CD" w14:textId="77777777" w:rsidR="00EE3010" w:rsidRDefault="00EE3010">
      <w:pPr>
        <w:tabs>
          <w:tab w:val="left" w:pos="9810"/>
        </w:tabs>
        <w:spacing w:before="120" w:after="80"/>
        <w:rPr>
          <w:rFonts w:ascii="Arial" w:eastAsia="Arial" w:hAnsi="Arial" w:cs="Arial"/>
          <w:b/>
          <w:bCs/>
          <w:sz w:val="24"/>
          <w:szCs w:val="24"/>
          <w:u w:val="single"/>
        </w:rPr>
      </w:pPr>
    </w:p>
    <w:p w14:paraId="3A46CCEC"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1: Article Summary</w:t>
      </w:r>
    </w:p>
    <w:p w14:paraId="49304DCE"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Article Citation &amp; Domain</w:t>
      </w:r>
    </w:p>
    <w:p w14:paraId="5D25AA08"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Authors: Afolabi, S., Ajadi, N., Jimoh, A., Adenekan, I.</w:t>
      </w:r>
    </w:p>
    <w:p w14:paraId="08F8D8B7"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Year: 2025</w:t>
      </w:r>
    </w:p>
    <w:p w14:paraId="4D9E95D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Title: Predicting diabetes using supervised machine learning algorithms on E-health records</w:t>
      </w:r>
    </w:p>
    <w:p w14:paraId="57E7E74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Journal: Informatics and Health, Vol. 2(1), pp. 9-16</w:t>
      </w:r>
    </w:p>
    <w:p w14:paraId="76A1284C"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Publisher: Elsevier (ScienceDirect)</w:t>
      </w:r>
    </w:p>
    <w:p w14:paraId="1F93D5B6"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DOI: </w:t>
      </w:r>
      <w:hyperlink r:id="rId6" w:tgtFrame="_blank" w:history="1">
        <w:r w:rsidRPr="00FE66C1">
          <w:rPr>
            <w:rStyle w:val="Hyperlink"/>
            <w:rFonts w:eastAsia="Arial"/>
            <w:b/>
            <w:bCs/>
            <w:sz w:val="24"/>
            <w:szCs w:val="24"/>
            <w:u w:val="none"/>
          </w:rPr>
          <w:t>https://doi.org/10.1016/j.infoh.2024.12.002</w:t>
        </w:r>
      </w:hyperlink>
    </w:p>
    <w:p w14:paraId="057A6264"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Domain/Application Area: Healthcare Informatics, specifically focusing on early diabetes detection using Electronic Health Records (EHR).</w:t>
      </w:r>
    </w:p>
    <w:p w14:paraId="431D3D71"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Specific ML Problem: Supervised binary classification to differentiate between diabetic and non-diabetic patients. The study also benchmarks the performance of different machine learning models for this task.</w:t>
      </w:r>
    </w:p>
    <w:p w14:paraId="53CAEAD8" w14:textId="77777777" w:rsidR="00FE66C1" w:rsidRPr="00FE66C1" w:rsidRDefault="00FE66C1" w:rsidP="00FE66C1">
      <w:pPr>
        <w:numPr>
          <w:ilvl w:val="0"/>
          <w:numId w:val="1"/>
        </w:numPr>
        <w:tabs>
          <w:tab w:val="left" w:pos="9810"/>
        </w:tabs>
        <w:spacing w:before="120" w:after="80"/>
        <w:rPr>
          <w:rFonts w:eastAsia="Arial"/>
          <w:b/>
          <w:bCs/>
          <w:sz w:val="24"/>
          <w:szCs w:val="24"/>
        </w:rPr>
      </w:pPr>
      <w:r w:rsidRPr="00FE66C1">
        <w:rPr>
          <w:rFonts w:eastAsia="Arial"/>
          <w:b/>
          <w:bCs/>
          <w:sz w:val="24"/>
          <w:szCs w:val="24"/>
        </w:rPr>
        <w:t>Relevance: The research addresses the critical challenge of diabetes, a major global health issue, by leveraging EHR data for early intervention. The publication is an original empirical study in a specialized health-informatics journal, providing practical insights rather than just theoretical analysis.</w:t>
      </w:r>
    </w:p>
    <w:p w14:paraId="2AA055A9"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Key Objective &amp; Research Gap</w:t>
      </w:r>
    </w:p>
    <w:p w14:paraId="6402EB2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core objective of the article is to find the most effective supervised machine learning algorithm for predicting diabetes from EHR data. The authors identify a clear gap in current literature: there is a lack of consensus on which algorithm performs best on real-world, structured EHR data, as opposed to curated benchmark datasets. Furthermore, existing studies often fail to pinpoint the key clinical features that drive predictive accuracy, limiting their practical utility for screening.</w:t>
      </w:r>
    </w:p>
    <w:p w14:paraId="5F04A1FE"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 xml:space="preserve">To address this, the authors propose a direct and controlled comparative analysis of three distinct algorithms—Logistic Regression, Random Forest, and K-Nearest </w:t>
      </w:r>
      <w:proofErr w:type="spellStart"/>
      <w:r w:rsidRPr="00FE66C1">
        <w:rPr>
          <w:rFonts w:eastAsia="Arial"/>
          <w:b/>
          <w:bCs/>
          <w:sz w:val="24"/>
          <w:szCs w:val="24"/>
        </w:rPr>
        <w:t>Neighbors</w:t>
      </w:r>
      <w:proofErr w:type="spellEnd"/>
      <w:r w:rsidRPr="00FE66C1">
        <w:rPr>
          <w:rFonts w:eastAsia="Arial"/>
          <w:b/>
          <w:bCs/>
          <w:sz w:val="24"/>
          <w:szCs w:val="24"/>
        </w:rPr>
        <w:t xml:space="preserve"> (KNN)—on a single EHR dataset using a uniform evaluation protocol. Their goal is twofold: first, to identify the top-performing model for this specific application, and second, to determine the most influential predictive features. The study's primary finding highlights KNN as the superior model in terms of accuracy and sensitivity. This comparison aims to provide a reliable, evidence-based recommendation for clinical decision-support systems, thereby contributing a more robust and immediately applicable solution compared to previous work.</w:t>
      </w:r>
    </w:p>
    <w:p w14:paraId="4FC77127" w14:textId="77777777" w:rsidR="00FE66C1" w:rsidRPr="00FE66C1" w:rsidRDefault="00000000" w:rsidP="00FE66C1">
      <w:pPr>
        <w:tabs>
          <w:tab w:val="left" w:pos="9810"/>
        </w:tabs>
        <w:spacing w:before="120" w:after="80"/>
        <w:rPr>
          <w:rFonts w:eastAsia="Arial"/>
          <w:b/>
          <w:bCs/>
          <w:sz w:val="24"/>
          <w:szCs w:val="24"/>
        </w:rPr>
      </w:pPr>
      <w:r>
        <w:rPr>
          <w:rFonts w:eastAsia="Arial"/>
          <w:b/>
          <w:bCs/>
          <w:sz w:val="24"/>
          <w:szCs w:val="24"/>
        </w:rPr>
        <w:pict w14:anchorId="742FEB9B">
          <v:rect id="_x0000_i1025" style="width:0;height:.75pt" o:hralign="center" o:hrstd="t" o:hr="t" fillcolor="#a0a0a0" stroked="f"/>
        </w:pict>
      </w:r>
    </w:p>
    <w:p w14:paraId="314CC3E1"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2: Methodology Analysis</w:t>
      </w:r>
    </w:p>
    <w:p w14:paraId="690358FD"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ML Techniques &amp; Dataset</w:t>
      </w:r>
    </w:p>
    <w:p w14:paraId="4079E25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study employs three widely-used supervised machine learning techniques:</w:t>
      </w:r>
    </w:p>
    <w:p w14:paraId="1EECE3D2"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t>Logistic Regression: A statistical linear model used for binary classification. It estimates the probability of a patient being diabetic using a sigmoid function on a weighted combination of features. Its strength lies in its simplicity and high interpretability.</w:t>
      </w:r>
    </w:p>
    <w:p w14:paraId="00ECBC52"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lastRenderedPageBreak/>
        <w:t>Random Forest: An ensemble learning method that constructs multiple decision trees during training and outputs the majority vote for classification. This approach reduces the risk of overfitting, common in single decision trees, and is capable of capturing complex non-linear relationships between features.</w:t>
      </w:r>
    </w:p>
    <w:p w14:paraId="15013EC7" w14:textId="77777777" w:rsidR="00FE66C1" w:rsidRPr="00FE66C1" w:rsidRDefault="00FE66C1" w:rsidP="00FE66C1">
      <w:pPr>
        <w:numPr>
          <w:ilvl w:val="0"/>
          <w:numId w:val="2"/>
        </w:numPr>
        <w:tabs>
          <w:tab w:val="left" w:pos="9810"/>
        </w:tabs>
        <w:spacing w:before="120" w:after="80"/>
        <w:rPr>
          <w:rFonts w:eastAsia="Arial"/>
          <w:b/>
          <w:bCs/>
          <w:sz w:val="24"/>
          <w:szCs w:val="24"/>
        </w:rPr>
      </w:pPr>
      <w:r w:rsidRPr="00FE66C1">
        <w:rPr>
          <w:rFonts w:eastAsia="Arial"/>
          <w:b/>
          <w:bCs/>
          <w:sz w:val="24"/>
          <w:szCs w:val="24"/>
        </w:rPr>
        <w:t xml:space="preserve">K-Nearest </w:t>
      </w:r>
      <w:proofErr w:type="spellStart"/>
      <w:r w:rsidRPr="00FE66C1">
        <w:rPr>
          <w:rFonts w:eastAsia="Arial"/>
          <w:b/>
          <w:bCs/>
          <w:sz w:val="24"/>
          <w:szCs w:val="24"/>
        </w:rPr>
        <w:t>Neighbors</w:t>
      </w:r>
      <w:proofErr w:type="spellEnd"/>
      <w:r w:rsidRPr="00FE66C1">
        <w:rPr>
          <w:rFonts w:eastAsia="Arial"/>
          <w:b/>
          <w:bCs/>
          <w:sz w:val="24"/>
          <w:szCs w:val="24"/>
        </w:rPr>
        <w:t xml:space="preserve"> (KNN): A non-parametric, instance-based learner that classifies a new data point by finding the majority class among its 'k' nearest </w:t>
      </w:r>
      <w:proofErr w:type="spellStart"/>
      <w:r w:rsidRPr="00FE66C1">
        <w:rPr>
          <w:rFonts w:eastAsia="Arial"/>
          <w:b/>
          <w:bCs/>
          <w:sz w:val="24"/>
          <w:szCs w:val="24"/>
        </w:rPr>
        <w:t>neighbors</w:t>
      </w:r>
      <w:proofErr w:type="spellEnd"/>
      <w:r w:rsidRPr="00FE66C1">
        <w:rPr>
          <w:rFonts w:eastAsia="Arial"/>
          <w:b/>
          <w:bCs/>
          <w:sz w:val="24"/>
          <w:szCs w:val="24"/>
        </w:rPr>
        <w:t xml:space="preserve"> in the feature space. It is a lazy learner, meaning it doesn't build an explicit model during training.</w:t>
      </w:r>
    </w:p>
    <w:p w14:paraId="6BD2197B" w14:textId="77777777" w:rsidR="00FE66C1" w:rsidRDefault="00FE66C1" w:rsidP="00FE66C1">
      <w:pPr>
        <w:tabs>
          <w:tab w:val="left" w:pos="9810"/>
        </w:tabs>
        <w:spacing w:before="120" w:after="80"/>
        <w:rPr>
          <w:rFonts w:eastAsia="Arial"/>
          <w:b/>
          <w:bCs/>
          <w:sz w:val="24"/>
          <w:szCs w:val="24"/>
        </w:rPr>
      </w:pPr>
      <w:r w:rsidRPr="00FE66C1">
        <w:rPr>
          <w:rFonts w:eastAsia="Arial"/>
          <w:b/>
          <w:bCs/>
          <w:sz w:val="24"/>
          <w:szCs w:val="24"/>
        </w:rPr>
        <w:t>The dataset used in the research is sourced from Electronic Health Records (EHR), containing relevant clinical and demographic variables essential for predicting diabetes. While the abstract provides a high-level overview, a comprehensive understanding of the dataset—including the exact number of patient records, the complete list of features, the class balance (ratio of diabetic to non-diabetic patients), the train/test split ratio, and the specific preprocessing steps (e.g., handling of missing values, feature scaling)—would require a detailed examination of the full-text article, as these are critical for a thorough assessment.</w:t>
      </w:r>
    </w:p>
    <w:p w14:paraId="785F911A" w14:textId="77777777" w:rsidR="00FE66C1" w:rsidRPr="00FE66C1" w:rsidRDefault="00FE66C1" w:rsidP="00FE66C1">
      <w:pPr>
        <w:tabs>
          <w:tab w:val="left" w:pos="9810"/>
        </w:tabs>
        <w:spacing w:before="120" w:after="80"/>
        <w:rPr>
          <w:rFonts w:eastAsia="Arial"/>
          <w:b/>
          <w:bCs/>
          <w:sz w:val="24"/>
          <w:szCs w:val="24"/>
        </w:rPr>
      </w:pPr>
    </w:p>
    <w:p w14:paraId="76286A12"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CO4 Mapping, Strength, and Limitation</w:t>
      </w:r>
    </w:p>
    <w:p w14:paraId="077A29CE" w14:textId="77777777" w:rsidR="00FE66C1" w:rsidRPr="00FE66C1" w:rsidRDefault="00FE66C1" w:rsidP="00FE66C1">
      <w:pPr>
        <w:numPr>
          <w:ilvl w:val="0"/>
          <w:numId w:val="3"/>
        </w:numPr>
        <w:tabs>
          <w:tab w:val="left" w:pos="9810"/>
        </w:tabs>
        <w:spacing w:before="120" w:after="80"/>
        <w:rPr>
          <w:rFonts w:eastAsia="Arial"/>
          <w:b/>
          <w:bCs/>
          <w:sz w:val="24"/>
          <w:szCs w:val="24"/>
        </w:rPr>
      </w:pPr>
      <w:r w:rsidRPr="00FE66C1">
        <w:rPr>
          <w:rFonts w:eastAsia="Arial"/>
          <w:b/>
          <w:bCs/>
          <w:sz w:val="24"/>
          <w:szCs w:val="24"/>
        </w:rPr>
        <w:t>Primary CO4 Mapping: The techniques firmly align with the Statistical Learning Methods module of the syllabus. The use of Logistic Regression is a direct application of this concept.</w:t>
      </w:r>
    </w:p>
    <w:p w14:paraId="74A281A6" w14:textId="77777777" w:rsidR="00FE66C1" w:rsidRPr="00FE66C1" w:rsidRDefault="00FE66C1" w:rsidP="00FE66C1">
      <w:pPr>
        <w:numPr>
          <w:ilvl w:val="0"/>
          <w:numId w:val="3"/>
        </w:numPr>
        <w:tabs>
          <w:tab w:val="left" w:pos="9810"/>
        </w:tabs>
        <w:spacing w:before="120" w:after="80"/>
        <w:rPr>
          <w:rFonts w:eastAsia="Arial"/>
          <w:b/>
          <w:bCs/>
          <w:sz w:val="24"/>
          <w:szCs w:val="24"/>
        </w:rPr>
      </w:pPr>
      <w:r w:rsidRPr="00FE66C1">
        <w:rPr>
          <w:rFonts w:eastAsia="Arial"/>
          <w:b/>
          <w:bCs/>
          <w:sz w:val="24"/>
          <w:szCs w:val="24"/>
        </w:rPr>
        <w:t xml:space="preserve">Secondary CO4 Mapping: All three algorithms are examples of Inductive Learning, as they all learn a general hypothesis from a set of </w:t>
      </w:r>
      <w:proofErr w:type="spellStart"/>
      <w:r w:rsidRPr="00FE66C1">
        <w:rPr>
          <w:rFonts w:eastAsia="Arial"/>
          <w:b/>
          <w:bCs/>
          <w:sz w:val="24"/>
          <w:szCs w:val="24"/>
        </w:rPr>
        <w:t>labeled</w:t>
      </w:r>
      <w:proofErr w:type="spellEnd"/>
      <w:r w:rsidRPr="00FE66C1">
        <w:rPr>
          <w:rFonts w:eastAsia="Arial"/>
          <w:b/>
          <w:bCs/>
          <w:sz w:val="24"/>
          <w:szCs w:val="24"/>
        </w:rPr>
        <w:t xml:space="preserve"> training examples to make predictions on unseen data.</w:t>
      </w:r>
    </w:p>
    <w:p w14:paraId="1954B7E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Methodological Strength:</w:t>
      </w:r>
      <w:r w:rsidRPr="00FE66C1">
        <w:rPr>
          <w:rFonts w:eastAsia="Arial"/>
          <w:b/>
          <w:bCs/>
          <w:sz w:val="24"/>
          <w:szCs w:val="24"/>
        </w:rPr>
        <w:br/>
        <w:t>A significant strength of the study is its comparative design. By evaluating three structurally different models—a linear classifier, an ensemble tree-based model, and a distance-based algorithm—on the same dataset and under the same conditions, the authors provide a more convincing and robust conclusion than a study focusing on a single model.</w:t>
      </w:r>
    </w:p>
    <w:p w14:paraId="621F5F99"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Methodological Limitation:</w:t>
      </w:r>
      <w:r w:rsidRPr="00FE66C1">
        <w:rPr>
          <w:rFonts w:eastAsia="Arial"/>
          <w:b/>
          <w:bCs/>
          <w:sz w:val="24"/>
          <w:szCs w:val="24"/>
        </w:rPr>
        <w:br/>
        <w:t>A key limitation is that the abstract makes no mention of using cross-validation. The results appear to be derived from a single train-test split. This approach can lead to an over-optimistic evaluation of the model's performance and does not guarantee that the results will generalize well to new, unseen patient data. Furthermore, the study does not address potential class imbalance, a common issue in medical datasets that can skew accuracy results.</w:t>
      </w:r>
    </w:p>
    <w:p w14:paraId="68A34C24" w14:textId="77777777" w:rsidR="00FE66C1" w:rsidRPr="00FE66C1" w:rsidRDefault="00000000" w:rsidP="00FE66C1">
      <w:pPr>
        <w:tabs>
          <w:tab w:val="left" w:pos="9810"/>
        </w:tabs>
        <w:spacing w:before="120" w:after="80"/>
        <w:rPr>
          <w:rFonts w:eastAsia="Arial"/>
          <w:b/>
          <w:bCs/>
          <w:sz w:val="24"/>
          <w:szCs w:val="24"/>
        </w:rPr>
      </w:pPr>
      <w:r>
        <w:rPr>
          <w:rFonts w:eastAsia="Arial"/>
          <w:b/>
          <w:bCs/>
          <w:sz w:val="24"/>
          <w:szCs w:val="24"/>
        </w:rPr>
        <w:pict w14:anchorId="6D6E7EC3">
          <v:rect id="_x0000_i1026" style="width:0;height:.75pt" o:hralign="center" o:hrstd="t" o:hr="t" fillcolor="#a0a0a0" stroked="f"/>
        </w:pict>
      </w:r>
    </w:p>
    <w:p w14:paraId="5BACFFEE"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3: Results &amp; Critical Evaluation</w:t>
      </w:r>
    </w:p>
    <w:p w14:paraId="16E33B29"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Key Results</w:t>
      </w:r>
    </w:p>
    <w:p w14:paraId="26614460"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Based on the data from the abstract, the performance of the models is summarized in the table below. The authors report that KNN achieved the highest accuracy and sensitivity, making it the top-performing model for this specific task.</w:t>
      </w:r>
    </w:p>
    <w:tbl>
      <w:tblPr>
        <w:tblStyle w:val="TableGrid"/>
        <w:tblW w:w="0" w:type="auto"/>
        <w:tblLook w:val="04A0" w:firstRow="1" w:lastRow="0" w:firstColumn="1" w:lastColumn="0" w:noHBand="0" w:noVBand="1"/>
      </w:tblPr>
      <w:tblGrid>
        <w:gridCol w:w="2210"/>
        <w:gridCol w:w="1189"/>
        <w:gridCol w:w="1283"/>
        <w:gridCol w:w="1283"/>
        <w:gridCol w:w="1963"/>
      </w:tblGrid>
      <w:tr w:rsidR="00FE66C1" w:rsidRPr="00FE66C1" w14:paraId="05B97A8D" w14:textId="77777777" w:rsidTr="00FE66C1">
        <w:tc>
          <w:tcPr>
            <w:tcW w:w="0" w:type="auto"/>
            <w:hideMark/>
          </w:tcPr>
          <w:p w14:paraId="7C88DE5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Model</w:t>
            </w:r>
          </w:p>
        </w:tc>
        <w:tc>
          <w:tcPr>
            <w:tcW w:w="0" w:type="auto"/>
            <w:hideMark/>
          </w:tcPr>
          <w:p w14:paraId="29C72DD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Accuracy</w:t>
            </w:r>
          </w:p>
        </w:tc>
        <w:tc>
          <w:tcPr>
            <w:tcW w:w="0" w:type="auto"/>
            <w:hideMark/>
          </w:tcPr>
          <w:p w14:paraId="5936506B"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Sensitivity</w:t>
            </w:r>
          </w:p>
        </w:tc>
        <w:tc>
          <w:tcPr>
            <w:tcW w:w="0" w:type="auto"/>
            <w:hideMark/>
          </w:tcPr>
          <w:p w14:paraId="13B8055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Specificity</w:t>
            </w:r>
          </w:p>
        </w:tc>
        <w:tc>
          <w:tcPr>
            <w:tcW w:w="0" w:type="auto"/>
            <w:hideMark/>
          </w:tcPr>
          <w:p w14:paraId="15B2C19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Mean Test Error</w:t>
            </w:r>
          </w:p>
        </w:tc>
      </w:tr>
      <w:tr w:rsidR="00FE66C1" w:rsidRPr="00FE66C1" w14:paraId="156BE670" w14:textId="77777777" w:rsidTr="00FE66C1">
        <w:tc>
          <w:tcPr>
            <w:tcW w:w="0" w:type="auto"/>
            <w:hideMark/>
          </w:tcPr>
          <w:p w14:paraId="379F2BA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Logistic Regression</w:t>
            </w:r>
          </w:p>
        </w:tc>
        <w:tc>
          <w:tcPr>
            <w:tcW w:w="0" w:type="auto"/>
            <w:hideMark/>
          </w:tcPr>
          <w:p w14:paraId="705A2A29"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4E10633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65BA828D"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3F2F520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r>
      <w:tr w:rsidR="00FE66C1" w:rsidRPr="00FE66C1" w14:paraId="076EB4BF" w14:textId="77777777" w:rsidTr="00FE66C1">
        <w:tc>
          <w:tcPr>
            <w:tcW w:w="0" w:type="auto"/>
            <w:hideMark/>
          </w:tcPr>
          <w:p w14:paraId="67741A1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Random Forest</w:t>
            </w:r>
          </w:p>
        </w:tc>
        <w:tc>
          <w:tcPr>
            <w:tcW w:w="0" w:type="auto"/>
            <w:hideMark/>
          </w:tcPr>
          <w:p w14:paraId="6C1B036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635DA48F"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1A7EF9C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c>
          <w:tcPr>
            <w:tcW w:w="0" w:type="auto"/>
            <w:hideMark/>
          </w:tcPr>
          <w:p w14:paraId="1440725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*N/A*</w:t>
            </w:r>
          </w:p>
        </w:tc>
      </w:tr>
      <w:tr w:rsidR="00FE66C1" w:rsidRPr="00FE66C1" w14:paraId="6E335160" w14:textId="77777777" w:rsidTr="00FE66C1">
        <w:tc>
          <w:tcPr>
            <w:tcW w:w="0" w:type="auto"/>
            <w:hideMark/>
          </w:tcPr>
          <w:p w14:paraId="3D18A7A7"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lastRenderedPageBreak/>
              <w:t>KNN (Best)</w:t>
            </w:r>
          </w:p>
        </w:tc>
        <w:tc>
          <w:tcPr>
            <w:tcW w:w="0" w:type="auto"/>
            <w:hideMark/>
          </w:tcPr>
          <w:p w14:paraId="75E4883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96.09%</w:t>
            </w:r>
          </w:p>
        </w:tc>
        <w:tc>
          <w:tcPr>
            <w:tcW w:w="0" w:type="auto"/>
            <w:hideMark/>
          </w:tcPr>
          <w:p w14:paraId="5B4A519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98.54%</w:t>
            </w:r>
          </w:p>
        </w:tc>
        <w:tc>
          <w:tcPr>
            <w:tcW w:w="0" w:type="auto"/>
            <w:hideMark/>
          </w:tcPr>
          <w:p w14:paraId="4D28DCE8"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93.63%</w:t>
            </w:r>
          </w:p>
        </w:tc>
        <w:tc>
          <w:tcPr>
            <w:tcW w:w="0" w:type="auto"/>
            <w:hideMark/>
          </w:tcPr>
          <w:p w14:paraId="33AF7BF6"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0.0391</w:t>
            </w:r>
          </w:p>
        </w:tc>
      </w:tr>
    </w:tbl>
    <w:p w14:paraId="41C5B4E1"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i/>
          <w:iCs/>
          <w:sz w:val="24"/>
          <w:szCs w:val="24"/>
        </w:rPr>
        <w:t>Note: The performance metrics for Logistic Regression and Random Forest were not specified in the abstract and would require access to the full text.</w:t>
      </w:r>
      <w:r w:rsidRPr="00FE66C1">
        <w:rPr>
          <w:rFonts w:eastAsia="Arial"/>
          <w:b/>
          <w:bCs/>
          <w:sz w:val="24"/>
          <w:szCs w:val="24"/>
        </w:rPr>
        <w:br/>
        <w:t>The authors interpret the high sensitivity (98.54%) and specificity (93.63%) as evidence of KNN's capability to accurately distinguish between diabetic and non-diabetic patients with a low rate of both false negatives and false positives.</w:t>
      </w:r>
    </w:p>
    <w:p w14:paraId="58B8EFE2"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Critical Evaluation</w:t>
      </w:r>
    </w:p>
    <w:p w14:paraId="49D78A4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 xml:space="preserve">While the reported accuracy of 96.09% and a 98.54% sensitivity are remarkably high, it's prudent to view these figures with a degree of healthy </w:t>
      </w:r>
      <w:proofErr w:type="spellStart"/>
      <w:r w:rsidRPr="00FE66C1">
        <w:rPr>
          <w:rFonts w:eastAsia="Arial"/>
          <w:b/>
          <w:bCs/>
          <w:sz w:val="24"/>
          <w:szCs w:val="24"/>
        </w:rPr>
        <w:t>skepticism</w:t>
      </w:r>
      <w:proofErr w:type="spellEnd"/>
      <w:r w:rsidRPr="00FE66C1">
        <w:rPr>
          <w:rFonts w:eastAsia="Arial"/>
          <w:b/>
          <w:bCs/>
          <w:sz w:val="24"/>
          <w:szCs w:val="24"/>
        </w:rPr>
        <w:t>. This level of performance exceeds many established diabetes prediction benchmarks, which typically range from 75-90% on datasets like the Pima Indians Diabetes Database. This disparity prompts questions about the nature of the dataset and the evaluation protocol used.</w:t>
      </w:r>
    </w:p>
    <w:p w14:paraId="6CE0326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Potential sources of bias include:</w:t>
      </w:r>
    </w:p>
    <w:p w14:paraId="6FF9D814"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Dataset Bias: The EHR data likely originates from a single institution or specific demographic, meaning the model's performance may not translate to different populations.</w:t>
      </w:r>
    </w:p>
    <w:p w14:paraId="5EE3687B"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Evaluation Protocol Bias: Using a single train-test split is highly susceptible to producing a "lucky" split that results in inflated performance metrics. A more robust evaluation, such as k-fold cross-validation, would provide a more stable estimate of model performance.</w:t>
      </w:r>
    </w:p>
    <w:p w14:paraId="552C2234" w14:textId="77777777" w:rsidR="00FE66C1" w:rsidRPr="00FE66C1" w:rsidRDefault="00FE66C1" w:rsidP="00FE66C1">
      <w:pPr>
        <w:numPr>
          <w:ilvl w:val="0"/>
          <w:numId w:val="4"/>
        </w:numPr>
        <w:tabs>
          <w:tab w:val="left" w:pos="9810"/>
        </w:tabs>
        <w:spacing w:before="120" w:after="80"/>
        <w:rPr>
          <w:rFonts w:eastAsia="Arial"/>
          <w:b/>
          <w:bCs/>
          <w:sz w:val="24"/>
          <w:szCs w:val="24"/>
        </w:rPr>
      </w:pPr>
      <w:r w:rsidRPr="00FE66C1">
        <w:rPr>
          <w:rFonts w:eastAsia="Arial"/>
          <w:b/>
          <w:bCs/>
          <w:sz w:val="24"/>
          <w:szCs w:val="24"/>
        </w:rPr>
        <w:t>Class Imbalance: If the dataset has an uneven ratio of diabetic to non-diabetic patients, and this was not addressed through techniques like SMOTE or class weighting, the accuracy metric can be artificially inflated, potentially masking poor performance on the minority class.</w:t>
      </w:r>
    </w:p>
    <w:p w14:paraId="192917D5"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To strengthen the findings and ensure robustness, the authors should have employed stratified k-fold cross-validation to report performance metrics with confidence intervals. Furthermore, validating the model on an independent, external EHR dataset from a different institution would be a crucial test of its generalizability and real-world utility.</w:t>
      </w:r>
    </w:p>
    <w:p w14:paraId="58841248"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(c) Real-World Applicability</w:t>
      </w:r>
    </w:p>
    <w:p w14:paraId="5DBE2E12"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The proposed model, particularly KNN, has clear potential for deployment in clinical settings. It could be integrated into a hospital's EHR system as a triage or screening tool to flag high-risk patients during routine visits, enabling earlier and more targeted interventions. This is especially valuable in primary care or resource-limited environments with limited specialist access.</w:t>
      </w:r>
    </w:p>
    <w:p w14:paraId="63FA412D"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However, scaling this solution to an industry level presents significant challenges:</w:t>
      </w:r>
    </w:p>
    <w:p w14:paraId="12A356FC"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Data Availability: The model relies on consistent and structured EHR fields, which are often incomplete or coded differently across different healthcare systems. Data sharing is also heavily constrained by privacy regulations like HIPAA and GDPR.</w:t>
      </w:r>
    </w:p>
    <w:p w14:paraId="1F4CA9C9"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 xml:space="preserve">Compute and Scalability: KNN has high inference costs. As the reference dataset grows, the time to compute distances and find nearest </w:t>
      </w:r>
      <w:proofErr w:type="spellStart"/>
      <w:r w:rsidRPr="00FE66C1">
        <w:rPr>
          <w:rFonts w:eastAsia="Arial"/>
          <w:b/>
          <w:bCs/>
          <w:sz w:val="24"/>
          <w:szCs w:val="24"/>
        </w:rPr>
        <w:t>neighbors</w:t>
      </w:r>
      <w:proofErr w:type="spellEnd"/>
      <w:r w:rsidRPr="00FE66C1">
        <w:rPr>
          <w:rFonts w:eastAsia="Arial"/>
          <w:b/>
          <w:bCs/>
          <w:sz w:val="24"/>
          <w:szCs w:val="24"/>
        </w:rPr>
        <w:t xml:space="preserve"> for each new patient increases substantially, making it less scalable than a simpler model like Logistic Regression for large hospital networks.</w:t>
      </w:r>
    </w:p>
    <w:p w14:paraId="5B1A4C40"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Model Maintenance: EHR systems and coding standards evolve over time, requiring the model to be periodically retrained to avoid performance degradation due to data drift.</w:t>
      </w:r>
    </w:p>
    <w:p w14:paraId="1AEC10FD" w14:textId="77777777" w:rsidR="00FE66C1" w:rsidRPr="00FE66C1" w:rsidRDefault="00FE66C1" w:rsidP="00FE66C1">
      <w:pPr>
        <w:numPr>
          <w:ilvl w:val="0"/>
          <w:numId w:val="5"/>
        </w:numPr>
        <w:tabs>
          <w:tab w:val="left" w:pos="9810"/>
        </w:tabs>
        <w:spacing w:before="120" w:after="80"/>
        <w:rPr>
          <w:rFonts w:eastAsia="Arial"/>
          <w:b/>
          <w:bCs/>
          <w:sz w:val="24"/>
          <w:szCs w:val="24"/>
        </w:rPr>
      </w:pPr>
      <w:r w:rsidRPr="00FE66C1">
        <w:rPr>
          <w:rFonts w:eastAsia="Arial"/>
          <w:b/>
          <w:bCs/>
          <w:sz w:val="24"/>
          <w:szCs w:val="24"/>
        </w:rPr>
        <w:t xml:space="preserve">Ethical Issues: The deployment of such a model must be handled carefully. A false negative could lead to a delayed diagnosis for a real patient, so it's critical to maintain a "human-in-the-loop" with a clinician's final review. There is also a fairness risk if the training data underrepresents certain demographic groups, leading to less accurate predictions for those </w:t>
      </w:r>
      <w:r w:rsidRPr="00FE66C1">
        <w:rPr>
          <w:rFonts w:eastAsia="Arial"/>
          <w:b/>
          <w:bCs/>
          <w:sz w:val="24"/>
          <w:szCs w:val="24"/>
        </w:rPr>
        <w:lastRenderedPageBreak/>
        <w:t>patients. Finally, patients must be informed of and consent to the algorithmic involvement in their care.</w:t>
      </w:r>
    </w:p>
    <w:p w14:paraId="6D54764D" w14:textId="77777777" w:rsidR="00FE66C1" w:rsidRPr="00FE66C1" w:rsidRDefault="00000000" w:rsidP="00FE66C1">
      <w:pPr>
        <w:tabs>
          <w:tab w:val="left" w:pos="9810"/>
        </w:tabs>
        <w:spacing w:before="120" w:after="80"/>
        <w:rPr>
          <w:rFonts w:eastAsia="Arial"/>
          <w:b/>
          <w:bCs/>
          <w:sz w:val="24"/>
          <w:szCs w:val="24"/>
        </w:rPr>
      </w:pPr>
      <w:r>
        <w:rPr>
          <w:rFonts w:eastAsia="Arial"/>
          <w:b/>
          <w:bCs/>
          <w:sz w:val="24"/>
          <w:szCs w:val="24"/>
        </w:rPr>
        <w:pict w14:anchorId="4301E1F8">
          <v:rect id="_x0000_i1027" style="width:0;height:.75pt" o:hralign="center" o:hrstd="t" o:hr="t" fillcolor="#a0a0a0" stroked="f"/>
        </w:pict>
      </w:r>
    </w:p>
    <w:p w14:paraId="5C4B513F" w14:textId="77777777" w:rsidR="00FE66C1" w:rsidRPr="00FE66C1" w:rsidRDefault="00FE66C1" w:rsidP="00FE66C1">
      <w:pPr>
        <w:tabs>
          <w:tab w:val="left" w:pos="9810"/>
        </w:tabs>
        <w:spacing w:before="120" w:after="80"/>
        <w:rPr>
          <w:rFonts w:eastAsia="Arial"/>
          <w:b/>
          <w:bCs/>
          <w:sz w:val="32"/>
          <w:szCs w:val="32"/>
        </w:rPr>
      </w:pPr>
      <w:r w:rsidRPr="00FE66C1">
        <w:rPr>
          <w:rFonts w:eastAsia="Arial"/>
          <w:b/>
          <w:bCs/>
          <w:sz w:val="32"/>
          <w:szCs w:val="32"/>
        </w:rPr>
        <w:t>Task 4: Reflection &amp; Learning Outcome</w:t>
      </w:r>
    </w:p>
    <w:p w14:paraId="5078BFAB"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(a) Three Key Insights (linked to CO4)</w:t>
      </w:r>
    </w:p>
    <w:p w14:paraId="435DDE89"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The Importance of Model Comparison in Inductive Learning: This article reinforced the idea central to inductive learning that there is no universally superior algorithm ("No Free Lunch" theorem). The comparative study showed that the choice of model significantly impacts performance, and the most effective algorithm (KNN in this case) depends on the structure of the underlying data. This highlights the need to empirically validate multiple hypothesis classes when solving a new classification problem.</w:t>
      </w:r>
    </w:p>
    <w:p w14:paraId="032EF854"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Value of a Statistical Baseline Model: Although Logistic Regression did not achieve the highest raw performance, its inclusion as a baseline was crucial. It serves as a simple, interpretable benchmark. Its coefficients provide auditable, clinically meaningful reasoning about feature importance. This connects directly to the course's Statistical Learning Methods module, demonstrating the value of even the "simpler" models in a real-world context.</w:t>
      </w:r>
    </w:p>
    <w:p w14:paraId="3BF957BA" w14:textId="77777777" w:rsidR="00FE66C1" w:rsidRPr="00FE66C1" w:rsidRDefault="00FE66C1" w:rsidP="00FE66C1">
      <w:pPr>
        <w:numPr>
          <w:ilvl w:val="0"/>
          <w:numId w:val="6"/>
        </w:numPr>
        <w:tabs>
          <w:tab w:val="left" w:pos="9810"/>
        </w:tabs>
        <w:spacing w:before="120" w:after="80"/>
        <w:rPr>
          <w:rFonts w:eastAsia="Arial"/>
          <w:b/>
          <w:bCs/>
          <w:sz w:val="24"/>
          <w:szCs w:val="24"/>
        </w:rPr>
      </w:pPr>
      <w:r w:rsidRPr="00FE66C1">
        <w:rPr>
          <w:rFonts w:eastAsia="Arial"/>
          <w:b/>
          <w:bCs/>
          <w:sz w:val="24"/>
          <w:szCs w:val="24"/>
        </w:rPr>
        <w:t>Choosing the Right Evaluation Metrics is Critical: The paper's focus on sensitivity and specificity over raw accuracy taught a vital lesson in evaluation design. In a high-stakes domain like healthcare, the consequences of a false negative and a false positive are very different. This reinforces the course concept that in medical ML, evaluation must reflect the asymmetric cost of errors, making Precision/Recall-focused metrics more important than general accuracy.</w:t>
      </w:r>
    </w:p>
    <w:p w14:paraId="67A750AA" w14:textId="77777777" w:rsidR="00FE66C1" w:rsidRPr="00FE66C1" w:rsidRDefault="00FE66C1" w:rsidP="00FE66C1">
      <w:pPr>
        <w:tabs>
          <w:tab w:val="left" w:pos="9810"/>
        </w:tabs>
        <w:spacing w:before="120" w:after="80"/>
        <w:rPr>
          <w:rFonts w:eastAsia="Arial"/>
          <w:b/>
          <w:bCs/>
          <w:sz w:val="28"/>
          <w:szCs w:val="28"/>
        </w:rPr>
      </w:pPr>
      <w:r w:rsidRPr="00FE66C1">
        <w:rPr>
          <w:rFonts w:eastAsia="Arial"/>
          <w:b/>
          <w:bCs/>
          <w:sz w:val="28"/>
          <w:szCs w:val="28"/>
        </w:rPr>
        <w:t>(b) Proposed Extension</w:t>
      </w:r>
    </w:p>
    <w:p w14:paraId="18CE6F4A"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Proposed Experiment:</w:t>
      </w:r>
      <w:r w:rsidRPr="00FE66C1">
        <w:rPr>
          <w:rFonts w:eastAsia="Arial"/>
          <w:b/>
          <w:bCs/>
          <w:sz w:val="24"/>
          <w:szCs w:val="24"/>
        </w:rPr>
        <w:br/>
        <w:t>An interesting extension would be to directly incorporate a standalone Decision Tree algorithm as a fourth comparator. This would allow for a direct comparison of an interpretable rule-based model against the current best-performer, KNN. Before training, the data would be balanced using Synthetic Minority Over-sampling Technique (SMOTE). All four models would then be evaluated using a robust 10-fold stratified cross-validation to provide more reliable performance estimates. To truly test generalizability, the best-performing models would be validated on a completely independent EHR dataset from a different source.</w:t>
      </w:r>
    </w:p>
    <w:p w14:paraId="42902214"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Justification for Feasibility:</w:t>
      </w:r>
      <w:r w:rsidRPr="00FE66C1">
        <w:rPr>
          <w:rFonts w:eastAsia="Arial"/>
          <w:b/>
          <w:bCs/>
          <w:sz w:val="24"/>
          <w:szCs w:val="24"/>
        </w:rPr>
        <w:br/>
        <w:t>All the proposed methods—Decision Trees, SMOTE, and k-fold cross-validation—are standard, freely available algorithms in libraries like scikit-learn. This experiment could be conducted with standard computational resources, requiring no specialized hardware like GPUs. It represents a straightforward yet powerful improvement on the original study's methodology.</w:t>
      </w:r>
    </w:p>
    <w:p w14:paraId="2E783BF3" w14:textId="77777777" w:rsidR="00FE66C1" w:rsidRPr="00FE66C1" w:rsidRDefault="00FE66C1" w:rsidP="00FE66C1">
      <w:pPr>
        <w:tabs>
          <w:tab w:val="left" w:pos="9810"/>
        </w:tabs>
        <w:spacing w:before="120" w:after="80"/>
        <w:rPr>
          <w:rFonts w:eastAsia="Arial"/>
          <w:b/>
          <w:bCs/>
          <w:sz w:val="24"/>
          <w:szCs w:val="24"/>
        </w:rPr>
      </w:pPr>
      <w:r w:rsidRPr="00FE66C1">
        <w:rPr>
          <w:rFonts w:eastAsia="Arial"/>
          <w:b/>
          <w:bCs/>
          <w:sz w:val="24"/>
          <w:szCs w:val="24"/>
        </w:rPr>
        <w:t>Expected Impact:</w:t>
      </w:r>
      <w:r w:rsidRPr="00FE66C1">
        <w:rPr>
          <w:rFonts w:eastAsia="Arial"/>
          <w:b/>
          <w:bCs/>
          <w:sz w:val="24"/>
          <w:szCs w:val="24"/>
        </w:rPr>
        <w:br/>
        <w:t xml:space="preserve">Adding a Decision Tree would provide a clinician-friendly, rule-based model that is highly auditable, complementing KNN's "black-box" performance. This is particularly valuable in clinical settings </w:t>
      </w:r>
      <w:proofErr w:type="gramStart"/>
      <w:r w:rsidRPr="00FE66C1">
        <w:rPr>
          <w:rFonts w:eastAsia="Arial"/>
          <w:b/>
          <w:bCs/>
          <w:sz w:val="24"/>
          <w:szCs w:val="24"/>
        </w:rPr>
        <w:t>where</w:t>
      </w:r>
      <w:proofErr w:type="gramEnd"/>
      <w:r w:rsidRPr="00FE66C1">
        <w:rPr>
          <w:rFonts w:eastAsia="Arial"/>
          <w:b/>
          <w:bCs/>
          <w:sz w:val="24"/>
          <w:szCs w:val="24"/>
        </w:rPr>
        <w:t xml:space="preserve"> understanding the "why" behind a prediction is crucial. Most importantly, cross-institution validation would directly address the main limitation identified in the original study—the generalizability of its findings—and provide a more evidence-based answer for practitioners deciding which model to deploy in a real clinical environment.</w:t>
      </w:r>
    </w:p>
    <w:p w14:paraId="6FB59DFE" w14:textId="77777777" w:rsidR="00FE66C1" w:rsidRPr="00FE66C1" w:rsidRDefault="00FE66C1">
      <w:pPr>
        <w:tabs>
          <w:tab w:val="left" w:pos="9810"/>
        </w:tabs>
        <w:spacing w:before="120" w:after="80"/>
        <w:rPr>
          <w:rFonts w:eastAsia="Arial"/>
          <w:b/>
          <w:bCs/>
          <w:sz w:val="24"/>
          <w:szCs w:val="24"/>
        </w:rPr>
      </w:pPr>
    </w:p>
    <w:p w14:paraId="4812495F" w14:textId="77777777" w:rsidR="00EE3010" w:rsidRDefault="00EE3010">
      <w:pPr>
        <w:tabs>
          <w:tab w:val="left" w:pos="9810"/>
        </w:tabs>
        <w:spacing w:before="120" w:after="80"/>
        <w:rPr>
          <w:rFonts w:ascii="Arial" w:eastAsia="Arial" w:hAnsi="Arial" w:cs="Arial"/>
          <w:b/>
          <w:bCs/>
          <w:sz w:val="24"/>
          <w:szCs w:val="24"/>
          <w:u w:val="single"/>
        </w:rPr>
      </w:pPr>
    </w:p>
    <w:p w14:paraId="2F0729F2" w14:textId="77777777" w:rsidR="00FE66C1" w:rsidRDefault="00FE66C1">
      <w:pPr>
        <w:tabs>
          <w:tab w:val="left" w:pos="9810"/>
        </w:tabs>
        <w:spacing w:before="120" w:after="80"/>
        <w:rPr>
          <w:rFonts w:ascii="Arial" w:eastAsia="Arial" w:hAnsi="Arial" w:cs="Arial"/>
          <w:b/>
          <w:bCs/>
          <w:sz w:val="24"/>
          <w:szCs w:val="24"/>
          <w:u w:val="single"/>
        </w:rPr>
      </w:pPr>
    </w:p>
    <w:p w14:paraId="12927F08" w14:textId="77777777" w:rsidR="00FE66C1" w:rsidRDefault="00FE66C1">
      <w:pPr>
        <w:tabs>
          <w:tab w:val="left" w:pos="9810"/>
        </w:tabs>
        <w:spacing w:before="120" w:after="80"/>
        <w:rPr>
          <w:rFonts w:ascii="Arial" w:eastAsia="Arial" w:hAnsi="Arial" w:cs="Arial"/>
          <w:b/>
          <w:bCs/>
          <w:sz w:val="24"/>
          <w:szCs w:val="24"/>
          <w:u w:val="single"/>
        </w:rPr>
      </w:pPr>
    </w:p>
    <w:p w14:paraId="7D1A8603" w14:textId="77777777" w:rsidR="00FE66C1" w:rsidRDefault="00FE66C1">
      <w:pPr>
        <w:tabs>
          <w:tab w:val="left" w:pos="9810"/>
        </w:tabs>
        <w:spacing w:before="120" w:after="80"/>
        <w:rPr>
          <w:rFonts w:ascii="Arial" w:eastAsia="Arial" w:hAnsi="Arial" w:cs="Arial"/>
          <w:b/>
          <w:bCs/>
          <w:sz w:val="24"/>
          <w:szCs w:val="24"/>
          <w:u w:val="single"/>
        </w:rPr>
      </w:pPr>
    </w:p>
    <w:p w14:paraId="35809AFF" w14:textId="77777777" w:rsidR="00FE66C1" w:rsidRDefault="00FE66C1">
      <w:pPr>
        <w:tabs>
          <w:tab w:val="left" w:pos="9810"/>
        </w:tabs>
        <w:spacing w:before="120" w:after="80"/>
        <w:rPr>
          <w:rFonts w:ascii="Arial" w:eastAsia="Arial" w:hAnsi="Arial" w:cs="Arial"/>
          <w:b/>
          <w:bCs/>
          <w:sz w:val="24"/>
          <w:szCs w:val="24"/>
          <w:u w:val="single"/>
        </w:rPr>
      </w:pPr>
    </w:p>
    <w:p w14:paraId="0095A6BE" w14:textId="1070388D" w:rsidR="00EE3010"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82A89B7" w14:textId="77777777" w:rsidR="00EE3010" w:rsidRDefault="00EE3010">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EE3010" w14:paraId="53412C28"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2F1D7EB" w14:textId="77777777" w:rsidR="00EE3010"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72F53EAD" w14:textId="77777777" w:rsidR="00EE3010"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572755F" w14:textId="77777777" w:rsidR="00EE3010"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530DA789" w14:textId="77777777" w:rsidR="00EE3010"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4DE10D6F" w14:textId="77777777" w:rsidR="00EE3010"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DCD2CEC" w14:textId="77777777" w:rsidR="00EE3010" w:rsidRDefault="00000000">
            <w:pPr>
              <w:rPr>
                <w:rFonts w:ascii="Arial" w:eastAsia="Arial" w:hAnsi="Arial" w:cs="Arial"/>
                <w:b/>
                <w:bCs/>
                <w:color w:val="000000"/>
              </w:rPr>
            </w:pPr>
            <w:r>
              <w:rPr>
                <w:rFonts w:ascii="Arial" w:eastAsia="Arial" w:hAnsi="Arial" w:cs="Arial"/>
                <w:b/>
                <w:bCs/>
                <w:color w:val="000000"/>
              </w:rPr>
              <w:t>Level 1 (Beginning)</w:t>
            </w:r>
          </w:p>
        </w:tc>
      </w:tr>
      <w:tr w:rsidR="00EE3010" w14:paraId="1AA3E61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647CCE2" w14:textId="77777777" w:rsidR="00EE3010"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0B8B9F1F" w14:textId="77777777" w:rsidR="00EE3010"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6641167" w14:textId="77777777" w:rsidR="00EE3010"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47FC452E" w14:textId="77777777" w:rsidR="00EE3010"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33F6C85C" w14:textId="77777777" w:rsidR="00EE3010"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1D713250" w14:textId="77777777" w:rsidR="00EE3010" w:rsidRDefault="00000000">
            <w:pPr>
              <w:rPr>
                <w:rFonts w:ascii="Arial" w:eastAsia="Arial" w:hAnsi="Arial" w:cs="Arial"/>
                <w:color w:val="000000"/>
              </w:rPr>
            </w:pPr>
            <w:r>
              <w:rPr>
                <w:rFonts w:ascii="Arial" w:eastAsia="Arial" w:hAnsi="Arial" w:cs="Arial"/>
                <w:color w:val="000000"/>
              </w:rPr>
              <w:t>Lacks understanding of the article</w:t>
            </w:r>
          </w:p>
        </w:tc>
      </w:tr>
      <w:tr w:rsidR="00EE3010" w14:paraId="0E8620C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CBE5DE4" w14:textId="77777777" w:rsidR="00EE3010"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4E24B863" w14:textId="77777777" w:rsidR="00EE3010"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1C28F85" w14:textId="77777777" w:rsidR="00EE3010"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5008CE30" w14:textId="77777777" w:rsidR="00EE3010"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7CDADE6D" w14:textId="77777777" w:rsidR="00EE3010"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393F760" w14:textId="77777777" w:rsidR="00EE3010" w:rsidRDefault="00000000">
            <w:pPr>
              <w:rPr>
                <w:rFonts w:ascii="Arial" w:eastAsia="Arial" w:hAnsi="Arial" w:cs="Arial"/>
                <w:color w:val="000000"/>
              </w:rPr>
            </w:pPr>
            <w:r>
              <w:rPr>
                <w:rFonts w:ascii="Arial" w:eastAsia="Arial" w:hAnsi="Arial" w:cs="Arial"/>
                <w:color w:val="000000"/>
              </w:rPr>
              <w:t>Poor or incorrect summary</w:t>
            </w:r>
          </w:p>
        </w:tc>
      </w:tr>
      <w:tr w:rsidR="00EE3010" w14:paraId="3581E26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A4325B" w14:textId="77777777" w:rsidR="00EE3010"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182CB284" w14:textId="77777777" w:rsidR="00EE3010"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05C9232F" w14:textId="77777777" w:rsidR="00EE3010"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10578284" w14:textId="77777777" w:rsidR="00EE3010"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836BD86" w14:textId="77777777" w:rsidR="00EE3010"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71180AB" w14:textId="77777777" w:rsidR="00EE3010" w:rsidRDefault="00000000">
            <w:pPr>
              <w:rPr>
                <w:rFonts w:ascii="Arial" w:eastAsia="Arial" w:hAnsi="Arial" w:cs="Arial"/>
                <w:color w:val="000000"/>
              </w:rPr>
            </w:pPr>
            <w:r>
              <w:rPr>
                <w:rFonts w:ascii="Arial" w:eastAsia="Arial" w:hAnsi="Arial" w:cs="Arial"/>
                <w:color w:val="000000"/>
              </w:rPr>
              <w:t>No meaningful analysis</w:t>
            </w:r>
          </w:p>
        </w:tc>
      </w:tr>
      <w:tr w:rsidR="00EE3010" w14:paraId="17C8E8A0"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2D88CA6" w14:textId="77777777" w:rsidR="00EE3010"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58988B5A" w14:textId="77777777" w:rsidR="00EE3010"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6F26EDBC" w14:textId="77777777" w:rsidR="00EE3010"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37B30AB" w14:textId="77777777" w:rsidR="00EE3010"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6806F532" w14:textId="77777777" w:rsidR="00EE3010"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6DF980A3" w14:textId="77777777" w:rsidR="00EE3010" w:rsidRDefault="00000000">
            <w:pPr>
              <w:rPr>
                <w:rFonts w:ascii="Arial" w:eastAsia="Arial" w:hAnsi="Arial" w:cs="Arial"/>
                <w:color w:val="000000"/>
              </w:rPr>
            </w:pPr>
            <w:r>
              <w:rPr>
                <w:rFonts w:ascii="Arial" w:eastAsia="Arial" w:hAnsi="Arial" w:cs="Arial"/>
                <w:color w:val="000000"/>
              </w:rPr>
              <w:t>No supporting evidence provided</w:t>
            </w:r>
          </w:p>
        </w:tc>
      </w:tr>
      <w:tr w:rsidR="00EE3010" w14:paraId="1CCA2DB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190FBE6" w14:textId="77777777" w:rsidR="00EE3010"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021C5BC2" w14:textId="77777777" w:rsidR="00EE3010"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4F8D39B" w14:textId="77777777" w:rsidR="00EE3010"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28DAA8A5" w14:textId="77777777" w:rsidR="00EE3010"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6784896C" w14:textId="77777777" w:rsidR="00EE3010"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6298D903" w14:textId="77777777" w:rsidR="00EE3010"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347C4D5" w14:textId="77777777" w:rsidR="00EE3010" w:rsidRDefault="00EE3010">
      <w:pPr>
        <w:tabs>
          <w:tab w:val="left" w:pos="9810"/>
        </w:tabs>
        <w:spacing w:before="120" w:after="80"/>
        <w:rPr>
          <w:rFonts w:ascii="Arial" w:eastAsia="Arial" w:hAnsi="Arial" w:cs="Arial"/>
          <w:b/>
          <w:bCs/>
          <w:sz w:val="24"/>
          <w:szCs w:val="24"/>
          <w:u w:val="single"/>
        </w:rPr>
      </w:pPr>
    </w:p>
    <w:sectPr w:rsidR="00EE301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3851EB0-A4D6-4C02-8161-F055B33452D1}"/>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F2F648E-24D4-4556-B514-FADD703C4293}"/>
  </w:font>
  <w:font w:name="Cambria">
    <w:panose1 w:val="02040503050406030204"/>
    <w:charset w:val="00"/>
    <w:family w:val="roman"/>
    <w:pitch w:val="variable"/>
    <w:sig w:usb0="E00006FF" w:usb1="420024FF" w:usb2="02000000" w:usb3="00000000" w:csb0="0000019F" w:csb1="00000000"/>
    <w:embedRegular r:id="rId3" w:fontKey="{FB9E6A4B-0C45-4078-B9CF-975E7C47FD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A23E6"/>
    <w:multiLevelType w:val="multilevel"/>
    <w:tmpl w:val="F07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07EE5"/>
    <w:multiLevelType w:val="multilevel"/>
    <w:tmpl w:val="D37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3D29"/>
    <w:multiLevelType w:val="multilevel"/>
    <w:tmpl w:val="3CB4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11E96"/>
    <w:multiLevelType w:val="multilevel"/>
    <w:tmpl w:val="1AD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0273A"/>
    <w:multiLevelType w:val="multilevel"/>
    <w:tmpl w:val="3C9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127189"/>
    <w:multiLevelType w:val="multilevel"/>
    <w:tmpl w:val="E4C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53190">
    <w:abstractNumId w:val="1"/>
  </w:num>
  <w:num w:numId="2" w16cid:durableId="890919109">
    <w:abstractNumId w:val="2"/>
  </w:num>
  <w:num w:numId="3" w16cid:durableId="565801172">
    <w:abstractNumId w:val="3"/>
  </w:num>
  <w:num w:numId="4" w16cid:durableId="899562670">
    <w:abstractNumId w:val="5"/>
  </w:num>
  <w:num w:numId="5" w16cid:durableId="1957902164">
    <w:abstractNumId w:val="0"/>
  </w:num>
  <w:num w:numId="6" w16cid:durableId="1288007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2762C"/>
    <w:rsid w:val="001D05D0"/>
    <w:rsid w:val="00270932"/>
    <w:rsid w:val="003A1338"/>
    <w:rsid w:val="0073065E"/>
    <w:rsid w:val="0090480C"/>
    <w:rsid w:val="009213FD"/>
    <w:rsid w:val="00BC0441"/>
    <w:rsid w:val="00EE3010"/>
    <w:rsid w:val="00FE66C1"/>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2FC47F"/>
  <w15:docId w15:val="{047CF21D-5BBC-4BB6-BD4E-C2FE59DE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styleId="Hyperlink">
    <w:name w:val="Hyperlink"/>
    <w:basedOn w:val="DefaultParagraphFont"/>
    <w:uiPriority w:val="99"/>
    <w:unhideWhenUsed/>
    <w:rsid w:val="00FE66C1"/>
    <w:rPr>
      <w:color w:val="0000FF" w:themeColor="hyperlink"/>
      <w:u w:val="single"/>
    </w:rPr>
  </w:style>
  <w:style w:type="character" w:styleId="UnresolvedMention">
    <w:name w:val="Unresolved Mention"/>
    <w:basedOn w:val="DefaultParagraphFont"/>
    <w:uiPriority w:val="99"/>
    <w:semiHidden/>
    <w:unhideWhenUsed/>
    <w:rsid w:val="00FE66C1"/>
    <w:rPr>
      <w:color w:val="605E5C"/>
      <w:shd w:val="clear" w:color="auto" w:fill="E1DFDD"/>
    </w:rPr>
  </w:style>
  <w:style w:type="table" w:styleId="TableGrid">
    <w:name w:val="Table Grid"/>
    <w:basedOn w:val="TableNormal"/>
    <w:uiPriority w:val="39"/>
    <w:rsid w:val="00FE6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infoh.2024.12.002"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Nomula Deepak</cp:lastModifiedBy>
  <cp:revision>2</cp:revision>
  <dcterms:created xsi:type="dcterms:W3CDTF">2026-08-18T08:05:00Z</dcterms:created>
  <dcterms:modified xsi:type="dcterms:W3CDTF">2026-08-18T08:05:00Z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