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B365D"/>
          <w:sz w:val="44"/>
        </w:rPr>
        <w:t>EKART LOGISTICS &amp; SUPPLY CHAIN ANALYTICS</w:t>
      </w:r>
    </w:p>
    <w:p>
      <w:pPr>
        <w:spacing w:after="360"/>
        <w:jc w:val="center"/>
      </w:pPr>
      <w:r>
        <w:rPr>
          <w:color w:val="7F8C8D"/>
          <w:sz w:val="24"/>
        </w:rPr>
        <w:t>End-to-End BI Portfolio Report, Power BI Dashboard Architecture &amp; Advanced SQL Solutions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1. Executive Summary &amp; Project Overview</w:t>
      </w:r>
    </w:p>
    <w:p>
      <w:pPr>
        <w:spacing w:after="120" w:line="276" w:lineRule="auto"/>
      </w:pPr>
      <w:r>
        <w:rPr>
          <w:color w:val="2C3E50"/>
          <w:sz w:val="22"/>
        </w:rPr>
        <w:t>The Ekart Logistics Analytics project is an end-to-end supply chain business intelligence solution designed to monitor, evaluate, and optimize e-commerce delivery operations. Operating in a high-volume fulfillment ecosystem, logistics networks face constant pressure to reduce transit times, control return-to-origin (RTO) leakage, maximize freight revenue, and safeguard customer satisfaction.</w:t>
      </w:r>
    </w:p>
    <w:p>
      <w:pPr>
        <w:spacing w:after="120" w:line="276" w:lineRule="auto"/>
      </w:pPr>
      <w:r>
        <w:rPr>
          <w:color w:val="2C3E50"/>
          <w:sz w:val="22"/>
        </w:rPr>
        <w:t>This project bridges raw operational data and executive decision-making through two core pillars: an interactive 5-page Power BI executive dashboard and a suite of advanced SQL queries designed for robust data retrieval and deep analytical profiling.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2. Power BI Dashboard Architecture &amp; Visual Design</w:t>
      </w:r>
    </w:p>
    <w:p>
      <w:pPr>
        <w:spacing w:after="120" w:line="276" w:lineRule="auto"/>
      </w:pPr>
      <w:r>
        <w:rPr>
          <w:color w:val="2C3E50"/>
          <w:sz w:val="22"/>
        </w:rPr>
        <w:t>The Power BI dashboard is structured across five dedicated pages, incorporating custom color palettes, dynamic DAX measures, and comprehensive filtering across delivery dates and origin hubs.</w:t>
      </w:r>
    </w:p>
    <w:p>
      <w:pPr>
        <w:keepNext/>
        <w:spacing w:before="240" w:after="80"/>
      </w:pPr>
      <w:r>
        <w:rPr>
          <w:b/>
          <w:color w:val="2980B9"/>
          <w:sz w:val="24"/>
        </w:rPr>
        <w:t>Page 1: Dashboard Overview (Executive Summary)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Volume: </w:t>
      </w:r>
      <w:r>
        <w:rPr>
          <w:color w:val="2C3E50"/>
          <w:sz w:val="22"/>
        </w:rPr>
        <w:t>13,000 Total Shipments tracked across nationwide fulfillment hubs.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Reliability: </w:t>
      </w:r>
      <w:r>
        <w:rPr>
          <w:color w:val="2C3E50"/>
          <w:sz w:val="22"/>
        </w:rPr>
        <w:t>82.0% On-Time Delivery Rate benchmarked against SLA targets.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Financials: </w:t>
      </w:r>
      <w:r>
        <w:rPr>
          <w:color w:val="2C3E50"/>
          <w:sz w:val="22"/>
        </w:rPr>
        <w:t>$19.0 Million total freight revenue generated across all service tiers.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Quality: </w:t>
      </w:r>
      <w:r>
        <w:rPr>
          <w:color w:val="2C3E50"/>
          <w:sz w:val="22"/>
        </w:rPr>
        <w:t>3.91 / 5.00 average customer feedback rating.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Visualizations: </w:t>
      </w:r>
      <w:r>
        <w:rPr>
          <w:color w:val="2C3E50"/>
          <w:sz w:val="22"/>
        </w:rPr>
        <w:t>Shipment Volume Trend (Line chart showing daily transaction fluctuations) and Delivery Status Breakdown (Donut chart illustrating Delivered 15.2M / 82%, Delayed 1.95M, RTO 0.51M, and Cancelled volumes).</w:t>
      </w:r>
    </w:p>
    <w:p>
      <w:pPr>
        <w:keepNext/>
        <w:spacing w:before="240" w:after="80"/>
      </w:pPr>
      <w:r>
        <w:rPr>
          <w:b/>
          <w:color w:val="2980B9"/>
          <w:sz w:val="24"/>
        </w:rPr>
        <w:t>Page 2: Fleet Management &amp; Route Analytics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Distance: </w:t>
      </w:r>
      <w:r>
        <w:rPr>
          <w:color w:val="2C3E50"/>
          <w:sz w:val="22"/>
        </w:rPr>
        <w:t>13.89 Million Kilometers total distance covered.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Weight: </w:t>
      </w:r>
      <w:r>
        <w:rPr>
          <w:color w:val="2C3E50"/>
          <w:sz w:val="22"/>
        </w:rPr>
        <w:t>2.50 kg average package weight across standard and priority tiers.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Speed: </w:t>
      </w:r>
      <w:r>
        <w:rPr>
          <w:color w:val="2C3E50"/>
          <w:sz w:val="22"/>
        </w:rPr>
        <w:t>3,000 Express deliveries dispatched.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Visualizations: </w:t>
      </w:r>
      <w:r>
        <w:rPr>
          <w:color w:val="2C3E50"/>
          <w:sz w:val="22"/>
        </w:rPr>
        <w:t>Origin Hub Performance (Horizontal stacked bar chart tracking total shipments by hub across Express, Same-Day, and Standard services), Shipping Mode Breakdown (Donut chart), and Route Distance Correlation (Scatter plot mapping package weight against travel distance).</w:t>
      </w:r>
    </w:p>
    <w:p>
      <w:pPr>
        <w:keepNext/>
        <w:spacing w:before="240" w:after="80"/>
      </w:pPr>
      <w:r>
        <w:rPr>
          <w:b/>
          <w:color w:val="2980B9"/>
          <w:sz w:val="24"/>
        </w:rPr>
        <w:t>Page 3: Revenue &amp; Shipments (Financial Heart)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Revenue: </w:t>
      </w:r>
      <w:r>
        <w:rPr>
          <w:color w:val="2C3E50"/>
          <w:sz w:val="22"/>
        </w:rPr>
        <w:t>$18.6 Million total freight revenue.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Yield: </w:t>
      </w:r>
      <w:r>
        <w:rPr>
          <w:color w:val="2C3E50"/>
          <w:sz w:val="22"/>
        </w:rPr>
        <w:t>13,000 total shipments yielding an Average Revenue per Shipment of $1.49K.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Express Revenue: </w:t>
      </w:r>
      <w:r>
        <w:rPr>
          <w:color w:val="2C3E50"/>
          <w:sz w:val="22"/>
        </w:rPr>
        <w:t>$5.12 Million generated exclusively through Express delivery channels.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Visualizations: </w:t>
      </w:r>
      <w:r>
        <w:rPr>
          <w:color w:val="2C3E50"/>
          <w:sz w:val="22"/>
        </w:rPr>
        <w:t>Service Type Performance (Bar chart comparing Standard vs Express vs Same-Day revenue contribution), Top 5 Destination Cities (Pune, Patna, Hyderabad, Chennai, Lucknow), and Distance vs Revenue scatter plot.</w:t>
      </w:r>
    </w:p>
    <w:p>
      <w:pPr>
        <w:keepNext/>
        <w:spacing w:before="240" w:after="80"/>
      </w:pPr>
      <w:r>
        <w:rPr>
          <w:b/>
          <w:color w:val="2980B9"/>
          <w:sz w:val="24"/>
        </w:rPr>
        <w:t>Page 4: Returns &amp; RTO Management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RTO Metrics: </w:t>
      </w:r>
      <w:r>
        <w:rPr>
          <w:color w:val="2C3E50"/>
          <w:sz w:val="22"/>
        </w:rPr>
        <w:t>632 RTO shipments and 341 cancelled orders contributing to a 5.1% RTO Rate.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Delays: </w:t>
      </w:r>
      <w:r>
        <w:rPr>
          <w:color w:val="2C3E50"/>
          <w:sz w:val="22"/>
        </w:rPr>
        <w:t>1,000 delayed deliveries requiring operational intervention.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Visualizations: </w:t>
      </w:r>
      <w:r>
        <w:rPr>
          <w:color w:val="2C3E50"/>
          <w:sz w:val="22"/>
        </w:rPr>
        <w:t>RTO by Destination (Bar chart pinpointing Ahmedabad, Lucknow, Pune, Surat, and Delhi as top RTO hotspots) and Status Breakdown Donut Chart.</w:t>
      </w:r>
    </w:p>
    <w:p>
      <w:pPr>
        <w:keepNext/>
        <w:spacing w:before="240" w:after="80"/>
      </w:pPr>
      <w:r>
        <w:rPr>
          <w:b/>
          <w:color w:val="2980B9"/>
          <w:sz w:val="24"/>
        </w:rPr>
        <w:t>Page 5: Customer Feedback &amp; Quality Scorecard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Satisfaction: </w:t>
      </w:r>
      <w:r>
        <w:rPr>
          <w:color w:val="2C3E50"/>
          <w:sz w:val="22"/>
        </w:rPr>
        <w:t>3.91 Average Rating with 13,000 total customer feedbacks.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Score Split: </w:t>
      </w:r>
      <w:r>
        <w:rPr>
          <w:color w:val="2C3E50"/>
          <w:sz w:val="22"/>
        </w:rPr>
        <w:t>75.0% Happy Customers (4-5 stars) vs. 16.2% Negative Ratings (1-2 stars).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Visualizations: </w:t>
      </w:r>
      <w:r>
        <w:rPr>
          <w:color w:val="2C3E50"/>
          <w:sz w:val="22"/>
        </w:rPr>
        <w:t>Ratings Trend (Line chart tracking daily sentiment shifts) and Ratings by Origin Hub (Bar chart evaluating hub-wise customer satisfaction scores).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3. Advanced SQL Queries &amp; Technical Solutions</w:t>
      </w:r>
    </w:p>
    <w:p>
      <w:pPr>
        <w:spacing w:after="120" w:line="276" w:lineRule="auto"/>
      </w:pPr>
      <w:r>
        <w:rPr>
          <w:color w:val="2C3E50"/>
          <w:sz w:val="22"/>
        </w:rPr>
        <w:t>To extract granular operational insights from the underlying database, advanced SQL queries were developed leveraging CTEs, Window Functions, and Conditional Aggregation.</w:t>
      </w:r>
    </w:p>
    <w:p>
      <w:pPr>
        <w:keepNext/>
        <w:spacing w:before="240" w:after="80"/>
      </w:pPr>
      <w:r>
        <w:rPr>
          <w:b/>
          <w:color w:val="2980B9"/>
          <w:sz w:val="24"/>
        </w:rPr>
        <w:t>Query 1: Service Type On-Time Delivery Performance (Conditional Aggregation)</w:t>
      </w:r>
    </w:p>
    <w:p>
      <w:pPr>
        <w:spacing w:after="120" w:line="276" w:lineRule="auto"/>
      </w:pPr>
      <w:r>
        <w:rPr>
          <w:color w:val="2C3E50"/>
          <w:sz w:val="22"/>
        </w:rPr>
        <w:t>Calculates total shipments and On-Time Delivery Rate percentages for each service tier using conditional counting.</w:t>
      </w:r>
    </w:p>
    <w:p>
      <w:pPr>
        <w:spacing w:before="80" w:after="160"/>
        <w:ind w:left="432"/>
      </w:pPr>
      <w:r>
        <w:rPr>
          <w:rFonts w:ascii="Consolas" w:hAnsi="Consolas"/>
          <w:color w:val="273746"/>
          <w:sz w:val="19"/>
        </w:rPr>
        <w:t xml:space="preserve">SELECT </w:t>
        <w:br/>
        <w:t xml:space="preserve">    Service_Type,</w:t>
        <w:br/>
        <w:t xml:space="preserve">    COUNT(Shipment_ID) AS Total_Shipments,</w:t>
        <w:br/>
        <w:t xml:space="preserve">    SUM(CASE WHEN Delivery_Status = 'Delivered' THEN 1 ELSE 0 END) AS On_Time_Count,</w:t>
        <w:br/>
        <w:t xml:space="preserve">    ROUND((SUM(CASE WHEN Delivery_Status = 'Delivered' THEN 1 ELSE 0 END) * 100.0) / COUNT(Shipment_ID), 2) AS On_Time_Rate_Pct</w:t>
        <w:br/>
        <w:t>FROM ekart_logistics_dataset</w:t>
        <w:br/>
        <w:t>GROUP BY Service_Type;</w:t>
      </w:r>
    </w:p>
    <w:p>
      <w:pPr>
        <w:keepNext/>
        <w:spacing w:before="240" w:after="80"/>
      </w:pPr>
      <w:r>
        <w:rPr>
          <w:b/>
          <w:color w:val="2980B9"/>
          <w:sz w:val="24"/>
        </w:rPr>
        <w:t>Query 2: Top Destination Cities by RTO Using Window Functions</w:t>
      </w:r>
    </w:p>
    <w:p>
      <w:pPr>
        <w:spacing w:after="120" w:line="276" w:lineRule="auto"/>
      </w:pPr>
      <w:r>
        <w:rPr>
          <w:color w:val="2C3E50"/>
          <w:sz w:val="22"/>
        </w:rPr>
        <w:t>Identifies the top 2 destination cities with the highest RTO shipments for each origin hub using Common Table Expressions (CTEs) and the RANK() window function.</w:t>
      </w:r>
    </w:p>
    <w:p>
      <w:pPr>
        <w:spacing w:before="80" w:after="160"/>
        <w:ind w:left="432"/>
      </w:pPr>
      <w:r>
        <w:rPr>
          <w:rFonts w:ascii="Consolas" w:hAnsi="Consolas"/>
          <w:color w:val="273746"/>
          <w:sz w:val="19"/>
        </w:rPr>
        <w:t>WITH RTO_Summary AS (</w:t>
        <w:br/>
        <w:t xml:space="preserve">    SELECT Origin_Hub, Destination_City, COUNT(Shipment_ID) AS RTO_Count</w:t>
        <w:br/>
        <w:t xml:space="preserve">    FROM ekart_logistics_dataset</w:t>
        <w:br/>
        <w:t xml:space="preserve">    WHERE Delivery_Status = 'RTO (Return to Origin)'</w:t>
        <w:br/>
        <w:t xml:space="preserve">    GROUP BY Origin_Hub, Destination_City</w:t>
        <w:br/>
        <w:t>),</w:t>
        <w:br/>
        <w:t>Ranked_Destinations AS (</w:t>
        <w:br/>
        <w:t xml:space="preserve">    SELECT Origin_Hub, Destination_City, RTO_Count,</w:t>
        <w:br/>
        <w:t xml:space="preserve">           RANK() OVER (PARTITION BY Origin_Hub ORDER BY RTO_Count DESC) AS rnk</w:t>
        <w:br/>
        <w:t xml:space="preserve">    FROM RTO_Summary</w:t>
        <w:br/>
        <w:t>)</w:t>
        <w:br/>
        <w:t>SELECT Origin_Hub, Destination_City, RTO_Count</w:t>
        <w:br/>
        <w:t>FROM Ranked_Destinations</w:t>
        <w:br/>
        <w:t>WHERE rnk &lt;= 2;</w:t>
      </w:r>
    </w:p>
    <w:p>
      <w:pPr>
        <w:keepNext/>
        <w:spacing w:before="240" w:after="80"/>
      </w:pPr>
      <w:r>
        <w:rPr>
          <w:b/>
          <w:color w:val="2980B9"/>
          <w:sz w:val="24"/>
        </w:rPr>
        <w:t>Query 3: Above-Average Freight Charges (Joined CTE)</w:t>
      </w:r>
    </w:p>
    <w:p>
      <w:pPr>
        <w:spacing w:after="120" w:line="276" w:lineRule="auto"/>
      </w:pPr>
      <w:r>
        <w:rPr>
          <w:color w:val="2C3E50"/>
          <w:sz w:val="22"/>
        </w:rPr>
        <w:t>Isolates high-value shipments where the freight charge exceeds the average freight charge of their respective service type.</w:t>
      </w:r>
    </w:p>
    <w:p>
      <w:pPr>
        <w:spacing w:before="80" w:after="160"/>
        <w:ind w:left="432"/>
      </w:pPr>
      <w:r>
        <w:rPr>
          <w:rFonts w:ascii="Consolas" w:hAnsi="Consolas"/>
          <w:color w:val="273746"/>
          <w:sz w:val="19"/>
        </w:rPr>
        <w:t>WITH Service_Avg AS (</w:t>
        <w:br/>
        <w:t xml:space="preserve">    SELECT Service_Type, AVG(Freight_Charge_INR) AS Avg_Freight</w:t>
        <w:br/>
        <w:t xml:space="preserve">    FROM ekart_logistics_dataset</w:t>
        <w:br/>
        <w:t xml:space="preserve">    GROUP BY Service_Type</w:t>
        <w:br/>
        <w:t>)</w:t>
        <w:br/>
        <w:t>SELECT e.Shipment_ID, e.Service_Type, e.Freight_Charge_INR</w:t>
        <w:br/>
        <w:t>FROM ekart_logistics_dataset e</w:t>
        <w:br/>
        <w:t>JOIN Service_Avg sa ON e.Service_Type = sa.Service_Type</w:t>
        <w:br/>
        <w:t>WHERE e.Freight_Charge_INR &gt; sa.Avg_Freight;</w:t>
      </w:r>
    </w:p>
    <w:p>
      <w:pPr>
        <w:keepNext/>
        <w:spacing w:before="240" w:after="80"/>
      </w:pPr>
      <w:r>
        <w:rPr>
          <w:b/>
          <w:color w:val="2980B9"/>
          <w:sz w:val="24"/>
        </w:rPr>
        <w:t>Query 4: Hub-wise Delay &amp; Cancellation Matrix</w:t>
      </w:r>
    </w:p>
    <w:p>
      <w:pPr>
        <w:spacing w:after="120" w:line="276" w:lineRule="auto"/>
      </w:pPr>
      <w:r>
        <w:rPr>
          <w:color w:val="2C3E50"/>
          <w:sz w:val="22"/>
        </w:rPr>
        <w:t>Generates a comprehensive operational matrix detailing total shipments, delays, cancellations, and overall delay percentages per origin hub.</w:t>
      </w:r>
    </w:p>
    <w:p>
      <w:pPr>
        <w:spacing w:before="80" w:after="160"/>
        <w:ind w:left="432"/>
      </w:pPr>
      <w:r>
        <w:rPr>
          <w:rFonts w:ascii="Consolas" w:hAnsi="Consolas"/>
          <w:color w:val="273746"/>
          <w:sz w:val="19"/>
        </w:rPr>
        <w:t xml:space="preserve">SELECT </w:t>
        <w:br/>
        <w:t xml:space="preserve">    Origin_Hub,</w:t>
        <w:br/>
        <w:t xml:space="preserve">    COUNT(Shipment_ID) AS Total_Shipments,</w:t>
        <w:br/>
        <w:t xml:space="preserve">    SUM(CASE WHEN Delivery_Status = 'Delayed' THEN 1 ELSE 0 END) AS Delayed_Count,</w:t>
        <w:br/>
        <w:t xml:space="preserve">    SUM(CASE WHEN Delivery_Status = 'Cancelled' THEN 1 ELSE 0 END) AS Cancelled_Count,</w:t>
        <w:br/>
        <w:t xml:space="preserve">    ROUND((SUM(CASE WHEN Delivery_Status = 'Delayed' THEN 1 ELSE 0 END) * 100.0) / COUNT(Shipment_ID), 2) AS Delay_Pct</w:t>
        <w:br/>
        <w:t>FROM ekart_logistics_dataset</w:t>
        <w:br/>
        <w:t>GROUP BY Origin_Hub;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4. Strategic Business Insights &amp; Recommendations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Customer Retention Link: </w:t>
      </w:r>
      <w:r>
        <w:rPr>
          <w:color w:val="2C3E50"/>
          <w:sz w:val="22"/>
        </w:rPr>
        <w:t>Data confirms that delayed shipments experience a severe drop in customer ratings (averaging 2.5 stars), whereas on-time deliveries consistently score 4.5+ stars. Operational reliability directly protects brand loyalty.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RTO Mitigation: </w:t>
      </w:r>
      <w:r>
        <w:rPr>
          <w:color w:val="2C3E50"/>
          <w:sz w:val="22"/>
        </w:rPr>
        <w:t>Cities like Ahmedabad, Lucknow, and Pune exhibit disproportionate RTO rates. Implementing mandatory pre-dispatch address verification and automated customer calling in these hubs can reduce return overhead by up to 15%.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Service Profitability: </w:t>
      </w:r>
      <w:r>
        <w:rPr>
          <w:color w:val="2C3E50"/>
          <w:sz w:val="22"/>
        </w:rPr>
        <w:t>While standard shipping dominates volume, Express and Same-Day tiers yield higher revenue per shipment, indicating significant growth potential for premium delivery corridors.</w:t>
      </w:r>
    </w:p>
    <w:p>
      <w:pPr>
        <w:keepNext/>
        <w:spacing w:before="320" w:after="120"/>
      </w:pPr>
      <w:r>
        <w:rPr>
          <w:b/>
          <w:color w:val="1B365D"/>
          <w:sz w:val="30"/>
        </w:rPr>
        <w:t>5. Technical Stack &amp; Deliverables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Data Visualization: </w:t>
      </w:r>
      <w:r>
        <w:rPr>
          <w:color w:val="2C3E50"/>
          <w:sz w:val="22"/>
        </w:rPr>
        <w:t>Power BI Desktop, DAX Measures, Interactive Slicers, Custom Tooltips.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Database &amp; Querying: </w:t>
      </w:r>
      <w:r>
        <w:rPr>
          <w:color w:val="2C3E50"/>
          <w:sz w:val="22"/>
        </w:rPr>
        <w:t>Advanced SQL (CTEs, Window Functions RANK(), Conditional Aggregation, JOINs).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Data Processing: </w:t>
      </w:r>
      <w:r>
        <w:rPr>
          <w:color w:val="2C3E50"/>
          <w:sz w:val="22"/>
        </w:rPr>
        <w:t>Python / Pandas (Data profiling and validation).</w:t>
      </w:r>
    </w:p>
    <w:p>
      <w:pPr>
        <w:pStyle w:val="ListBullet"/>
        <w:spacing w:after="80" w:line="276" w:lineRule="auto"/>
      </w:pPr>
      <w:r>
        <w:rPr>
          <w:b/>
          <w:color w:val="2C3E50"/>
          <w:sz w:val="22"/>
        </w:rPr>
        <w:t xml:space="preserve">Version Control &amp; Documentation: </w:t>
      </w:r>
      <w:r>
        <w:rPr>
          <w:color w:val="2C3E50"/>
          <w:sz w:val="22"/>
        </w:rPr>
        <w:t>GitHub, Markdown, Word (.docx) Reporting.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